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D46851">
      <w:pPr>
        <w:spacing w:line="560"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2</w:t>
      </w:r>
      <w:bookmarkStart w:id="9" w:name="_GoBack"/>
      <w:bookmarkEnd w:id="9"/>
    </w:p>
    <w:p w14:paraId="2D06D6BD">
      <w:pPr>
        <w:spacing w:line="560" w:lineRule="exact"/>
        <w:jc w:val="center"/>
        <w:rPr>
          <w:rFonts w:ascii="方正小标宋简体" w:hAnsi="方正小标宋简体" w:eastAsia="方正小标宋简体" w:cs="方正小标宋简体"/>
          <w:sz w:val="44"/>
          <w:szCs w:val="44"/>
        </w:rPr>
      </w:pPr>
      <w:bookmarkStart w:id="0" w:name="OLE_LINK4"/>
      <w:bookmarkStart w:id="1" w:name="OLE_LINK2"/>
      <w:r>
        <w:rPr>
          <w:rFonts w:hint="eastAsia" w:ascii="方正小标宋简体" w:hAnsi="方正小标宋简体" w:eastAsia="方正小标宋简体" w:cs="方正小标宋简体"/>
          <w:sz w:val="44"/>
          <w:szCs w:val="44"/>
        </w:rPr>
        <w:t>科技型中小企业相关政策摘编</w:t>
      </w:r>
    </w:p>
    <w:bookmarkEnd w:id="0"/>
    <w:bookmarkEnd w:id="1"/>
    <w:p w14:paraId="551DB816">
      <w:pPr>
        <w:spacing w:before="156" w:beforeLines="50" w:after="156" w:afterLines="50" w:line="560" w:lineRule="exact"/>
        <w:jc w:val="center"/>
        <w:rPr>
          <w:rFonts w:ascii="黑体" w:hAnsi="黑体" w:eastAsia="黑体" w:cs="仿宋_GB2312"/>
          <w:sz w:val="32"/>
          <w:szCs w:val="32"/>
        </w:rPr>
      </w:pPr>
      <w:r>
        <w:rPr>
          <w:rFonts w:hint="eastAsia" w:ascii="黑体" w:hAnsi="黑体" w:eastAsia="黑体" w:cs="仿宋_GB2312"/>
          <w:sz w:val="32"/>
          <w:szCs w:val="32"/>
        </w:rPr>
        <w:t>第一部分 科技型中小企业评价政策</w:t>
      </w:r>
    </w:p>
    <w:p w14:paraId="26355414">
      <w:pPr>
        <w:pStyle w:val="11"/>
        <w:numPr>
          <w:ilvl w:val="0"/>
          <w:numId w:val="1"/>
        </w:numPr>
        <w:spacing w:line="560" w:lineRule="exact"/>
        <w:ind w:left="0" w:firstLine="640"/>
        <w:rPr>
          <w:rFonts w:ascii="黑体" w:hAnsi="黑体" w:eastAsia="黑体" w:cs="黑体"/>
          <w:sz w:val="32"/>
          <w:szCs w:val="32"/>
        </w:rPr>
      </w:pPr>
      <w:r>
        <w:rPr>
          <w:rFonts w:hint="eastAsia" w:ascii="黑体" w:hAnsi="黑体" w:eastAsia="黑体" w:cs="黑体"/>
          <w:sz w:val="32"/>
          <w:szCs w:val="32"/>
        </w:rPr>
        <w:t>科技型中小企业定义</w:t>
      </w:r>
    </w:p>
    <w:p w14:paraId="0E313C9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科技型中小企业是指依托一定数量的科技人员从事科学技术研究开发活动，取得自主知识产权并将其转化为高新技术产品或服务，从而实现可持续发展的中小企业。【《科技型中小企业评价办法》（国科发政〔2017〕115号）】</w:t>
      </w:r>
    </w:p>
    <w:p w14:paraId="4D995ABA">
      <w:pPr>
        <w:pStyle w:val="11"/>
        <w:numPr>
          <w:ilvl w:val="0"/>
          <w:numId w:val="1"/>
        </w:numPr>
        <w:spacing w:line="560" w:lineRule="exact"/>
        <w:ind w:left="0" w:firstLine="640"/>
        <w:rPr>
          <w:rFonts w:ascii="黑体" w:hAnsi="黑体" w:eastAsia="黑体" w:cs="黑体"/>
          <w:sz w:val="32"/>
          <w:szCs w:val="32"/>
        </w:rPr>
      </w:pPr>
      <w:r>
        <w:rPr>
          <w:rFonts w:hint="eastAsia" w:ascii="黑体" w:hAnsi="黑体" w:eastAsia="黑体" w:cs="黑体"/>
          <w:sz w:val="32"/>
          <w:szCs w:val="32"/>
        </w:rPr>
        <w:t>科技型中小企业评价条件</w:t>
      </w:r>
    </w:p>
    <w:p w14:paraId="4BFF7471">
      <w:pPr>
        <w:spacing w:line="560" w:lineRule="exact"/>
        <w:ind w:firstLine="640" w:firstLineChars="200"/>
        <w:rPr>
          <w:rFonts w:ascii="楷体_GB2312" w:hAnsi="仿宋_GB2312" w:eastAsia="楷体_GB2312" w:cs="仿宋_GB2312"/>
          <w:sz w:val="32"/>
          <w:szCs w:val="32"/>
        </w:rPr>
      </w:pPr>
      <w:r>
        <w:rPr>
          <w:rFonts w:hint="eastAsia" w:ascii="楷体_GB2312" w:hAnsi="仿宋_GB2312" w:eastAsia="楷体_GB2312" w:cs="仿宋_GB2312"/>
          <w:sz w:val="32"/>
          <w:szCs w:val="32"/>
        </w:rPr>
        <w:t>（一）基本条件</w:t>
      </w:r>
    </w:p>
    <w:p w14:paraId="6053BC1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科技型中小企业须同时满足以下条件：</w:t>
      </w:r>
    </w:p>
    <w:p w14:paraId="34335E5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1.在中国境内（不包括港、澳、台地区）注册成立或依照外国（地区）法律成立但实际管理机构在中国境内的会计核算健全、实行查账征收并能够准确归集研发费用，并缴纳企业所得税的居民企业。</w:t>
      </w:r>
    </w:p>
    <w:p w14:paraId="3294278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2.职工总数不超过500人、年销售收入不超过2亿元、资产总额不超过2亿元。</w:t>
      </w:r>
    </w:p>
    <w:p w14:paraId="680A944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3.企业所在行业不属于国家发展改革委员会《</w:t>
      </w:r>
      <w:bookmarkStart w:id="2" w:name="OLE_LINK6"/>
      <w:bookmarkStart w:id="3" w:name="OLE_LINK5"/>
      <w:r>
        <w:rPr>
          <w:rFonts w:hint="eastAsia" w:ascii="仿宋_GB2312" w:hAnsi="仿宋_GB2312" w:eastAsia="仿宋_GB2312" w:cs="仿宋_GB2312"/>
          <w:sz w:val="32"/>
          <w:szCs w:val="32"/>
        </w:rPr>
        <w:t>产业结构调整指导目录</w:t>
      </w:r>
      <w:bookmarkEnd w:id="2"/>
      <w:bookmarkEnd w:id="3"/>
      <w:r>
        <w:rPr>
          <w:rFonts w:hint="eastAsia" w:ascii="仿宋_GB2312" w:hAnsi="仿宋_GB2312" w:eastAsia="仿宋_GB2312" w:cs="仿宋_GB2312"/>
          <w:sz w:val="32"/>
          <w:szCs w:val="32"/>
        </w:rPr>
        <w:t>》规定的限制类和淘汰类范围，不属于财政部、国家税务总局、科技部《关于完善研究开发费用税前加计扣除政策的通知》（财税〔2015〕119号）规定的不适用税前加计扣除政策的行业。</w:t>
      </w:r>
    </w:p>
    <w:p w14:paraId="69CB4B9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4.企业在上一会计年度及当年未发生重大安全、重大质量事故、严重环境违法、严重弄虚作假和科研严重失信行为，且在上一会计年度及当年未列入经营异常名录和严重违法失信企业名单。</w:t>
      </w:r>
    </w:p>
    <w:p w14:paraId="73453F7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5.企业根据科技型中小企业评价指标进行综合评价所得分值不低于60分，且科技人员指标得分不得为0分。</w:t>
      </w:r>
    </w:p>
    <w:p w14:paraId="42F3862B">
      <w:pPr>
        <w:spacing w:line="560" w:lineRule="exact"/>
        <w:ind w:firstLine="640" w:firstLineChars="200"/>
        <w:rPr>
          <w:rFonts w:ascii="楷体_GB2312" w:hAnsi="仿宋_GB2312" w:eastAsia="楷体_GB2312" w:cs="仿宋_GB2312"/>
          <w:sz w:val="32"/>
          <w:szCs w:val="32"/>
        </w:rPr>
      </w:pPr>
      <w:r>
        <w:rPr>
          <w:rFonts w:hint="eastAsia" w:ascii="楷体_GB2312" w:hAnsi="仿宋_GB2312" w:eastAsia="楷体_GB2312" w:cs="仿宋_GB2312"/>
          <w:sz w:val="32"/>
          <w:szCs w:val="32"/>
        </w:rPr>
        <w:t>（二）直通车条件</w:t>
      </w:r>
    </w:p>
    <w:p w14:paraId="1B73818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符合上述评价条件的企业，若同时符合下列条件中的一项，不受综合评价所得分值高低限制，可直接确认符合科技型中小企业条件：</w:t>
      </w:r>
    </w:p>
    <w:p w14:paraId="5446564A">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1.企业拥有有效期内高新技术企业资格证书；</w:t>
      </w:r>
    </w:p>
    <w:p w14:paraId="3907F75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2.企业近五年内获得过国家级科技奖励；</w:t>
      </w:r>
    </w:p>
    <w:p w14:paraId="797154E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3.企业拥有经认定的省部级以上研发机构；</w:t>
      </w:r>
    </w:p>
    <w:p w14:paraId="30659CF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4.企业近五年内主导制定过国际标准、国家标准或行业标准。</w:t>
      </w:r>
    </w:p>
    <w:p w14:paraId="23795DDE">
      <w:pPr>
        <w:pStyle w:val="11"/>
        <w:numPr>
          <w:ilvl w:val="0"/>
          <w:numId w:val="1"/>
        </w:numPr>
        <w:spacing w:line="560" w:lineRule="exact"/>
        <w:ind w:left="0" w:firstLine="640"/>
        <w:rPr>
          <w:rFonts w:ascii="黑体" w:hAnsi="黑体" w:eastAsia="黑体" w:cs="黑体"/>
          <w:sz w:val="32"/>
          <w:szCs w:val="32"/>
        </w:rPr>
      </w:pPr>
      <w:r>
        <w:rPr>
          <w:rFonts w:hint="eastAsia" w:ascii="黑体" w:hAnsi="黑体" w:eastAsia="黑体" w:cs="黑体"/>
          <w:sz w:val="32"/>
          <w:szCs w:val="32"/>
        </w:rPr>
        <w:t>申报材料清单</w:t>
      </w:r>
    </w:p>
    <w:p w14:paraId="7B922E9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1.知识产权证明材料（可通过</w:t>
      </w:r>
      <w:bookmarkStart w:id="4" w:name="OLE_LINK14"/>
      <w:bookmarkStart w:id="5" w:name="OLE_LINK15"/>
      <w:r>
        <w:rPr>
          <w:rFonts w:hint="eastAsia" w:ascii="仿宋_GB2312" w:hAnsi="仿宋_GB2312" w:eastAsia="仿宋_GB2312" w:cs="仿宋_GB2312"/>
          <w:sz w:val="32"/>
          <w:szCs w:val="32"/>
        </w:rPr>
        <w:t>评价</w:t>
      </w:r>
      <w:bookmarkEnd w:id="4"/>
      <w:bookmarkEnd w:id="5"/>
      <w:r>
        <w:rPr>
          <w:rFonts w:hint="eastAsia" w:ascii="仿宋_GB2312" w:hAnsi="仿宋_GB2312" w:eastAsia="仿宋_GB2312" w:cs="仿宋_GB2312"/>
          <w:sz w:val="32"/>
          <w:szCs w:val="32"/>
        </w:rPr>
        <w:t>系统自动获取）；</w:t>
      </w:r>
    </w:p>
    <w:p w14:paraId="006A8570">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2.上一年度企业资产负债表、损益表（利润表）；</w:t>
      </w:r>
    </w:p>
    <w:p w14:paraId="3037CF1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3.上一年度企业职工人数统计表（须明确科技人员占比，可从评价系统下载样表填报）；</w:t>
      </w:r>
    </w:p>
    <w:p w14:paraId="147A5D90">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4.《中华人民共和国企业所得税年度纳税申报表（A类A107012）》（未享受研发费用加计扣除的企业，可从评价系统下载《研发支出辅助账汇总表》样表填报)；</w:t>
      </w:r>
    </w:p>
    <w:p w14:paraId="02DDEB95">
      <w:pPr>
        <w:spacing w:line="560" w:lineRule="exact"/>
        <w:ind w:firstLine="640" w:firstLineChars="200"/>
        <w:rPr>
          <w:rFonts w:ascii="黑体" w:hAnsi="黑体" w:eastAsia="黑体" w:cs="黑体"/>
          <w:sz w:val="32"/>
          <w:szCs w:val="32"/>
        </w:rPr>
      </w:pPr>
      <w:r>
        <w:rPr>
          <w:rFonts w:hint="eastAsia" w:ascii="仿宋_GB2312" w:hAnsi="仿宋_GB2312" w:eastAsia="仿宋_GB2312" w:cs="仿宋_GB2312"/>
          <w:sz w:val="32"/>
          <w:szCs w:val="32"/>
        </w:rPr>
        <w:t>5.其他相关佐证材料（根据企业实际情况提供，如国际标准、国家标准、行业标准相关证明，省部级以上研发机构证明材料、国家科技奖励证明材料等）</w:t>
      </w:r>
      <w:r>
        <w:rPr>
          <w:rFonts w:hint="eastAsia" w:ascii="黑体" w:hAnsi="黑体" w:eastAsia="黑体" w:cs="黑体"/>
          <w:sz w:val="32"/>
          <w:szCs w:val="32"/>
        </w:rPr>
        <w:t>。</w:t>
      </w:r>
    </w:p>
    <w:p w14:paraId="45328641">
      <w:pPr>
        <w:pStyle w:val="11"/>
        <w:numPr>
          <w:ilvl w:val="0"/>
          <w:numId w:val="1"/>
        </w:numPr>
        <w:spacing w:line="560" w:lineRule="exact"/>
        <w:ind w:left="0" w:firstLine="640"/>
        <w:rPr>
          <w:rFonts w:ascii="黑体" w:hAnsi="黑体" w:eastAsia="黑体" w:cs="黑体"/>
          <w:sz w:val="32"/>
          <w:szCs w:val="32"/>
        </w:rPr>
      </w:pPr>
      <w:r>
        <w:rPr>
          <w:rFonts w:hint="eastAsia" w:ascii="黑体" w:hAnsi="黑体" w:eastAsia="黑体" w:cs="黑体"/>
          <w:sz w:val="32"/>
          <w:szCs w:val="32"/>
        </w:rPr>
        <w:t>评价流程</w:t>
      </w:r>
    </w:p>
    <w:p w14:paraId="159EE4AC">
      <w:pPr>
        <w:spacing w:line="560" w:lineRule="exact"/>
        <w:ind w:firstLine="640" w:firstLineChars="200"/>
        <w:rPr>
          <w:rFonts w:hint="eastAsia" w:ascii="仿宋_GB2312" w:hAnsi="仿宋_GB2312" w:eastAsia="仿宋_GB2312" w:cs="仿宋_GB2312"/>
          <w:sz w:val="32"/>
          <w:szCs w:val="32"/>
        </w:rPr>
      </w:pPr>
      <w:r>
        <w:rPr>
          <w:rFonts w:hint="eastAsia" w:ascii="楷体_GB2312" w:hAnsi="仿宋_GB2312" w:eastAsia="楷体_GB2312" w:cs="仿宋_GB2312"/>
          <w:sz w:val="32"/>
          <w:szCs w:val="32"/>
        </w:rPr>
        <w:t>（一）企业自主申报。</w:t>
      </w:r>
      <w:r>
        <w:rPr>
          <w:rFonts w:hint="eastAsia" w:ascii="仿宋_GB2312" w:hAnsi="仿宋_GB2312" w:eastAsia="仿宋_GB2312" w:cs="仿宋_GB2312"/>
          <w:sz w:val="32"/>
          <w:szCs w:val="32"/>
        </w:rPr>
        <w:t>企业登录优质中小企业梯度培育平台（网址：https://zjtx.miit.gov.cn/），线上填报相关信息、上传佐证材料，并对填报资料的真实性、完整性作出书面承诺。</w:t>
      </w:r>
    </w:p>
    <w:p w14:paraId="4EE56DFB">
      <w:pPr>
        <w:spacing w:line="560" w:lineRule="exact"/>
        <w:ind w:firstLine="640" w:firstLineChars="200"/>
        <w:rPr>
          <w:rFonts w:hint="eastAsia" w:ascii="仿宋_GB2312" w:hAnsi="仿宋_GB2312" w:eastAsia="仿宋_GB2312" w:cs="仿宋_GB2312"/>
          <w:sz w:val="32"/>
          <w:szCs w:val="32"/>
        </w:rPr>
      </w:pPr>
      <w:r>
        <w:rPr>
          <w:rFonts w:hint="eastAsia" w:ascii="楷体_GB2312" w:hAnsi="仿宋_GB2312" w:eastAsia="楷体_GB2312" w:cs="仿宋_GB2312"/>
          <w:sz w:val="32"/>
          <w:szCs w:val="32"/>
        </w:rPr>
        <w:t>（二）市级形式审查。</w:t>
      </w:r>
      <w:r>
        <w:rPr>
          <w:rFonts w:hint="eastAsia" w:ascii="仿宋_GB2312" w:hAnsi="仿宋_GB2312" w:eastAsia="仿宋_GB2312" w:cs="仿宋_GB2312"/>
          <w:sz w:val="32"/>
          <w:szCs w:val="32"/>
        </w:rPr>
        <w:t>市级科技主管部门对申报材料开展形式审核，资料不完善的一次性告知企业限期补充修正；审核通过后，统一汇总上报省科技厅。</w:t>
      </w:r>
    </w:p>
    <w:p w14:paraId="4C97D29E">
      <w:pPr>
        <w:spacing w:line="560" w:lineRule="exact"/>
        <w:ind w:firstLine="640" w:firstLineChars="200"/>
        <w:rPr>
          <w:rFonts w:hint="eastAsia" w:ascii="仿宋_GB2312" w:hAnsi="仿宋_GB2312" w:eastAsia="仿宋_GB2312" w:cs="仿宋_GB2312"/>
          <w:sz w:val="32"/>
          <w:szCs w:val="32"/>
        </w:rPr>
      </w:pPr>
      <w:r>
        <w:rPr>
          <w:rFonts w:hint="eastAsia" w:ascii="楷体_GB2312" w:hAnsi="仿宋_GB2312" w:eastAsia="楷体_GB2312" w:cs="仿宋_GB2312"/>
          <w:sz w:val="32"/>
          <w:szCs w:val="32"/>
        </w:rPr>
        <w:t>（三）省级公示。</w:t>
      </w:r>
      <w:r>
        <w:rPr>
          <w:rFonts w:hint="eastAsia" w:ascii="仿宋_GB2312" w:hAnsi="仿宋_GB2312" w:eastAsia="仿宋_GB2312" w:cs="仿宋_GB2312"/>
          <w:sz w:val="32"/>
          <w:szCs w:val="32"/>
        </w:rPr>
        <w:t>省科技厅对初审合格企业名单予以公示，公示期10个工作日。</w:t>
      </w:r>
    </w:p>
    <w:p w14:paraId="40A145AF">
      <w:pPr>
        <w:spacing w:line="560" w:lineRule="exact"/>
        <w:ind w:firstLine="640" w:firstLineChars="200"/>
        <w:rPr>
          <w:rFonts w:hint="eastAsia" w:ascii="仿宋_GB2312" w:hAnsi="仿宋_GB2312" w:eastAsia="仿宋_GB2312" w:cs="仿宋_GB2312"/>
          <w:sz w:val="32"/>
          <w:szCs w:val="32"/>
        </w:rPr>
      </w:pPr>
      <w:r>
        <w:rPr>
          <w:rFonts w:hint="eastAsia" w:ascii="楷体_GB2312" w:hAnsi="仿宋_GB2312" w:eastAsia="楷体_GB2312" w:cs="仿宋_GB2312"/>
          <w:sz w:val="32"/>
          <w:szCs w:val="32"/>
        </w:rPr>
        <w:t>（四）入库备案。</w:t>
      </w:r>
      <w:r>
        <w:rPr>
          <w:rFonts w:hint="eastAsia" w:ascii="仿宋_GB2312" w:hAnsi="仿宋_GB2312" w:eastAsia="仿宋_GB2312" w:cs="仿宋_GB2312"/>
          <w:sz w:val="32"/>
          <w:szCs w:val="32"/>
        </w:rPr>
        <w:t>公示期满无异议的，由省科技厅报送工业和信息化部备案，赋予科技型中小企业入库登记编号，正式完成入库评价。</w:t>
      </w:r>
    </w:p>
    <w:p w14:paraId="716479E4">
      <w:pPr>
        <w:spacing w:line="560" w:lineRule="exact"/>
        <w:ind w:firstLine="640"/>
        <w:rPr>
          <w:rFonts w:ascii="黑体" w:hAnsi="黑体" w:eastAsia="黑体" w:cs="黑体"/>
          <w:sz w:val="32"/>
          <w:szCs w:val="32"/>
        </w:rPr>
      </w:pPr>
      <w:r>
        <w:rPr>
          <w:rFonts w:hint="eastAsia" w:ascii="黑体" w:hAnsi="黑体" w:eastAsia="黑体" w:cs="黑体"/>
          <w:sz w:val="32"/>
          <w:szCs w:val="32"/>
        </w:rPr>
        <w:t>五、注意事项</w:t>
      </w:r>
    </w:p>
    <w:p w14:paraId="1FF45426">
      <w:pPr>
        <w:spacing w:line="560" w:lineRule="exact"/>
        <w:ind w:firstLine="640"/>
        <w:rPr>
          <w:rFonts w:ascii="仿宋" w:hAnsi="仿宋" w:eastAsia="仿宋" w:cs="仿宋"/>
          <w:sz w:val="32"/>
          <w:szCs w:val="32"/>
        </w:rPr>
      </w:pPr>
      <w:r>
        <w:rPr>
          <w:rFonts w:hint="eastAsia" w:ascii="仿宋" w:hAnsi="仿宋" w:eastAsia="仿宋" w:cs="仿宋"/>
          <w:sz w:val="32"/>
          <w:szCs w:val="32"/>
        </w:rPr>
        <w:t>1.企业填报相关信息前，请从优质中小企业梯度培育平台下载并认真阅读《科技型中小企业评价系统用户手册》。</w:t>
      </w:r>
    </w:p>
    <w:p w14:paraId="1CC609EF">
      <w:pPr>
        <w:spacing w:line="560" w:lineRule="exact"/>
        <w:ind w:firstLine="640"/>
        <w:rPr>
          <w:rFonts w:ascii="仿宋" w:hAnsi="仿宋" w:eastAsia="仿宋" w:cs="仿宋"/>
          <w:sz w:val="32"/>
          <w:szCs w:val="32"/>
        </w:rPr>
      </w:pPr>
      <w:r>
        <w:rPr>
          <w:rFonts w:hint="eastAsia" w:ascii="仿宋" w:hAnsi="仿宋" w:eastAsia="仿宋" w:cs="仿宋"/>
          <w:sz w:val="32"/>
          <w:szCs w:val="32"/>
        </w:rPr>
        <w:t>2.不适用税前加计扣除的行业（含烟草制品业、住宿和餐饮业、批发和零售业、房地产业、租赁和商务服务业、娱乐业）不符合科技型中小企业评价基本条件。</w:t>
      </w:r>
    </w:p>
    <w:p w14:paraId="6B64BCC4">
      <w:pPr>
        <w:spacing w:line="560" w:lineRule="exact"/>
        <w:ind w:firstLine="640"/>
        <w:rPr>
          <w:rFonts w:ascii="仿宋" w:hAnsi="仿宋" w:eastAsia="仿宋" w:cs="仿宋"/>
          <w:sz w:val="32"/>
          <w:szCs w:val="32"/>
        </w:rPr>
      </w:pPr>
      <w:r>
        <w:rPr>
          <w:rFonts w:hint="eastAsia" w:ascii="仿宋" w:hAnsi="仿宋" w:eastAsia="仿宋" w:cs="仿宋"/>
          <w:sz w:val="32"/>
          <w:szCs w:val="32"/>
        </w:rPr>
        <w:t>3.享受研发费用加计扣除的企业，须上传纳税申报表A107012表，没有享受加计扣除的企业，上传研发支出辅助账汇总表。</w:t>
      </w:r>
    </w:p>
    <w:p w14:paraId="23ACC98C">
      <w:pPr>
        <w:spacing w:line="560" w:lineRule="exact"/>
        <w:ind w:firstLine="640"/>
        <w:rPr>
          <w:rFonts w:ascii="仿宋" w:hAnsi="仿宋" w:eastAsia="仿宋" w:cs="仿宋"/>
          <w:sz w:val="32"/>
          <w:szCs w:val="32"/>
        </w:rPr>
      </w:pPr>
      <w:r>
        <w:rPr>
          <w:rFonts w:hint="eastAsia" w:ascii="仿宋" w:hAnsi="仿宋" w:eastAsia="仿宋" w:cs="仿宋"/>
          <w:sz w:val="32"/>
          <w:szCs w:val="32"/>
        </w:rPr>
        <w:t>5.成本费用总额=营业成本+税金及附加+销售费用+管理费用（含研发费用）+财务费用。</w:t>
      </w:r>
    </w:p>
    <w:p w14:paraId="18E2BE77">
      <w:pPr>
        <w:spacing w:line="560" w:lineRule="exact"/>
        <w:ind w:firstLine="640"/>
        <w:rPr>
          <w:rFonts w:ascii="仿宋" w:hAnsi="仿宋" w:eastAsia="仿宋" w:cs="仿宋"/>
          <w:sz w:val="32"/>
          <w:szCs w:val="32"/>
        </w:rPr>
      </w:pPr>
      <w:r>
        <w:rPr>
          <w:rFonts w:hint="eastAsia" w:ascii="仿宋" w:hAnsi="仿宋" w:eastAsia="仿宋" w:cs="仿宋"/>
          <w:sz w:val="32"/>
          <w:szCs w:val="32"/>
        </w:rPr>
        <w:t>6.人员数包括在职、兼职和临时聘用人员数。职工总数、科技人员数，按企业全年的季度平均值确定。具体计算公式如下：</w:t>
      </w:r>
    </w:p>
    <w:p w14:paraId="2577F5FD">
      <w:pPr>
        <w:spacing w:line="560" w:lineRule="exact"/>
        <w:ind w:firstLine="640"/>
        <w:rPr>
          <w:rFonts w:ascii="仿宋" w:hAnsi="仿宋" w:eastAsia="仿宋" w:cs="仿宋"/>
          <w:sz w:val="32"/>
          <w:szCs w:val="32"/>
        </w:rPr>
      </w:pPr>
      <w:r>
        <w:rPr>
          <w:rFonts w:hint="eastAsia" w:ascii="仿宋" w:hAnsi="仿宋" w:eastAsia="仿宋" w:cs="仿宋"/>
          <w:sz w:val="32"/>
          <w:szCs w:val="32"/>
        </w:rPr>
        <w:t>季度平均值=（季初值＋季末值）÷2</w:t>
      </w:r>
    </w:p>
    <w:p w14:paraId="0820DDCB">
      <w:pPr>
        <w:spacing w:line="560" w:lineRule="exact"/>
        <w:ind w:firstLine="640"/>
        <w:rPr>
          <w:rFonts w:hint="eastAsia" w:ascii="仿宋" w:hAnsi="仿宋" w:eastAsia="仿宋" w:cs="仿宋"/>
          <w:sz w:val="32"/>
          <w:szCs w:val="32"/>
        </w:rPr>
      </w:pPr>
      <w:r>
        <w:rPr>
          <w:rFonts w:hint="eastAsia" w:ascii="仿宋" w:hAnsi="仿宋" w:eastAsia="仿宋" w:cs="仿宋"/>
          <w:sz w:val="32"/>
          <w:szCs w:val="32"/>
        </w:rPr>
        <w:t>全年季度平均值=全年各季度平均值之和÷4</w:t>
      </w:r>
    </w:p>
    <w:p w14:paraId="5D6E8A8C">
      <w:pPr>
        <w:pStyle w:val="2"/>
        <w:ind w:firstLine="320"/>
        <w:rPr>
          <w:rFonts w:hint="eastAsia"/>
        </w:rPr>
      </w:pPr>
      <w:r>
        <w:rPr>
          <w:rFonts w:hint="eastAsia" w:ascii="仿宋" w:hAnsi="仿宋" w:eastAsia="仿宋" w:cs="仿宋"/>
          <w:sz w:val="32"/>
          <w:szCs w:val="32"/>
        </w:rPr>
        <w:t>年度中间开业或者终止经营活动的，以实际经营期作为一个纳税年度确定上述相关指标。</w:t>
      </w:r>
    </w:p>
    <w:p w14:paraId="6ED43A30">
      <w:pPr>
        <w:spacing w:before="156" w:beforeLines="50" w:after="156" w:afterLines="50" w:line="560" w:lineRule="exact"/>
        <w:jc w:val="center"/>
        <w:rPr>
          <w:rFonts w:ascii="黑体" w:hAnsi="黑体" w:eastAsia="黑体" w:cs="黑体"/>
          <w:sz w:val="32"/>
          <w:szCs w:val="32"/>
        </w:rPr>
      </w:pPr>
      <w:r>
        <w:rPr>
          <w:rFonts w:hint="eastAsia" w:ascii="黑体" w:hAnsi="黑体" w:eastAsia="黑体" w:cs="黑体"/>
          <w:sz w:val="32"/>
          <w:szCs w:val="32"/>
        </w:rPr>
        <w:t>第二部分 科技型中小企业税收优惠政策</w:t>
      </w:r>
    </w:p>
    <w:p w14:paraId="79803490">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一、研发费用加计扣除优惠</w:t>
      </w:r>
    </w:p>
    <w:p w14:paraId="4F21A94E">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企业开展研发活动中实际发生的研发费用，未形成无形资产计入当期损益的，在按规定据实扣除的基础上，再按照实际发生额的100%在税前加计扣除；形成无形资产的，按照无形资产成本的200%在税前摊销。（长期制度性安排，财政部税务总局公告2023年第7号）。</w:t>
      </w:r>
    </w:p>
    <w:p w14:paraId="16D57C5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集成电路企业和工业母机企业开展研发活动中实际发生的研发费用，未形成无形资产计入当期损益的，在按规定据实扣除的基础上，在2023年1月1日至2027年12月31日期间，再按照实际发生额的120%在税前扣除；形成无形资产的，在上述期间按照无形资产成本的220%在税前摊销(财政部税务总局国家发展改革委工业和信息化部公告2023年第44号)。</w:t>
      </w:r>
    </w:p>
    <w:p w14:paraId="3C930D14">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w:t>
      </w:r>
      <w:r>
        <w:rPr>
          <w:rFonts w:ascii="黑体" w:hAnsi="黑体" w:eastAsia="黑体" w:cs="黑体"/>
          <w:sz w:val="32"/>
          <w:szCs w:val="32"/>
        </w:rPr>
        <w:t>延长企业亏损结转年限</w:t>
      </w:r>
    </w:p>
    <w:p w14:paraId="29816CF9">
      <w:pPr>
        <w:spacing w:line="560" w:lineRule="exact"/>
        <w:ind w:firstLine="640" w:firstLineChars="200"/>
        <w:rPr>
          <w:rFonts w:hint="eastAsia" w:ascii="仿宋_GB2312" w:hAnsi="仿宋_GB2312" w:eastAsia="仿宋_GB2312" w:cs="仿宋_GB2312"/>
          <w:sz w:val="32"/>
          <w:szCs w:val="32"/>
        </w:rPr>
      </w:pPr>
      <w:r>
        <w:rPr>
          <w:rFonts w:ascii="仿宋_GB2312" w:hAnsi="仿宋_GB2312" w:eastAsia="仿宋_GB2312" w:cs="仿宋_GB2312"/>
          <w:sz w:val="32"/>
          <w:szCs w:val="32"/>
        </w:rPr>
        <w:t>自2018年1月1日起，当年具备高新技术企业或科技型中小企业资格的企业，其具备资格年度之前5个年度发生的尚未弥补完的亏损，准予结转以后年度弥补，最长结转年限</w:t>
      </w:r>
      <w:r>
        <w:rPr>
          <w:rFonts w:hint="eastAsia" w:ascii="仿宋_GB2312" w:hAnsi="仿宋_GB2312" w:eastAsia="仿宋_GB2312" w:cs="仿宋_GB2312"/>
          <w:sz w:val="32"/>
          <w:szCs w:val="32"/>
        </w:rPr>
        <w:t>由</w:t>
      </w:r>
      <w:r>
        <w:rPr>
          <w:rFonts w:ascii="仿宋_GB2312" w:hAnsi="仿宋_GB2312" w:eastAsia="仿宋_GB2312" w:cs="仿宋_GB2312"/>
          <w:sz w:val="32"/>
          <w:szCs w:val="32"/>
        </w:rPr>
        <w:t>5年延长至10年。</w:t>
      </w:r>
      <w:r>
        <w:rPr>
          <w:rFonts w:hint="eastAsia" w:ascii="仿宋_GB2312" w:hAnsi="仿宋_GB2312" w:eastAsia="仿宋_GB2312" w:cs="仿宋_GB2312"/>
          <w:sz w:val="32"/>
          <w:szCs w:val="32"/>
        </w:rPr>
        <w:t>【《关于延长高新技术企业和科技型中小企业亏损结转年限的通知》（财税〔2018〕76号）】</w:t>
      </w:r>
    </w:p>
    <w:p w14:paraId="3E6CC674">
      <w:pPr>
        <w:spacing w:before="156" w:beforeLines="50" w:after="156" w:afterLines="50" w:line="560" w:lineRule="exact"/>
        <w:jc w:val="center"/>
        <w:rPr>
          <w:rFonts w:ascii="黑体" w:hAnsi="黑体" w:eastAsia="黑体" w:cs="黑体"/>
          <w:sz w:val="32"/>
          <w:szCs w:val="32"/>
        </w:rPr>
      </w:pPr>
      <w:r>
        <w:rPr>
          <w:rFonts w:hint="eastAsia" w:ascii="黑体" w:hAnsi="黑体" w:eastAsia="黑体" w:cs="黑体"/>
          <w:sz w:val="32"/>
          <w:szCs w:val="32"/>
        </w:rPr>
        <w:t>第三部分  其他优惠政策</w:t>
      </w:r>
    </w:p>
    <w:p w14:paraId="12086351">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一、“科技贷”准入条件</w:t>
      </w:r>
      <w:bookmarkStart w:id="6" w:name="OLE_LINK3"/>
    </w:p>
    <w:p w14:paraId="01B9259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取得科技型中小企业入库编号是企业申办“科技贷”的核心准入条件，凭借该资质可享受政银担低息信用贷款支持</w:t>
      </w:r>
      <w:r>
        <w:rPr>
          <w:rFonts w:ascii="仿宋_GB2312" w:hAnsi="仿宋_GB2312" w:eastAsia="仿宋_GB2312" w:cs="仿宋_GB2312"/>
          <w:sz w:val="32"/>
          <w:szCs w:val="32"/>
        </w:rPr>
        <w:t>。</w:t>
      </w:r>
      <w:bookmarkEnd w:id="6"/>
    </w:p>
    <w:p w14:paraId="288E5551">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二、享受</w:t>
      </w:r>
      <w:r>
        <w:rPr>
          <w:rFonts w:ascii="黑体" w:hAnsi="黑体" w:eastAsia="黑体" w:cs="黑体"/>
          <w:sz w:val="32"/>
          <w:szCs w:val="32"/>
        </w:rPr>
        <w:t>地方财政补助</w:t>
      </w:r>
    </w:p>
    <w:p w14:paraId="4AA86614">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各县市区针对首次成功入库的科技型中小企业，设立专项资金给予一次性奖励资助。</w:t>
      </w:r>
    </w:p>
    <w:p w14:paraId="3086D790">
      <w:pPr>
        <w:spacing w:line="560" w:lineRule="exact"/>
        <w:ind w:firstLine="640" w:firstLineChars="200"/>
        <w:rPr>
          <w:rFonts w:hint="eastAsia" w:ascii="黑体" w:hAnsi="黑体" w:eastAsia="黑体" w:cs="黑体"/>
          <w:sz w:val="32"/>
          <w:szCs w:val="32"/>
        </w:rPr>
      </w:pPr>
      <w:bookmarkStart w:id="7" w:name="OLE_LINK7"/>
      <w:bookmarkStart w:id="8" w:name="OLE_LINK8"/>
      <w:r>
        <w:rPr>
          <w:rFonts w:hint="eastAsia" w:ascii="黑体" w:hAnsi="黑体" w:eastAsia="黑体" w:cs="黑体"/>
          <w:sz w:val="32"/>
          <w:szCs w:val="32"/>
        </w:rPr>
        <w:t>三、专精特新资质的门槛条件</w:t>
      </w:r>
    </w:p>
    <w:bookmarkEnd w:id="7"/>
    <w:bookmarkEnd w:id="8"/>
    <w:p w14:paraId="595029E8">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申报专精特新中小企业，须先取得科技型中小企业或创新型中小企业资质，二者为硬性前置门槛。</w:t>
      </w:r>
    </w:p>
    <w:p w14:paraId="4E32BD62">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四、助力各类科技项目与招投标竞争</w:t>
      </w:r>
    </w:p>
    <w:p w14:paraId="5EA0334A">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科技型中小企业资质是申报省、市、县各级科技扶持项目、参与创新创业大赛的关键前置条件，有助于提高企业项目申报、市场招投标中的竞争优势。</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18DE9">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9F40AB">
                          <w:pPr>
                            <w:pStyle w:val="6"/>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- 5 -</w:t>
                          </w:r>
                          <w:r>
                            <w:rPr>
                              <w:rFonts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D9F40AB">
                    <w:pPr>
                      <w:pStyle w:val="6"/>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- 5 -</w:t>
                    </w:r>
                    <w:r>
                      <w:rPr>
                        <w:rFonts w:ascii="Times New Roman" w:hAnsi="Times New Roman" w:cs="Times New Roman"/>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EB2C3E"/>
    <w:multiLevelType w:val="multilevel"/>
    <w:tmpl w:val="2EEB2C3E"/>
    <w:lvl w:ilvl="0" w:tentative="0">
      <w:start w:val="1"/>
      <w:numFmt w:val="chineseCountingThousand"/>
      <w:lvlText w:val="%1、"/>
      <w:lvlJc w:val="left"/>
      <w:pPr>
        <w:ind w:left="1060" w:hanging="420"/>
      </w:pPr>
      <w:rPr>
        <w:rFonts w:ascii="黑体" w:hAnsi="黑体" w:eastAsia="黑体"/>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5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5DCF77D7"/>
    <w:rsid w:val="00007E13"/>
    <w:rsid w:val="00043737"/>
    <w:rsid w:val="000D0EA3"/>
    <w:rsid w:val="001120F9"/>
    <w:rsid w:val="00157AF7"/>
    <w:rsid w:val="002564A6"/>
    <w:rsid w:val="00276D02"/>
    <w:rsid w:val="002817C9"/>
    <w:rsid w:val="002E16B0"/>
    <w:rsid w:val="002E1C63"/>
    <w:rsid w:val="00336654"/>
    <w:rsid w:val="003716B9"/>
    <w:rsid w:val="00440C5B"/>
    <w:rsid w:val="004964D3"/>
    <w:rsid w:val="004A38F5"/>
    <w:rsid w:val="005456C5"/>
    <w:rsid w:val="00553B5C"/>
    <w:rsid w:val="005E1F68"/>
    <w:rsid w:val="005E5E88"/>
    <w:rsid w:val="005F3389"/>
    <w:rsid w:val="00614354"/>
    <w:rsid w:val="00634D47"/>
    <w:rsid w:val="0064156B"/>
    <w:rsid w:val="006536A7"/>
    <w:rsid w:val="006A5084"/>
    <w:rsid w:val="006B5356"/>
    <w:rsid w:val="006F44B2"/>
    <w:rsid w:val="00727CD0"/>
    <w:rsid w:val="007E6AB3"/>
    <w:rsid w:val="007F75EF"/>
    <w:rsid w:val="00836221"/>
    <w:rsid w:val="008402AA"/>
    <w:rsid w:val="008A6C56"/>
    <w:rsid w:val="008E082A"/>
    <w:rsid w:val="008E2377"/>
    <w:rsid w:val="008E2EE7"/>
    <w:rsid w:val="00927431"/>
    <w:rsid w:val="009B3AF7"/>
    <w:rsid w:val="009C5B24"/>
    <w:rsid w:val="00A03A10"/>
    <w:rsid w:val="00A220F1"/>
    <w:rsid w:val="00AA3152"/>
    <w:rsid w:val="00B37509"/>
    <w:rsid w:val="00B444CE"/>
    <w:rsid w:val="00B54573"/>
    <w:rsid w:val="00B71A93"/>
    <w:rsid w:val="00B724EB"/>
    <w:rsid w:val="00C144F6"/>
    <w:rsid w:val="00CA7F1E"/>
    <w:rsid w:val="00CF1D27"/>
    <w:rsid w:val="00CF4E69"/>
    <w:rsid w:val="00D12070"/>
    <w:rsid w:val="00D27CF8"/>
    <w:rsid w:val="00D43BA8"/>
    <w:rsid w:val="00D46D01"/>
    <w:rsid w:val="00D541CC"/>
    <w:rsid w:val="00D86D5D"/>
    <w:rsid w:val="00DE0C13"/>
    <w:rsid w:val="00E13764"/>
    <w:rsid w:val="00EB256D"/>
    <w:rsid w:val="00EC50EB"/>
    <w:rsid w:val="00ED570A"/>
    <w:rsid w:val="00EF4497"/>
    <w:rsid w:val="00F23E49"/>
    <w:rsid w:val="00F55802"/>
    <w:rsid w:val="00FA5EC7"/>
    <w:rsid w:val="00FD74B7"/>
    <w:rsid w:val="01A41BF5"/>
    <w:rsid w:val="035970FB"/>
    <w:rsid w:val="06FE14DA"/>
    <w:rsid w:val="07994FA9"/>
    <w:rsid w:val="082C6A05"/>
    <w:rsid w:val="089613C2"/>
    <w:rsid w:val="0980529E"/>
    <w:rsid w:val="0A583EBA"/>
    <w:rsid w:val="142E0D9F"/>
    <w:rsid w:val="14B117AC"/>
    <w:rsid w:val="14B61064"/>
    <w:rsid w:val="185E2DD2"/>
    <w:rsid w:val="189D5D5B"/>
    <w:rsid w:val="19E215EC"/>
    <w:rsid w:val="20E60BF9"/>
    <w:rsid w:val="2BBE1E4A"/>
    <w:rsid w:val="2CE025E4"/>
    <w:rsid w:val="32C2315B"/>
    <w:rsid w:val="3679026C"/>
    <w:rsid w:val="369D6E99"/>
    <w:rsid w:val="36AD591D"/>
    <w:rsid w:val="370F5FDD"/>
    <w:rsid w:val="393E1C17"/>
    <w:rsid w:val="3C3C59E3"/>
    <w:rsid w:val="3D864719"/>
    <w:rsid w:val="41A05C16"/>
    <w:rsid w:val="45A1218A"/>
    <w:rsid w:val="494F6219"/>
    <w:rsid w:val="4E8040B0"/>
    <w:rsid w:val="507E0E8F"/>
    <w:rsid w:val="55145FF1"/>
    <w:rsid w:val="55427558"/>
    <w:rsid w:val="57C957F9"/>
    <w:rsid w:val="58531B77"/>
    <w:rsid w:val="58A94190"/>
    <w:rsid w:val="5D2C42B6"/>
    <w:rsid w:val="5D556041"/>
    <w:rsid w:val="5DCF77D7"/>
    <w:rsid w:val="5DE4241F"/>
    <w:rsid w:val="5E070FAB"/>
    <w:rsid w:val="5E8A1DDD"/>
    <w:rsid w:val="5FB903FD"/>
    <w:rsid w:val="5FFE0333"/>
    <w:rsid w:val="6C1A3754"/>
    <w:rsid w:val="6E612FCD"/>
    <w:rsid w:val="70FF70CC"/>
    <w:rsid w:val="7ACB37F5"/>
    <w:rsid w:val="7E5B5833"/>
    <w:rsid w:val="7E7C25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next w:val="4"/>
    <w:qFormat/>
    <w:uiPriority w:val="0"/>
    <w:pPr>
      <w:spacing w:after="140" w:line="276" w:lineRule="auto"/>
    </w:pPr>
  </w:style>
  <w:style w:type="paragraph" w:styleId="4">
    <w:name w:val="Title"/>
    <w:next w:val="1"/>
    <w:qFormat/>
    <w:uiPriority w:val="0"/>
    <w:pPr>
      <w:widowControl w:val="0"/>
      <w:spacing w:before="60" w:after="120" w:line="560" w:lineRule="exact"/>
      <w:jc w:val="center"/>
      <w:outlineLvl w:val="0"/>
    </w:pPr>
    <w:rPr>
      <w:rFonts w:ascii="Times New Roman" w:hAnsi="Times New Roman" w:eastAsia="方正小标宋简体" w:cs="Calibri"/>
      <w:bCs/>
      <w:kern w:val="2"/>
      <w:sz w:val="44"/>
      <w:szCs w:val="32"/>
      <w:lang w:val="en-US" w:eastAsia="zh-CN"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1">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2183</Words>
  <Characters>2289</Characters>
  <Lines>16</Lines>
  <Paragraphs>4</Paragraphs>
  <TotalTime>87</TotalTime>
  <ScaleCrop>false</ScaleCrop>
  <LinksUpToDate>false</LinksUpToDate>
  <CharactersWithSpaces>2293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2026-06-11T23:19:00Z</dcterms:created>
  <dc:creator>邱梅花</dc:creator>
  <cp:lastModifiedBy>Administrator</cp:lastModifiedBy>
  <dcterms:modified xsi:type="dcterms:W3CDTF">2026-06-12T09:29:03Z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9DE773FAC97C4F6B87B45730E82683F3_13</vt:lpwstr>
  </property>
  <property fmtid="{D5CDD505-2E9C-101B-9397-08002B2CF9AE}" pid="4" name="KSOTemplateDocerSaveRecord">
    <vt:lpwstr>eyJoZGlkIjoiMzFhMWJjMDBlMmQ5ZDJlNzkxMjVmMmEyMjU3ODZkNDIifQ==</vt:lpwstr>
  </property>
</Properties>
</file>