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0EEEC9">
      <w:pPr>
        <w:keepNext w:val="0"/>
        <w:keepLines w:val="0"/>
        <w:pageBreakBefore w:val="0"/>
        <w:wordWrap/>
        <w:overflowPunct/>
        <w:topLinePunct w:val="0"/>
        <w:bidi w:val="0"/>
        <w:adjustRightInd/>
        <w:snapToGrid/>
        <w:spacing w:line="600" w:lineRule="exac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附件3-1</w:t>
      </w:r>
    </w:p>
    <w:p w14:paraId="1C52CF32">
      <w:pPr>
        <w:keepNext w:val="0"/>
        <w:keepLines w:val="0"/>
        <w:pageBreakBefore w:val="0"/>
        <w:wordWrap/>
        <w:overflowPunct/>
        <w:topLinePunct w:val="0"/>
        <w:bidi w:val="0"/>
        <w:adjustRightInd/>
        <w:snapToGrid/>
        <w:spacing w:line="60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575AE4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="0" w:firstLine="880" w:firstLineChars="20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color w:val="auto"/>
          <w:kern w:val="2"/>
          <w:sz w:val="44"/>
          <w:szCs w:val="44"/>
          <w:shd w:val="clear" w:color="auto" w:fill="auto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color w:val="auto"/>
          <w:kern w:val="2"/>
          <w:sz w:val="44"/>
          <w:szCs w:val="44"/>
          <w:shd w:val="clear" w:color="auto" w:fill="auto"/>
          <w:lang w:val="en-US" w:eastAsia="zh-CN"/>
        </w:rPr>
        <w:t>创新型中小企业评价标准</w:t>
      </w:r>
    </w:p>
    <w:p w14:paraId="14E38E60">
      <w:pPr>
        <w:keepNext w:val="0"/>
        <w:keepLines w:val="0"/>
        <w:pageBreakBefore w:val="0"/>
        <w:wordWrap/>
        <w:overflowPunct/>
        <w:topLinePunct w:val="0"/>
        <w:bidi w:val="0"/>
        <w:adjustRightInd/>
        <w:snapToGrid/>
        <w:spacing w:line="60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</w:p>
    <w:p w14:paraId="4F0E33BA"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rPr>
          <w:rFonts w:hint="eastAsia"/>
          <w:b w:val="0"/>
          <w:bCs w:val="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一、公告条件</w:t>
      </w:r>
    </w:p>
    <w:p w14:paraId="0F6166BA">
      <w:pPr>
        <w:keepNext w:val="0"/>
        <w:keepLines w:val="0"/>
        <w:pageBreakBefore w:val="0"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评价得分达到60分以上(其中创新能力指标得分不低于20分、成长性指标及专业化指标得分均不低于15分)，或满足下列条件之一：</w:t>
      </w:r>
    </w:p>
    <w:p w14:paraId="6B95270A">
      <w:pPr>
        <w:keepNext w:val="0"/>
        <w:keepLines w:val="0"/>
        <w:pageBreakBefore w:val="0"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（一）近三年内获得过国家级、省级科技奖励。</w:t>
      </w:r>
    </w:p>
    <w:p w14:paraId="43EF155E">
      <w:pPr>
        <w:keepNext w:val="0"/>
        <w:keepLines w:val="0"/>
        <w:pageBreakBefore w:val="0"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（二）获得高新技术企业、国家级技术创新示范企业、知识产权优势企业和知识产权示范企业等荣誉(均为有效期内)。</w:t>
      </w:r>
    </w:p>
    <w:p w14:paraId="069CD269">
      <w:pPr>
        <w:keepNext w:val="0"/>
        <w:keepLines w:val="0"/>
        <w:pageBreakBefore w:val="0"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（三）拥有经认定的省部级以上研发机构。</w:t>
      </w:r>
    </w:p>
    <w:p w14:paraId="0A797E70">
      <w:pPr>
        <w:keepNext w:val="0"/>
        <w:keepLines w:val="0"/>
        <w:pageBreakBefore w:val="0"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（四）近三年新增股权融资总额(合格机构投资者的实缴额)500万元以上。</w:t>
      </w:r>
    </w:p>
    <w:p w14:paraId="19FB6038"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rPr>
          <w:rFonts w:hint="eastAsia"/>
          <w:b w:val="0"/>
          <w:bCs w:val="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二、评价指标</w:t>
      </w:r>
    </w:p>
    <w:p w14:paraId="4EB650C9">
      <w:pPr>
        <w:keepNext w:val="0"/>
        <w:keepLines w:val="0"/>
        <w:pageBreakBefore w:val="0"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包括创新能力、成长性、专业化三类六个指标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" w:eastAsia="zh-CN"/>
        </w:rPr>
        <w:t>,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评价结果依分值计算，满分为100分。</w:t>
      </w:r>
    </w:p>
    <w:p w14:paraId="785E02F4">
      <w:pPr>
        <w:keepNext w:val="0"/>
        <w:keepLines w:val="0"/>
        <w:pageBreakBefore w:val="0"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（一）创新能力指标(满分40分)</w:t>
      </w:r>
    </w:p>
    <w:p w14:paraId="4F531D0C">
      <w:pPr>
        <w:keepNext w:val="0"/>
        <w:keepLines w:val="0"/>
        <w:pageBreakBefore w:val="0"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1.与企业主导产品相关的有效知识产权数量(满分20分)</w:t>
      </w:r>
    </w:p>
    <w:p w14:paraId="35B80D8E">
      <w:pPr>
        <w:keepNext w:val="0"/>
        <w:keepLines w:val="0"/>
        <w:pageBreakBefore w:val="0"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A.Ⅰ类高价值知识产权1项以上(20分)</w:t>
      </w:r>
    </w:p>
    <w:p w14:paraId="1EACC6F7">
      <w:pPr>
        <w:keepNext w:val="0"/>
        <w:keepLines w:val="0"/>
        <w:pageBreakBefore w:val="0"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B.自主研发的Ⅰ类知识产权1项以上(15分)</w:t>
      </w:r>
    </w:p>
    <w:p w14:paraId="5D8AED88">
      <w:pPr>
        <w:keepNext w:val="0"/>
        <w:keepLines w:val="0"/>
        <w:pageBreakBefore w:val="0"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C.Ⅰ类知识产权1项以上(10分)</w:t>
      </w:r>
    </w:p>
    <w:p w14:paraId="22154803">
      <w:pPr>
        <w:keepNext w:val="0"/>
        <w:keepLines w:val="0"/>
        <w:pageBreakBefore w:val="0"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D.Ⅱ类知识产权1项以上(5分)</w:t>
      </w:r>
    </w:p>
    <w:p w14:paraId="7B4C953D">
      <w:pPr>
        <w:keepNext w:val="0"/>
        <w:keepLines w:val="0"/>
        <w:pageBreakBefore w:val="0"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E.无(0分)</w:t>
      </w:r>
    </w:p>
    <w:p w14:paraId="011F3F17">
      <w:pPr>
        <w:keepNext w:val="0"/>
        <w:keepLines w:val="0"/>
        <w:pageBreakBefore w:val="0"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2.上年度研发费用总额占营业收入总额比重(满分20分)</w:t>
      </w:r>
    </w:p>
    <w:p w14:paraId="51539912">
      <w:pPr>
        <w:keepNext w:val="0"/>
        <w:keepLines w:val="0"/>
        <w:pageBreakBefore w:val="0"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A.5%以上(20分)</w:t>
      </w:r>
    </w:p>
    <w:p w14:paraId="5EF3440C">
      <w:pPr>
        <w:keepNext w:val="0"/>
        <w:keepLines w:val="0"/>
        <w:pageBreakBefore w:val="0"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B.3%-5%(15分)</w:t>
      </w:r>
    </w:p>
    <w:p w14:paraId="4DA00E1A">
      <w:pPr>
        <w:keepNext w:val="0"/>
        <w:keepLines w:val="0"/>
        <w:pageBreakBefore w:val="0"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C.2%-3%(10分)</w:t>
      </w:r>
    </w:p>
    <w:p w14:paraId="7791C1F8">
      <w:pPr>
        <w:keepNext w:val="0"/>
        <w:keepLines w:val="0"/>
        <w:pageBreakBefore w:val="0"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D.1%-2%(5分)</w:t>
      </w:r>
    </w:p>
    <w:p w14:paraId="527BF7F9">
      <w:pPr>
        <w:keepNext w:val="0"/>
        <w:keepLines w:val="0"/>
        <w:pageBreakBefore w:val="0"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E.1%以下(0分)</w:t>
      </w:r>
    </w:p>
    <w:p w14:paraId="058EFF6F">
      <w:pPr>
        <w:keepNext w:val="0"/>
        <w:keepLines w:val="0"/>
        <w:pageBreakBefore w:val="0"/>
        <w:wordWrap/>
        <w:overflowPunct/>
        <w:topLinePunct w:val="0"/>
        <w:bidi w:val="0"/>
        <w:adjustRightInd/>
        <w:snapToGrid/>
        <w:spacing w:line="60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（二）成长性指标 (满分30分)</w:t>
      </w:r>
    </w:p>
    <w:p w14:paraId="147BB250">
      <w:pPr>
        <w:keepNext w:val="0"/>
        <w:keepLines w:val="0"/>
        <w:pageBreakBefore w:val="0"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3.上年度主营业务收入增长率 (满分20分)</w:t>
      </w:r>
    </w:p>
    <w:p w14:paraId="66AE0EDB">
      <w:pPr>
        <w:keepNext w:val="0"/>
        <w:keepLines w:val="0"/>
        <w:pageBreakBefore w:val="0"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A.15%以上(20分)</w:t>
      </w:r>
    </w:p>
    <w:p w14:paraId="750C6906">
      <w:pPr>
        <w:keepNext w:val="0"/>
        <w:keepLines w:val="0"/>
        <w:pageBreakBefore w:val="0"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B.10%-15%(15分)</w:t>
      </w:r>
    </w:p>
    <w:p w14:paraId="2C1E71D1">
      <w:pPr>
        <w:keepNext w:val="0"/>
        <w:keepLines w:val="0"/>
        <w:pageBreakBefore w:val="0"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C.5%-10%(10分)</w:t>
      </w:r>
    </w:p>
    <w:p w14:paraId="6D4D915F">
      <w:pPr>
        <w:keepNext w:val="0"/>
        <w:keepLines w:val="0"/>
        <w:pageBreakBefore w:val="0"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D.0%-5%(5分)</w:t>
      </w:r>
    </w:p>
    <w:p w14:paraId="339A0D3E">
      <w:pPr>
        <w:keepNext w:val="0"/>
        <w:keepLines w:val="0"/>
        <w:pageBreakBefore w:val="0"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E.0%以下(0分)</w:t>
      </w:r>
    </w:p>
    <w:p w14:paraId="38075D46">
      <w:pPr>
        <w:keepNext w:val="0"/>
        <w:keepLines w:val="0"/>
        <w:pageBreakBefore w:val="0"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4.上年度资产负债率 (满分10分)</w:t>
      </w:r>
    </w:p>
    <w:p w14:paraId="2D3E63BB">
      <w:pPr>
        <w:keepNext w:val="0"/>
        <w:keepLines w:val="0"/>
        <w:pageBreakBefore w:val="0"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A.55%以下(10分)</w:t>
      </w:r>
    </w:p>
    <w:p w14:paraId="31679B94">
      <w:pPr>
        <w:keepNext w:val="0"/>
        <w:keepLines w:val="0"/>
        <w:pageBreakBefore w:val="0"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B.55%-75%(5分)</w:t>
      </w:r>
    </w:p>
    <w:p w14:paraId="4DEBC0B8">
      <w:pPr>
        <w:keepNext w:val="0"/>
        <w:keepLines w:val="0"/>
        <w:pageBreakBefore w:val="0"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D.75%以上(0分)</w:t>
      </w:r>
    </w:p>
    <w:p w14:paraId="77027D19">
      <w:pPr>
        <w:keepNext w:val="0"/>
        <w:keepLines w:val="0"/>
        <w:pageBreakBefore w:val="0"/>
        <w:numPr>
          <w:ilvl w:val="0"/>
          <w:numId w:val="1"/>
        </w:numPr>
        <w:wordWrap/>
        <w:overflowPunct/>
        <w:topLinePunct w:val="0"/>
        <w:bidi w:val="0"/>
        <w:adjustRightInd/>
        <w:snapToGrid/>
        <w:spacing w:line="600" w:lineRule="exact"/>
        <w:ind w:firstLine="320" w:firstLineChars="1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专业化指标 (满分30分)</w:t>
      </w:r>
    </w:p>
    <w:p w14:paraId="07CCCD42"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5.主导产品所属领域情况 (满分10分)</w:t>
      </w:r>
    </w:p>
    <w:p w14:paraId="65EC0A07">
      <w:pPr>
        <w:keepNext w:val="0"/>
        <w:keepLines w:val="0"/>
        <w:pageBreakBefore w:val="0"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A.属于《战略性新兴产业分类》(10分)</w:t>
      </w:r>
    </w:p>
    <w:p w14:paraId="2332FDA0">
      <w:pPr>
        <w:keepNext w:val="0"/>
        <w:keepLines w:val="0"/>
        <w:pageBreakBefore w:val="0"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B.属于其他领域 (5分)</w:t>
      </w:r>
    </w:p>
    <w:p w14:paraId="5F3B97D3">
      <w:pPr>
        <w:keepNext w:val="0"/>
        <w:keepLines w:val="0"/>
        <w:pageBreakBefore w:val="0"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6.上年度主营业务收入总额占营业收入总额比重(满分20分)</w:t>
      </w:r>
    </w:p>
    <w:p w14:paraId="675BDB07">
      <w:pPr>
        <w:keepNext w:val="0"/>
        <w:keepLines w:val="0"/>
        <w:pageBreakBefore w:val="0"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A.70%以上(20分)</w:t>
      </w:r>
    </w:p>
    <w:p w14:paraId="31592F7F">
      <w:pPr>
        <w:keepNext w:val="0"/>
        <w:keepLines w:val="0"/>
        <w:pageBreakBefore w:val="0"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B.60%-70%(15分)</w:t>
      </w:r>
    </w:p>
    <w:p w14:paraId="2C3A162E">
      <w:pPr>
        <w:keepNext w:val="0"/>
        <w:keepLines w:val="0"/>
        <w:pageBreakBefore w:val="0"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C.55%-60%(10分)</w:t>
      </w:r>
    </w:p>
    <w:p w14:paraId="7D87A444">
      <w:pPr>
        <w:keepNext w:val="0"/>
        <w:keepLines w:val="0"/>
        <w:pageBreakBefore w:val="0"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D.50%-55%(5分)</w:t>
      </w:r>
    </w:p>
    <w:p w14:paraId="70506F43">
      <w:pPr>
        <w:keepNext w:val="0"/>
        <w:keepLines w:val="0"/>
        <w:pageBreakBefore w:val="0"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E.50%以下（0分）</w:t>
      </w:r>
    </w:p>
    <w:p w14:paraId="0114D90A">
      <w:pPr>
        <w:keepNext w:val="0"/>
        <w:keepLines w:val="0"/>
        <w:pageBreakBefore w:val="0"/>
        <w:wordWrap/>
        <w:overflowPunct/>
        <w:topLinePunct w:val="0"/>
        <w:bidi w:val="0"/>
        <w:adjustRightInd/>
        <w:snapToGrid/>
        <w:spacing w:line="60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9"/>
      <w:pgMar w:top="1431" w:right="1675" w:bottom="1625" w:left="1785" w:header="0" w:footer="1213" w:gutter="0"/>
      <w:pgNumType w:fmt="decimal" w:chapSep="hyphen"/>
      <w:cols w:space="708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F9E253">
    <w:pPr>
      <w:spacing w:line="205" w:lineRule="auto"/>
      <w:ind w:left="3867"/>
      <w:rPr>
        <w:rFonts w:ascii="微软雅黑" w:hAnsi="微软雅黑" w:eastAsia="微软雅黑" w:cs="微软雅黑"/>
        <w:sz w:val="28"/>
        <w:szCs w:val="28"/>
      </w:rPr>
    </w:pPr>
    <w:r>
      <w:rPr>
        <w:sz w:val="28"/>
      </w:rPr>
      <w:pict>
        <v:shape id="文本框 12" o:spid="_x0000_s2050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weight="0.5pt"/>
          <v:imagedata o:title=""/>
          <o:lock v:ext="edit" aspectratio="f"/>
          <v:textbox inset="0mm,0mm,0mm,0mm" style="mso-fit-shape-to-text:t;">
            <w:txbxContent>
              <w:p w14:paraId="2B41824F">
                <w:pPr>
                  <w:pStyle w:val="7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5AD850">
    <w:r>
      <w:pict>
        <v:shape id="ImpTraceLabel" o:spid="_x0000_s2049" o:spt="202" type="#_x0000_t202" style="position:absolute;left:0pt;margin-left:0pt;margin-top:0pt;height:0pt;width:0pt;mso-position-horizontal-relative:page;mso-position-vertical-relative:page;z-index:25166028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>
            <w:txbxContent>
              <w:p w14:paraId="7291048B">
                <w:r>
                  <w:t>ImpTraceLabel=PD94bWwgdmVyc2lvbj0nMS4wJyBlbmNvZGluZz0nVVRGLTgnPz48dHJhY2U+PGNvbnRlbnQ+PC9jb250ZW50PjxhY2NvdW50Pm9rbzkyZm03YWh0bDkwamhrb3UzeDg8L2FjY291bnQ+PG1hY2hpbmVDb2RlPkszODkyODIxMDY5MTQKPC9tYWNoaW5lQ29kZT48dGltZT4yMDI2LTA1LTEzIDExOjIzOjIzPC90aW1lPjxzeXN0ZW0+TUI8c3lzdGVtPjwvdHJhY2U+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2E227B2"/>
    <w:multiLevelType w:val="singleLevel"/>
    <w:tmpl w:val="E2E227B2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revisionView w:markup="0"/>
  <w:documentProtection w:enforcement="0"/>
  <w:defaultTabStop w:val="420"/>
  <w:characterSpacingControl w:val="doNotCompress"/>
  <w:noLineBreaksAfter w:lang="zh-CN" w:val="([{·‘“〈《「『【〔〖（．［｛￡￥"/>
  <w:noLineBreaksBefore w:lang="zh-CN" w:val="!),.:;?]}¨·ˇˉ―‖’”…∶、。〃々〉》」』】〕〗！＂＇），．：；？］｀｜｝～￠"/>
  <w:hdrShapeDefaults>
    <o:shapelayout v:ext="edit">
      <o:idmap v:ext="edit" data="2"/>
    </o:shapelayout>
  </w:hdrShapeDefaults>
  <w:compat>
    <w:spaceForUL/>
    <w:ulTrailSpac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2ZmZjVkMTA4ZWI2NWJlM2E0YTU0YWY3ZTRkOTJlNDYifQ=="/>
  </w:docVars>
  <w:rsids>
    <w:rsidRoot w:val="00000000"/>
    <w:rsid w:val="050A2C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4">
    <w:name w:val="heading 3"/>
    <w:basedOn w:val="1"/>
    <w:next w:val="1"/>
    <w:qFormat/>
    <w:uiPriority w:val="0"/>
    <w:pPr>
      <w:keepNext/>
      <w:keepLines/>
      <w:autoSpaceDE/>
      <w:autoSpaceDN/>
      <w:adjustRightInd/>
      <w:snapToGrid/>
      <w:spacing w:line="360" w:lineRule="auto"/>
      <w:ind w:firstLine="600" w:firstLineChars="200"/>
      <w:outlineLvl w:val="2"/>
    </w:pPr>
    <w:rPr>
      <w:rFonts w:ascii="Times New Roman" w:hAnsi="仿宋" w:eastAsia="黑体" w:cs="Times New Roman"/>
      <w:bCs/>
      <w:spacing w:val="0"/>
      <w:kern w:val="0"/>
      <w:sz w:val="21"/>
      <w:szCs w:val="32"/>
    </w:rPr>
  </w:style>
  <w:style w:type="character" w:default="1" w:styleId="10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Cs w:val="24"/>
    </w:rPr>
  </w:style>
  <w:style w:type="paragraph" w:styleId="5">
    <w:name w:val="Body Text"/>
    <w:basedOn w:val="1"/>
    <w:next w:val="6"/>
    <w:qFormat/>
    <w:uiPriority w:val="0"/>
    <w:pPr>
      <w:spacing w:after="140" w:line="276" w:lineRule="auto"/>
    </w:pPr>
  </w:style>
  <w:style w:type="paragraph" w:styleId="6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libri Light" w:hAnsi="Calibri Light"/>
      <w:b/>
      <w:bCs/>
      <w:szCs w:val="32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11">
    <w:name w:val="Table Normal_0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586</Words>
  <Characters>767</Characters>
  <Lines>78</Lines>
  <Paragraphs>22</Paragraphs>
  <TotalTime>0</TotalTime>
  <ScaleCrop>false</ScaleCrop>
  <LinksUpToDate>false</LinksUpToDate>
  <CharactersWithSpaces>774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2022-12-10T17:42:00Z</dcterms:created>
  <dc:creator>lenovo</dc:creator>
  <cp:lastModifiedBy>泡面</cp:lastModifiedBy>
  <dcterms:modified xsi:type="dcterms:W3CDTF">2026-05-14T01:26:50Z</dcterms:modified>
  <dc:title>附件 1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2023-02-19T06:13:20Z</vt:filetime>
  </property>
  <property fmtid="{D5CDD505-2E9C-101B-9397-08002B2CF9AE}" pid="3" name="CRO">
    <vt:lpwstr>wqlLaW5nc29mdCBQREYgdG8gV1BTIDgw</vt:lpwstr>
  </property>
  <property fmtid="{D5CDD505-2E9C-101B-9397-08002B2CF9AE}" pid="4" name="ICV">
    <vt:lpwstr>E1F8DB20632A417294FA5AEC0C39EF0F</vt:lpwstr>
  </property>
  <property fmtid="{D5CDD505-2E9C-101B-9397-08002B2CF9AE}" pid="5" name="KSOProductBuildVer">
    <vt:lpwstr>2052-12.1.0.25865</vt:lpwstr>
  </property>
  <property fmtid="{D5CDD505-2E9C-101B-9397-08002B2CF9AE}" pid="6" name="慧眼令牌">
    <vt:lpwstr>eyJraWQiOiJvYSIsInR5cCI6IkpXVCIsImFsZyI6IkhTMjU2In0.eyJzdWIiOiJPQS1MT0dJTiIsIm5iZiI6MTY3NzcxMTk5OCwiY29ycElkIjoiIiwiaXNzIjoiRVhPQSIsIm5hbWUiOiLnp6bpuKMiLCJleHAiOjE5OTMwNzU1OTgsImlhdCI6MTY3NzcxNDk5OCwidXNlcklkIjoxMzc2MCwianRpIjoib2EiLCJhY2NvdW50IjoicWlubSJ9.j2msy3UxRjPceCcb-BpU6CyCfA-KEuk3iDEXZpqI71c</vt:lpwstr>
  </property>
  <property fmtid="{D5CDD505-2E9C-101B-9397-08002B2CF9AE}" pid="7" name="KSOTemplateDocerSaveRecord">
    <vt:lpwstr>eyJoZGlkIjoiZGE2NmRjZjUwZmVhZGZjYzBhZTFiODM2YTExNTc1ODYiLCJ1c2VySWQiOiIzMzM1NjEyNjgifQ==</vt:lpwstr>
  </property>
</Properties>
</file>