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4C17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4</w:t>
      </w:r>
    </w:p>
    <w:p w14:paraId="213B873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创新型中小企业评价标准</w:t>
      </w:r>
    </w:p>
    <w:p w14:paraId="1D7FCB7E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一、公告条件</w:t>
      </w:r>
    </w:p>
    <w:p w14:paraId="0E258EA5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评价得分达到60分以上（其中创新能力指标得分不低于20分、成长性指标及专业化指标得分均不低于15分），或满足下列条件之一：</w:t>
      </w:r>
    </w:p>
    <w:p w14:paraId="71D71D58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（一）近三年内获得过国家级、省级科技奖励。</w:t>
      </w:r>
    </w:p>
    <w:p w14:paraId="011077CE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（二）获得高新技术企业、国家级技术创新示范企业、知识产权优势企业和知识产权示范企业等荣誉（均为有效期内）。</w:t>
      </w:r>
    </w:p>
    <w:p w14:paraId="5E19E4AC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（三）拥有经认定的省部级以上研发机构。</w:t>
      </w:r>
    </w:p>
    <w:p w14:paraId="570EABB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（四）近三年新增股权融资总额（合格机构投资者的实缴额）500万元以上。</w:t>
      </w:r>
    </w:p>
    <w:p w14:paraId="49305875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二、评价指标</w:t>
      </w:r>
    </w:p>
    <w:p w14:paraId="767D8443">
      <w:pPr>
        <w:ind w:firstLine="707" w:firstLineChars="22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包括创新能力、成长性、专业化三类六个指标，评价结果依分值计算，满分为100分。</w:t>
      </w:r>
    </w:p>
    <w:p w14:paraId="54CAACCE">
      <w:pPr>
        <w:ind w:firstLine="64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（一）创新能力指标（满分40分）</w:t>
      </w:r>
    </w:p>
    <w:p w14:paraId="0260C55C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1.与企业主导产品相关的有效知识产权数量（满分20分）</w:t>
      </w:r>
    </w:p>
    <w:p w14:paraId="3732D905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A.I类高价值知识产权1项以上（20分）</w:t>
      </w:r>
    </w:p>
    <w:p w14:paraId="68C35817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B.自主研发的I类知识产权1项以上（15分）</w:t>
      </w:r>
    </w:p>
    <w:p w14:paraId="1E442910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C.I类知识产权1项以上（10分）</w:t>
      </w:r>
    </w:p>
    <w:p w14:paraId="2901D97E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D.II类知识产权1项以上（5分）</w:t>
      </w:r>
    </w:p>
    <w:p w14:paraId="71E5806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E.无（0分）</w:t>
      </w:r>
    </w:p>
    <w:p w14:paraId="15437806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2.上年度研发费用总额占营业收入总额比重（满分20分）</w:t>
      </w:r>
    </w:p>
    <w:p w14:paraId="6424F594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A.5%以上（20分）</w:t>
      </w:r>
    </w:p>
    <w:p w14:paraId="42C0CD2E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B.3%-5%（15分）</w:t>
      </w:r>
    </w:p>
    <w:p w14:paraId="092FF6D0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C.2%-3%（10分）</w:t>
      </w:r>
    </w:p>
    <w:p w14:paraId="6687E849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D.1%-2%（5分）</w:t>
      </w:r>
    </w:p>
    <w:p w14:paraId="1A212C02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E.1%以下（0分）</w:t>
      </w:r>
    </w:p>
    <w:p w14:paraId="4945BA0B">
      <w:pPr>
        <w:ind w:firstLine="64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（二）成长性指标（满分30分）</w:t>
      </w:r>
    </w:p>
    <w:p w14:paraId="72C1D0D7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3.上年度主营业务收入增长率（满分20分）</w:t>
      </w:r>
    </w:p>
    <w:p w14:paraId="05C5D08D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A.15%以上（20分）</w:t>
      </w:r>
    </w:p>
    <w:p w14:paraId="550A5E7A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B.10%-15%（15分）</w:t>
      </w:r>
    </w:p>
    <w:p w14:paraId="503ACD2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C.5%-10%（10分）</w:t>
      </w:r>
    </w:p>
    <w:p w14:paraId="6333B6E4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D.0%-5%（5分）</w:t>
      </w:r>
    </w:p>
    <w:p w14:paraId="1101638F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E.0%以下（0分）</w:t>
      </w:r>
    </w:p>
    <w:p w14:paraId="16D40D8E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4.上年度资产负债率（满分10分）</w:t>
      </w:r>
    </w:p>
    <w:p w14:paraId="6DE3732D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A.55%以下（10分）</w:t>
      </w:r>
    </w:p>
    <w:p w14:paraId="5CDFFD65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B.55%-75%（5分）</w:t>
      </w:r>
    </w:p>
    <w:p w14:paraId="660EEAB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C.75%以上（0分）</w:t>
      </w:r>
    </w:p>
    <w:p w14:paraId="2D7B8EA6">
      <w:pPr>
        <w:ind w:firstLine="64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（三）专业化指标（满分30分）</w:t>
      </w:r>
    </w:p>
    <w:p w14:paraId="502093EB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5.主导产品所属领域情况（满分10分）</w:t>
      </w:r>
    </w:p>
    <w:p w14:paraId="3CECC922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A.属于《战略性新兴产业分类》（10分）</w:t>
      </w:r>
    </w:p>
    <w:p w14:paraId="6997952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B.属于其他领域（5分）</w:t>
      </w:r>
    </w:p>
    <w:p w14:paraId="4B79C274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6.上年度主营业务收入总额占营业收入总额比重（满分20分）</w:t>
      </w:r>
    </w:p>
    <w:p w14:paraId="55508C0A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A.70%以上（20分）</w:t>
      </w:r>
    </w:p>
    <w:p w14:paraId="186ED63C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B.60%-70%（15分）</w:t>
      </w:r>
    </w:p>
    <w:p w14:paraId="3BE7FF1B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C.55%-60%（10分）</w:t>
      </w:r>
    </w:p>
    <w:p w14:paraId="7D424D97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D.50%-55%（5分）</w:t>
      </w:r>
    </w:p>
    <w:p w14:paraId="37C2963D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E.50%以下（0分）</w:t>
      </w:r>
    </w:p>
    <w:p w14:paraId="289698F4">
      <w:pPr>
        <w:ind w:firstLine="640" w:firstLineChars="200"/>
        <w:rPr>
          <w:rFonts w:hint="eastAsia" w:ascii="仿宋_GB2312" w:eastAsia="仿宋_GB2312"/>
        </w:rPr>
      </w:pPr>
    </w:p>
    <w:p w14:paraId="23F76EA2">
      <w:pPr>
        <w:ind w:firstLine="640" w:firstLineChars="200"/>
        <w:rPr>
          <w:rFonts w:hint="eastAsia" w:ascii="仿宋_GB2312" w:eastAsia="仿宋_GB2312"/>
        </w:rPr>
      </w:pPr>
    </w:p>
    <w:p w14:paraId="1E9E0898">
      <w:pPr>
        <w:ind w:firstLine="640" w:firstLineChars="200"/>
        <w:rPr>
          <w:rFonts w:hint="eastAsia" w:ascii="仿宋_GB2312" w:eastAsia="仿宋_GB2312"/>
        </w:rPr>
      </w:pPr>
    </w:p>
    <w:p w14:paraId="711575DA">
      <w:pPr>
        <w:ind w:firstLine="640" w:firstLineChars="200"/>
        <w:rPr>
          <w:rFonts w:hint="eastAsia" w:ascii="仿宋_GB2312" w:eastAsia="仿宋_GB2312"/>
        </w:rPr>
      </w:pPr>
    </w:p>
    <w:p w14:paraId="4A0ADC30">
      <w:pPr>
        <w:ind w:firstLine="640" w:firstLineChars="200"/>
        <w:rPr>
          <w:rFonts w:hint="eastAsia" w:ascii="仿宋_GB2312" w:eastAsia="仿宋_GB2312"/>
        </w:rPr>
      </w:pPr>
    </w:p>
    <w:p w14:paraId="4A6C33E3">
      <w:pPr>
        <w:ind w:firstLine="640" w:firstLineChars="200"/>
        <w:rPr>
          <w:rFonts w:hint="eastAsia" w:ascii="仿宋_GB2312" w:eastAsia="仿宋_GB2312"/>
        </w:rPr>
      </w:pPr>
    </w:p>
    <w:p w14:paraId="64F74D86">
      <w:pPr>
        <w:ind w:firstLine="640" w:firstLineChars="200"/>
        <w:rPr>
          <w:rFonts w:hint="eastAsia" w:ascii="仿宋_GB2312" w:eastAsia="仿宋_GB2312"/>
        </w:rPr>
      </w:pPr>
    </w:p>
    <w:p w14:paraId="289F62D6">
      <w:pPr>
        <w:ind w:firstLine="640" w:firstLineChars="200"/>
        <w:rPr>
          <w:rFonts w:hint="eastAsia" w:ascii="仿宋_GB2312" w:eastAsia="仿宋_GB2312"/>
        </w:rPr>
      </w:pPr>
    </w:p>
    <w:p w14:paraId="4F112E3A">
      <w:pPr>
        <w:ind w:firstLine="640" w:firstLineChars="200"/>
        <w:rPr>
          <w:rFonts w:hint="eastAsia" w:ascii="仿宋_GB2312" w:eastAsia="仿宋_GB2312"/>
        </w:rPr>
      </w:pPr>
    </w:p>
    <w:p w14:paraId="62BD5D14">
      <w:pPr>
        <w:ind w:firstLine="640" w:firstLineChars="200"/>
        <w:rPr>
          <w:rFonts w:hint="eastAsia" w:ascii="仿宋_GB2312" w:eastAsia="仿宋_GB2312"/>
        </w:rPr>
      </w:pPr>
    </w:p>
    <w:p w14:paraId="26F4619F">
      <w:pPr>
        <w:ind w:firstLine="640" w:firstLineChars="200"/>
        <w:rPr>
          <w:rFonts w:hint="eastAsia" w:ascii="仿宋_GB2312" w:eastAsia="仿宋_GB2312"/>
        </w:rPr>
      </w:pPr>
    </w:p>
    <w:p w14:paraId="70BFBE15">
      <w:pPr>
        <w:ind w:firstLine="640" w:firstLineChars="200"/>
        <w:rPr>
          <w:rFonts w:hint="eastAsia" w:ascii="仿宋_GB2312" w:eastAsia="仿宋_GB2312"/>
        </w:rPr>
      </w:pPr>
    </w:p>
    <w:p w14:paraId="76E8A2DD">
      <w:pPr>
        <w:ind w:firstLine="640" w:firstLineChars="200"/>
        <w:rPr>
          <w:rFonts w:hint="eastAsia" w:ascii="仿宋_GB2312" w:eastAsia="仿宋_GB2312"/>
        </w:rPr>
      </w:pPr>
    </w:p>
    <w:p w14:paraId="3A048681">
      <w:pPr>
        <w:ind w:firstLine="640" w:firstLineChars="200"/>
        <w:rPr>
          <w:rFonts w:hint="eastAsia" w:ascii="仿宋_GB2312" w:eastAsia="仿宋_GB2312"/>
        </w:rPr>
      </w:pPr>
    </w:p>
    <w:p w14:paraId="6727C164">
      <w:pPr>
        <w:ind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474" w:bottom="1871" w:left="1531" w:header="851" w:footer="1588" w:gutter="0"/>
      <w:cols w:space="720" w:num="1"/>
      <w:docGrid w:type="line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AF8E4">
    <w:pPr>
      <w:pStyle w:val="4"/>
      <w:framePr w:wrap="around" w:vAnchor="text" w:hAnchor="margin" w:xAlign="outside" w:y="1"/>
      <w:ind w:left="320" w:right="320"/>
      <w:rPr>
        <w:rStyle w:val="9"/>
        <w:rFonts w:hint="eastAsia" w:ascii="宋体" w:hAnsi="宋体" w:eastAsia="宋体" w:cs="宋体"/>
        <w:b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13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 w14:paraId="370B34FB">
    <w:pPr>
      <w:pStyle w:val="4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5E6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1"/>
  <w:bordersDoNotSurroundHeader w:val="0"/>
  <w:bordersDoNotSurroundFooter w:val="0"/>
  <w:trackRevisions w:val="1"/>
  <w:documentProtection w:enforcement="0"/>
  <w:defaultTabStop w:val="425"/>
  <w:drawingGridHorizontalSpacing w:val="0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yYTZjZTg3ZTNiMGY1YTUxNDIwMTIyMjdiOThkYjMifQ=="/>
  </w:docVars>
  <w:rsids>
    <w:rsidRoot w:val="00000000"/>
    <w:rsid w:val="16005847"/>
    <w:rsid w:val="16A0246D"/>
    <w:rsid w:val="215C361C"/>
    <w:rsid w:val="3E846357"/>
    <w:rsid w:val="5FA93FAD"/>
    <w:rsid w:val="705A77B6"/>
    <w:rsid w:val="FE7F9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footnote text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3"/>
    <w:qFormat/>
    <w:uiPriority w:val="0"/>
    <w:rPr>
      <w:rFonts w:eastAsia="方正仿宋简体"/>
      <w:kern w:val="2"/>
      <w:sz w:val="32"/>
      <w:szCs w:val="32"/>
    </w:rPr>
  </w:style>
  <w:style w:type="character" w:customStyle="1" w:styleId="11">
    <w:name w:val="脚注文本 Char"/>
    <w:basedOn w:val="8"/>
    <w:link w:val="6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3570</Words>
  <Characters>4130</Characters>
  <Lines>34</Lines>
  <Paragraphs>9</Paragraphs>
  <TotalTime>14</TotalTime>
  <ScaleCrop>false</ScaleCrop>
  <LinksUpToDate>false</LinksUpToDate>
  <CharactersWithSpaces>5033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2022-10-19T10:35:00Z</dcterms:created>
  <dc:creator>龚文涛</dc:creator>
  <cp:lastModifiedBy>WPS_1547555856</cp:lastModifiedBy>
  <cp:lastPrinted>2022-10-21T14:42:00Z</cp:lastPrinted>
  <dcterms:modified xsi:type="dcterms:W3CDTF">2026-01-30T07:28:09Z</dcterms:modified>
  <dc:title>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DD62CCCBF6D14C8E928FAF575796AFB9_13</vt:lpwstr>
  </property>
  <property fmtid="{D5CDD505-2E9C-101B-9397-08002B2CF9AE}" pid="4" name="KSOTemplateDocerSaveRecord">
    <vt:lpwstr>eyJoZGlkIjoiM2NhNTZmMGU0ZWQ2ZDZlM2I4NWM3MjJiMDI0NWJiYmQiLCJ1c2VySWQiOiI0NTkzNTQ4NzYifQ==</vt:lpwstr>
  </property>
</Properties>
</file>