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eastAsia="方正小标宋简体"/>
          <w:bCs/>
          <w:sz w:val="44"/>
        </w:rPr>
      </w:pPr>
    </w:p>
    <w:p>
      <w:pPr>
        <w:spacing w:line="480" w:lineRule="exact"/>
        <w:jc w:val="center"/>
        <w:rPr>
          <w:rFonts w:hint="eastAsia" w:eastAsia="方正小标宋简体"/>
          <w:bCs/>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eastAsia="方正小标宋简体"/>
          <w:bCs/>
          <w:color w:val="FFFFFF"/>
          <w:sz w:val="4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eastAsia="方正小标宋简体"/>
          <w:bCs/>
          <w:color w:val="FFFFFF"/>
          <w:sz w:val="44"/>
        </w:rPr>
      </w:pPr>
    </w:p>
    <w:p>
      <w:pPr>
        <w:spacing w:line="1200" w:lineRule="exact"/>
        <w:jc w:val="distribute"/>
        <w:rPr>
          <w:rFonts w:hint="eastAsia" w:ascii="方正小标宋简体" w:hAnsi="方正小标宋简体" w:eastAsia="方正小标宋简体" w:cs="方正小标宋简体"/>
          <w:color w:val="FF0000"/>
          <w:spacing w:val="-40"/>
          <w:w w:val="70"/>
          <w:kern w:val="0"/>
          <w:sz w:val="94"/>
          <w:szCs w:val="94"/>
        </w:rPr>
      </w:pPr>
      <w:r>
        <w:rPr>
          <w:rFonts w:hint="eastAsia" w:ascii="方正小标宋简体" w:hAnsi="方正小标宋简体" w:eastAsia="方正小标宋简体" w:cs="方正小标宋简体"/>
          <w:color w:val="FF0000"/>
          <w:spacing w:val="-40"/>
          <w:w w:val="70"/>
          <w:kern w:val="0"/>
          <w:sz w:val="94"/>
          <w:szCs w:val="94"/>
        </w:rPr>
        <w:t>北京市昌平区人民政府</w:t>
      </w:r>
      <w:r>
        <w:rPr>
          <w:rFonts w:hint="eastAsia" w:ascii="方正小标宋简体" w:hAnsi="方正小标宋简体" w:eastAsia="方正小标宋简体" w:cs="方正小标宋简体"/>
          <w:color w:val="FF0000"/>
          <w:spacing w:val="-40"/>
          <w:w w:val="70"/>
          <w:kern w:val="0"/>
          <w:sz w:val="94"/>
          <w:szCs w:val="94"/>
          <w:lang w:eastAsia="zh-CN"/>
        </w:rPr>
        <w:t>办公室</w:t>
      </w:r>
      <w:r>
        <w:rPr>
          <w:rFonts w:hint="eastAsia" w:ascii="方正小标宋简体" w:hAnsi="方正小标宋简体" w:eastAsia="方正小标宋简体" w:cs="方正小标宋简体"/>
          <w:color w:val="FF0000"/>
          <w:spacing w:val="-40"/>
          <w:w w:val="70"/>
          <w:kern w:val="0"/>
          <w:sz w:val="94"/>
          <w:szCs w:val="94"/>
        </w:rPr>
        <w:t>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方正小标宋简体"/>
          <w:bCs/>
          <w:sz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方正小标宋简体"/>
          <w:bCs/>
          <w:sz w:val="44"/>
        </w:rPr>
      </w:pP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仿宋_GB2312"/>
          <w:b w:val="0"/>
        </w:rPr>
      </w:pPr>
      <w:r>
        <w:rPr>
          <w:rFonts w:hint="eastAsia"/>
          <w:b w:val="0"/>
        </w:rPr>
        <w:t>昌政</w:t>
      </w:r>
      <w:r>
        <w:rPr>
          <w:rFonts w:hint="eastAsia"/>
          <w:b w:val="0"/>
          <w:lang w:eastAsia="zh-CN"/>
        </w:rPr>
        <w:t>办</w:t>
      </w:r>
      <w:r>
        <w:rPr>
          <w:rFonts w:hint="eastAsia"/>
          <w:b w:val="0"/>
        </w:rPr>
        <w:t>发</w:t>
      </w:r>
      <w:r>
        <w:rPr>
          <w:rFonts w:hint="eastAsia" w:ascii="仿宋_GB2312"/>
          <w:b w:val="0"/>
        </w:rPr>
        <w:t>〔20</w:t>
      </w:r>
      <w:r>
        <w:rPr>
          <w:rFonts w:hint="eastAsia" w:ascii="仿宋_GB2312"/>
          <w:b w:val="0"/>
          <w:lang w:val="en-US" w:eastAsia="zh-CN"/>
        </w:rPr>
        <w:t>25</w:t>
      </w:r>
      <w:r>
        <w:rPr>
          <w:rFonts w:hint="eastAsia" w:ascii="仿宋_GB2312"/>
          <w:b w:val="0"/>
          <w:color w:val="auto"/>
        </w:rPr>
        <w:t>〕</w:t>
      </w:r>
      <w:r>
        <w:rPr>
          <w:rFonts w:hint="eastAsia" w:ascii="仿宋_GB2312"/>
          <w:b w:val="0"/>
          <w:color w:val="auto"/>
          <w:lang w:val="en-US" w:eastAsia="zh-CN"/>
        </w:rPr>
        <w:t>8</w:t>
      </w:r>
      <w:r>
        <w:rPr>
          <w:rFonts w:hint="eastAsia" w:ascii="仿宋_GB2312"/>
          <w:b w:val="0"/>
        </w:rPr>
        <w:t>号</w:t>
      </w:r>
    </w:p>
    <w:p>
      <w:pPr>
        <w:pStyle w:val="8"/>
        <w:keepNext w:val="0"/>
        <w:keepLines w:val="0"/>
        <w:pageBreakBefore w:val="0"/>
        <w:widowControl w:val="0"/>
        <w:kinsoku/>
        <w:wordWrap/>
        <w:overflowPunct/>
        <w:topLinePunct w:val="0"/>
        <w:autoSpaceDE/>
        <w:autoSpaceDN/>
        <w:bidi w:val="0"/>
        <w:spacing w:line="520" w:lineRule="exact"/>
        <w:ind w:firstLine="0" w:firstLineChars="0"/>
        <w:textAlignment w:val="auto"/>
        <w:rPr>
          <w:rFonts w:hint="eastAsia" w:ascii="仿宋_GB2312"/>
          <w:b w:val="0"/>
        </w:rPr>
      </w:pPr>
      <w:r>
        <w:rPr>
          <w:rFonts w:hint="eastAsia" w:eastAsia="方正小标宋简体"/>
          <w:bCs/>
          <w:sz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39370</wp:posOffset>
                </wp:positionV>
                <wp:extent cx="5590540" cy="0"/>
                <wp:effectExtent l="0" t="10795" r="10160" b="17780"/>
                <wp:wrapNone/>
                <wp:docPr id="8" name="直接连接符 8"/>
                <wp:cNvGraphicFramePr/>
                <a:graphic xmlns:a="http://schemas.openxmlformats.org/drawingml/2006/main">
                  <a:graphicData uri="http://schemas.microsoft.com/office/word/2010/wordprocessingShape">
                    <wps:wsp>
                      <wps:cNvCnPr/>
                      <wps:spPr>
                        <a:xfrm>
                          <a:off x="0" y="0"/>
                          <a:ext cx="55905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3.1pt;height:0pt;width:440.2pt;z-index:251659264;mso-width-relative:page;mso-height-relative:page;" filled="f" stroked="t" coordsize="21600,21600" o:gfxdata="UEsDBAoAAAAAAIdO4kAAAAAAAAAAAAAAAAAEAAAAZHJzL1BLAwQUAAAACACHTuJAnApP4dQAAAAF&#10;AQAADwAAAGRycy9kb3ducmV2LnhtbE2OzU7DMBCE70i8g7VI3KjTqoQ0xOkBCSR+ipTSB3DiJYlq&#10;r0PspoWnZ+ECx9GMvvmK9clZMeEYek8K5rMEBFLjTU+tgt3b/VUGIkRNRltPqOATA6zL87NC58Yf&#10;qcJpG1vBEAq5VtDFOORShqZDp8PMD0jcvfvR6chxbKUZ9ZHhzspFkqTS6Z74odMD3nXY7LcHx5Tp&#10;Zv/yvPmqPp56/1g9pK91a1Gpy4t5cgsi4in+jeFHn9WhZKfaH8gEYRUsr3moIF2A4DbLlisQ9W+W&#10;ZSH/25ffUEsDBBQAAAAIAIdO4kAVYa/24AEAAKUDAAAOAAAAZHJzL2Uyb0RvYy54bWytU0uOEzEQ&#10;3SNxB8t70p2IoKGVziwmhA2CSMABKra725J/cnnSySW4ABI7WLFkz20YjkHZyYSZYYMQXrjLrvJz&#10;vefXi8u9NWynImrvWj6d1JwpJ7zUrm/5+3frJxecYQInwXinWn5QyC+Xjx8txtComR+8kSoyAnHY&#10;jKHlQ0qhqSoUg7KAEx+Uo2Tno4VEy9hXMsJI6NZUs7p+Vo0+yhC9UIi0uzom+bLgd50S6U3XoUrM&#10;tJx6S2WOZd7muVouoOkjhEGLUxvwD11Y0I4uPUOtIAG7jvoPKKtF9Oi7NBHeVr7rtFCFA7GZ1g/Y&#10;vB0gqMKFxMFwlgn/H6x4vdtEpmXL6aEcWHqim4/ffnz4/PP7J5pvvn5hF1mkMWBDtVduE08rDJuY&#10;Ge+7aPOXuLB9EfZwFlbtExO0OZ8/r+dPSX9xm6t+HwwR00vlLctBy412mTM0sHuFiS6j0tuSvG0c&#10;G1s+ozEnPCDPdAYShTYQC3R9OYzeaLnWxuQjGPvtlYlsB+SC9bqmkTkR8L2yfMsKcDjWldTRH4MC&#10;+cJJlg6B9HFkZJ57sEpyZhT5PkcECE0Cbf6mkq42Lh9QxaMnolnko6w52np5oLe5DlH3AwkzLT3n&#10;DHmhdH/ybTbb3TXFd/+u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Ck/h1AAAAAUBAAAPAAAA&#10;AAAAAAEAIAAAACIAAABkcnMvZG93bnJldi54bWxQSwECFAAUAAAACACHTuJAFWGv9uABAAClAwAA&#10;DgAAAAAAAAABACAAAAAjAQAAZHJzL2Uyb0RvYy54bWxQSwUGAAAAAAYABgBZAQAAdQUAAAAA&#10;">
                <v:fill on="f" focussize="0,0"/>
                <v:stroke weight="1.75pt" color="#FF0000" joinstyle="round"/>
                <v:imagedata o:title=""/>
                <o:lock v:ext="edit" aspectratio="f"/>
              </v:line>
            </w:pict>
          </mc:Fallback>
        </mc:AlternateContent>
      </w:r>
    </w:p>
    <w:p>
      <w:pPr>
        <w:spacing w:line="620" w:lineRule="exact"/>
        <w:jc w:val="center"/>
        <w:outlineLvl w:val="0"/>
        <w:rPr>
          <w:rFonts w:ascii="方正小标宋简体" w:eastAsia="方正小标宋简体"/>
          <w:bCs/>
          <w:color w:val="000000"/>
          <w:kern w:val="21"/>
          <w:sz w:val="44"/>
          <w:szCs w:val="44"/>
        </w:rPr>
      </w:pPr>
    </w:p>
    <w:p>
      <w:pPr>
        <w:keepNext w:val="0"/>
        <w:keepLines w:val="0"/>
        <w:pageBreakBefore w:val="0"/>
        <w:widowControl w:val="0"/>
        <w:kinsoku/>
        <w:overflowPunct/>
        <w:topLinePunct w:val="0"/>
        <w:autoSpaceDE/>
        <w:autoSpaceDN/>
        <w:bidi w:val="0"/>
        <w:adjustRightInd/>
        <w:spacing w:line="520" w:lineRule="exact"/>
        <w:jc w:val="center"/>
        <w:textAlignment w:val="auto"/>
        <w:outlineLvl w:val="0"/>
        <w:rPr>
          <w:rFonts w:ascii="方正小标宋简体" w:eastAsia="方正小标宋简体"/>
          <w:bCs/>
          <w:color w:val="000000"/>
          <w:kern w:val="21"/>
          <w:sz w:val="44"/>
          <w:szCs w:val="44"/>
        </w:rPr>
      </w:pPr>
      <w:r>
        <w:rPr>
          <w:rFonts w:hint="eastAsia" w:ascii="方正小标宋简体" w:eastAsia="方正小标宋简体"/>
          <w:bCs/>
          <w:color w:val="000000"/>
          <w:kern w:val="21"/>
          <w:sz w:val="44"/>
          <w:szCs w:val="44"/>
        </w:rPr>
        <w:t>北京市昌平区人民政府办公室</w:t>
      </w:r>
    </w:p>
    <w:p>
      <w:pPr>
        <w:keepNext w:val="0"/>
        <w:keepLines w:val="0"/>
        <w:pageBreakBefore w:val="0"/>
        <w:widowControl w:val="0"/>
        <w:kinsoku/>
        <w:overflowPunct/>
        <w:topLinePunct w:val="0"/>
        <w:autoSpaceDE/>
        <w:autoSpaceDN/>
        <w:bidi w:val="0"/>
        <w:adjustRightInd/>
        <w:spacing w:line="520" w:lineRule="exact"/>
        <w:jc w:val="center"/>
        <w:textAlignment w:val="auto"/>
        <w:rPr>
          <w:rFonts w:ascii="方正小标宋简体" w:eastAsia="方正小标宋简体"/>
          <w:bCs/>
          <w:color w:val="000000"/>
          <w:kern w:val="21"/>
          <w:sz w:val="44"/>
          <w:szCs w:val="44"/>
        </w:rPr>
      </w:pPr>
      <w:r>
        <w:rPr>
          <w:rFonts w:hint="eastAsia" w:ascii="方正小标宋简体" w:eastAsia="方正小标宋简体"/>
          <w:bCs/>
          <w:color w:val="000000"/>
          <w:kern w:val="21"/>
          <w:sz w:val="44"/>
          <w:szCs w:val="44"/>
        </w:rPr>
        <w:t>关于印发《昌平区加快高新技术企业培育发展支持办法》的通知</w:t>
      </w:r>
    </w:p>
    <w:p>
      <w:pPr>
        <w:keepNext w:val="0"/>
        <w:keepLines w:val="0"/>
        <w:pageBreakBefore w:val="0"/>
        <w:widowControl w:val="0"/>
        <w:kinsoku/>
        <w:overflowPunct/>
        <w:topLinePunct w:val="0"/>
        <w:autoSpaceDE/>
        <w:autoSpaceDN/>
        <w:bidi w:val="0"/>
        <w:adjustRightInd/>
        <w:spacing w:line="520" w:lineRule="exact"/>
        <w:ind w:firstLine="641"/>
        <w:textAlignment w:val="auto"/>
        <w:rPr>
          <w:rFonts w:hint="eastAsia" w:ascii="仿宋_GB2312" w:hAnsi="仿宋_GB2312" w:eastAsia="仿宋_GB2312" w:cs="仿宋_GB2312"/>
          <w:color w:val="000000"/>
          <w:kern w:val="21"/>
        </w:rPr>
      </w:pPr>
    </w:p>
    <w:p>
      <w:pPr>
        <w:keepNext w:val="0"/>
        <w:keepLines w:val="0"/>
        <w:pageBreakBefore w:val="0"/>
        <w:widowControl w:val="0"/>
        <w:kinsoku/>
        <w:overflowPunct/>
        <w:topLinePunct w:val="0"/>
        <w:autoSpaceDE/>
        <w:autoSpaceDN/>
        <w:bidi w:val="0"/>
        <w:adjustRightInd/>
        <w:spacing w:line="520" w:lineRule="exact"/>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各镇人民政府、街道办事处，区政府各委、办、局（公司）：</w:t>
      </w:r>
    </w:p>
    <w:p>
      <w:pPr>
        <w:keepNext w:val="0"/>
        <w:keepLines w:val="0"/>
        <w:pageBreakBefore w:val="0"/>
        <w:widowControl w:val="0"/>
        <w:kinsoku/>
        <w:overflowPunct/>
        <w:topLinePunct w:val="0"/>
        <w:autoSpaceDE/>
        <w:autoSpaceDN/>
        <w:bidi w:val="0"/>
        <w:adjustRightInd/>
        <w:spacing w:line="52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经区政府研究同意，现将《昌平区加快高新技术企业培育发展支持办法》印发给你们，请认真贯彻落实。</w:t>
      </w:r>
    </w:p>
    <w:p>
      <w:pPr>
        <w:pStyle w:val="3"/>
        <w:keepNext w:val="0"/>
        <w:keepLines w:val="0"/>
        <w:pageBreakBefore w:val="0"/>
        <w:widowControl w:val="0"/>
        <w:kinsoku/>
        <w:overflowPunct/>
        <w:topLinePunct w:val="0"/>
        <w:autoSpaceDE/>
        <w:autoSpaceDN/>
        <w:bidi w:val="0"/>
        <w:adjustRightInd/>
        <w:spacing w:line="520" w:lineRule="exact"/>
        <w:textAlignment w:val="auto"/>
      </w:pPr>
    </w:p>
    <w:p>
      <w:pPr>
        <w:pStyle w:val="3"/>
        <w:keepNext w:val="0"/>
        <w:keepLines w:val="0"/>
        <w:pageBreakBefore w:val="0"/>
        <w:widowControl w:val="0"/>
        <w:kinsoku/>
        <w:overflowPunct/>
        <w:topLinePunct w:val="0"/>
        <w:autoSpaceDE/>
        <w:autoSpaceDN/>
        <w:bidi w:val="0"/>
        <w:adjustRightInd/>
        <w:spacing w:line="520" w:lineRule="exact"/>
        <w:textAlignment w:val="auto"/>
      </w:pPr>
    </w:p>
    <w:p>
      <w:pPr>
        <w:keepNext w:val="0"/>
        <w:keepLines w:val="0"/>
        <w:pageBreakBefore w:val="0"/>
        <w:widowControl w:val="0"/>
        <w:kinsoku/>
        <w:wordWrap w:val="0"/>
        <w:overflowPunct/>
        <w:topLinePunct w:val="0"/>
        <w:autoSpaceDE/>
        <w:autoSpaceDN/>
        <w:bidi w:val="0"/>
        <w:adjustRightInd/>
        <w:spacing w:line="520" w:lineRule="exact"/>
        <w:jc w:val="right"/>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北京市昌平区人民政府办公室    </w:t>
      </w:r>
    </w:p>
    <w:p>
      <w:pPr>
        <w:keepNext w:val="0"/>
        <w:keepLines w:val="0"/>
        <w:pageBreakBefore w:val="0"/>
        <w:widowControl w:val="0"/>
        <w:kinsoku/>
        <w:wordWrap w:val="0"/>
        <w:overflowPunct/>
        <w:topLinePunct w:val="0"/>
        <w:autoSpaceDE/>
        <w:autoSpaceDN/>
        <w:bidi w:val="0"/>
        <w:adjustRightInd/>
        <w:spacing w:line="520" w:lineRule="exact"/>
        <w:jc w:val="right"/>
        <w:textAlignment w:val="auto"/>
        <w:outlineLvl w:val="0"/>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rPr>
        <w:t>2025年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sz w:val="32"/>
          <w:szCs w:val="32"/>
        </w:rPr>
        <w:t xml:space="preserve">日        </w:t>
      </w:r>
    </w:p>
    <w:p>
      <w:pPr>
        <w:pStyle w:val="11"/>
        <w:keepNext w:val="0"/>
        <w:keepLines w:val="0"/>
        <w:pageBreakBefore w:val="0"/>
        <w:widowControl w:val="0"/>
        <w:kinsoku/>
        <w:overflowPunct/>
        <w:topLinePunct w:val="0"/>
        <w:autoSpaceDE/>
        <w:autoSpaceDN/>
        <w:bidi w:val="0"/>
        <w:adjustRightInd/>
        <w:spacing w:line="52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sz w:val="32"/>
          <w:szCs w:val="32"/>
          <w:lang w:bidi="ar"/>
        </w:rPr>
        <mc:AlternateContent>
          <mc:Choice Requires="wps">
            <w:drawing>
              <wp:anchor distT="0" distB="0" distL="114300" distR="114300" simplePos="0" relativeHeight="251660288" behindDoc="0" locked="0" layoutInCell="1" allowOverlap="1">
                <wp:simplePos x="0" y="0"/>
                <wp:positionH relativeFrom="column">
                  <wp:posOffset>4777740</wp:posOffset>
                </wp:positionH>
                <wp:positionV relativeFrom="paragraph">
                  <wp:posOffset>664210</wp:posOffset>
                </wp:positionV>
                <wp:extent cx="1209675" cy="548640"/>
                <wp:effectExtent l="0" t="0" r="9525" b="3810"/>
                <wp:wrapNone/>
                <wp:docPr id="405900740" name="矩形 405900740"/>
                <wp:cNvGraphicFramePr/>
                <a:graphic xmlns:a="http://schemas.openxmlformats.org/drawingml/2006/main">
                  <a:graphicData uri="http://schemas.microsoft.com/office/word/2010/wordprocessingShape">
                    <wps:wsp>
                      <wps:cNvSpPr/>
                      <wps:spPr>
                        <a:xfrm>
                          <a:off x="0" y="0"/>
                          <a:ext cx="1209822" cy="54864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6.2pt;margin-top:52.3pt;height:43.2pt;width:95.25pt;z-index:251660288;v-text-anchor:middle;mso-width-relative:page;mso-height-relative:page;" fillcolor="#FFFFFF" filled="t" stroked="f" coordsize="21600,21600" o:gfxdata="UEsDBAoAAAAAAIdO4kAAAAAAAAAAAAAAAAAEAAAAZHJzL1BLAwQUAAAACACHTuJAm6KBN9UAAAAL&#10;AQAADwAAAGRycy9kb3ducmV2LnhtbE2PwU7DMAyG70i8Q2QkbixpKYOWppNAQpzZpp3TxmurNU6V&#10;ZFt5e8wJjvb/6ffnerO4SVwwxNGThmylQCB13o7Ua9jvPh5eQMRkyJrJE2r4xgib5vamNpX1V/rC&#10;yzb1gksoVkbDkNJcSRm7AZ2JKz8jcXb0wZnEY+ilDebK5W6SuVJr6cxIfGEwM74P2J22Z6dBpk88&#10;7Zb8QI+qMO1bOO4Ps9T6/i5TryASLukPhl99VoeGnVp/JhvFpOH5KS8Y5UAVaxBMlEVegmh5U2YK&#10;ZFPL/z80P1BLAwQUAAAACACHTuJASUZakE8CAACEBAAADgAAAGRycy9lMm9Eb2MueG1srVRLbhsx&#10;DN0X6B0E7ZsZD+x8jIwDI4GLAkETIC26pjWSZwD9Sskep5cp0F0P0eMUvUYpzcROP6uiXsikSD+S&#10;T4++vNobzXYSQ+dszScnJWfSCtd0dlPz9+9Wr845CxFsA9pZWfNHGfjV4uWLy97PZeVapxuJjEBs&#10;mPe+5m2Mfl4UQbTSQDhxXloKKocGIrm4KRqEntCNLqqyPC16h41HJ2QIdHszBPki4yslRbxTKsjI&#10;dM2pt5hPzOc6ncXiEuYbBN92YmwD/qELA52logeoG4jAttj9AWU6gS44FU+EM4VTqhMyz0DTTMrf&#10;pnlowcs8C5ET/IGm8P9gxdvdPbKuqfm0nF2U5dmUWLJg6Kl+fP76/dsXdrwnrnof5vSTB3+PoxfI&#10;TIPvFZr0TSOxfeb38cCv3Ecm6HJSlRfnVcWZoNhsen5KxQimOP7aY4ivpTMsGTVHer9MK+xuQxxS&#10;n1JSseB016w6rbODm/W1RrYDeutV/ozov6Rpy/qaV7NpSZMKIM0pDZFM44mFYDecgd6QmEXEXNu6&#10;VIGKwzzVvoHQDjUy7FhC2xSXWXFjq4mrgZ1krV3zSEyjGyQYvFh1hHYLId4DkuaoG9qjeEeH0o5a&#10;dKPFWevw09/uUz5JgaKc9aRhav/jFlBypt9YEsnFZJqeM2ZnOjuryMHnkfXziN2aa0fUTWhjvchm&#10;yo/6yVTozAdat2WqSiGwgmoPRI3OdRx2ixZWyOUyp5HQPcRb++BFAk88WbfcRqe6/KRHdkgKySGp&#10;Z1GMa5l26bmfs45/Ho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6KBN9UAAAALAQAADwAAAAAA&#10;AAABACAAAAAiAAAAZHJzL2Rvd25yZXYueG1sUEsBAhQAFAAAAAgAh07iQElGWpBPAgAAhAQAAA4A&#10;AAAAAAAAAQAgAAAAJAEAAGRycy9lMm9Eb2MueG1sUEsFBgAAAAAGAAYAWQEAAOUFAAAAAA==&#10;">
                <v:fill on="t" focussize="0,0"/>
                <v:stroke on="f" weight="2pt"/>
                <v:imagedata o:title=""/>
                <o:lock v:ext="edit" aspectratio="f"/>
              </v:rect>
            </w:pict>
          </mc:Fallback>
        </mc:AlternateContent>
      </w:r>
      <w:r>
        <w:rPr>
          <w:rFonts w:hint="eastAsia" w:ascii="楷体_GB2312" w:hAnsi="楷体_GB2312" w:eastAsia="楷体_GB2312" w:cs="楷体_GB2312"/>
          <w:sz w:val="32"/>
          <w:szCs w:val="32"/>
          <w:lang w:bidi="ar"/>
        </w:rPr>
        <w:t>（此件主动公开）</w:t>
      </w:r>
    </w:p>
    <w:p>
      <w:pPr>
        <w:spacing w:line="560" w:lineRule="exact"/>
        <w:jc w:val="center"/>
        <w:rPr>
          <w:rFonts w:hint="eastAsia" w:ascii="方正小标宋简体" w:hAnsi="方正小标宋简体" w:eastAsia="方正小标宋简体" w:cs="方正小标宋简体"/>
          <w:sz w:val="44"/>
          <w:szCs w:val="44"/>
        </w:rPr>
        <w:sectPr>
          <w:footerReference r:id="rId3" w:type="default"/>
          <w:footerReference r:id="rId4" w:type="even"/>
          <w:pgSz w:w="11906" w:h="16838"/>
          <w:pgMar w:top="2098" w:right="1531" w:bottom="1985" w:left="1531" w:header="851" w:footer="992" w:gutter="0"/>
          <w:pgNumType w:fmt="numberInDash"/>
          <w:cols w:space="720" w:num="1"/>
        </w:sectPr>
      </w:pPr>
    </w:p>
    <w:p>
      <w:pPr>
        <w:keepNext w:val="0"/>
        <w:keepLines w:val="0"/>
        <w:pageBreakBefore w:val="0"/>
        <w:widowControl w:val="0"/>
        <w:kinsoku/>
        <w:wordWrap/>
        <w:overflowPunct/>
        <w:topLinePunct w:val="0"/>
        <w:bidi w:val="0"/>
        <w:spacing w:line="560" w:lineRule="exact"/>
        <w:ind w:left="0" w:leftChars="0" w:firstLine="0" w:firstLineChars="0"/>
        <w:jc w:val="center"/>
        <w:outlineLvl w:val="0"/>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昌平区加快高新技术企业培育发展支持办法</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第一章</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总则</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bookmarkStart w:id="0" w:name="OLE_LINK7"/>
      <w:r>
        <w:rPr>
          <w:rFonts w:hint="eastAsia" w:ascii="黑体" w:hAnsi="黑体" w:eastAsia="黑体" w:cs="黑体"/>
          <w:color w:val="000000" w:themeColor="text1"/>
          <w:kern w:val="2"/>
          <w:sz w:val="32"/>
          <w:szCs w:val="32"/>
          <w:highlight w:val="none"/>
          <w:lang w:val="zh-CN" w:eastAsia="zh-CN" w:bidi="ar-SA"/>
          <w14:textFill>
            <w14:solidFill>
              <w14:schemeClr w14:val="tx1"/>
            </w14:solidFill>
          </w14:textFill>
        </w:rPr>
        <w:t>第一条</w:t>
      </w:r>
      <w:r>
        <w:rPr>
          <w:rFonts w:hint="eastAsia" w:ascii="黑体" w:hAnsi="黑体" w:eastAsia="黑体" w:cs="黑体"/>
          <w:color w:val="000000"/>
          <w:kern w:val="0"/>
          <w:sz w:val="32"/>
          <w:szCs w:val="32"/>
          <w:highlight w:val="none"/>
          <w:lang w:val="en-US" w:eastAsia="zh-CN" w:bidi="ar-SA"/>
        </w:rPr>
        <w:t xml:space="preserve"> </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为落实《国家创新驱动发展战略纲要》《北京国际科技创新中心建设条例》，加快“四区”建设，做强未来科学城“两谷一园”创新引擎，强化科技创新对区域高质量发展的支撑作用，促进各类创新企业聚集，制定本办法</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bookmarkStart w:id="1" w:name="OLE_LINK9"/>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第二条</w:t>
      </w:r>
      <w:r>
        <w:rPr>
          <w:rFonts w:hint="default" w:ascii="Times New Roman" w:hAnsi="Times New Roman" w:eastAsia="仿宋_GB2312" w:cs="Times New Roman"/>
          <w:color w:val="000000"/>
          <w:kern w:val="0"/>
          <w:sz w:val="32"/>
          <w:szCs w:val="32"/>
          <w:highlight w:val="none"/>
        </w:rPr>
        <w:t xml:space="preserve"> </w:t>
      </w:r>
      <w:bookmarkStart w:id="2" w:name="OLE_LINK5"/>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本办法适用于依法登记注册，且无安全生产事故、无严重失信行为记录的企业。</w:t>
      </w:r>
      <w:bookmarkEnd w:id="2"/>
    </w:p>
    <w:bookmarkEnd w:id="1"/>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第三条</w:t>
      </w:r>
      <w:r>
        <w:rPr>
          <w:rFonts w:hint="default" w:ascii="Times New Roman" w:hAnsi="Times New Roman" w:eastAsia="楷体" w:cs="Times New Roman"/>
          <w:b/>
          <w:bCs/>
          <w:color w:val="000000"/>
          <w:kern w:val="0"/>
          <w:sz w:val="32"/>
          <w:szCs w:val="32"/>
          <w:highlight w:val="none"/>
          <w:shd w:val="clear" w:color="auto" w:fill="FFFFFF"/>
          <w:lang w:val="zh-CN"/>
        </w:rPr>
        <w:t xml:space="preserve"> </w:t>
      </w:r>
      <w:bookmarkStart w:id="3" w:name="OLE_LINK69"/>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本办法坚持企业为主、政府支持、规范运作、积极推进的原则，建立健全高新技术企业培育、管理、服务机制。重点围绕先进能源、医药健康、先进制造、新一代信息技术、科技服务等领域，打造梯次接续的高新技术企业培育发展体系，通过培育储备一批、申报认定一批、做大做强一批，全面促进高新技术企业质量与数量双提升，推动区域经济高质量发展。</w:t>
      </w:r>
      <w:bookmarkEnd w:id="3"/>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第二章</w:t>
      </w:r>
      <w:r>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 xml:space="preserve"> 实施高新技术企业“筑基”工程</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bookmarkStart w:id="4" w:name="OLE_LINK68"/>
      <w:bookmarkStart w:id="5" w:name="OLE_LINK67"/>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w:t>
      </w: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四</w:t>
      </w: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条</w:t>
      </w:r>
      <w:r>
        <w:rPr>
          <w:rFonts w:hint="default" w:ascii="Times New Roman" w:hAnsi="Times New Roman" w:eastAsia="楷体" w:cs="Times New Roman"/>
          <w:b/>
          <w:bCs/>
          <w:color w:val="000000"/>
          <w:sz w:val="32"/>
          <w:szCs w:val="32"/>
          <w:highlight w:val="none"/>
          <w:shd w:val="clear" w:color="auto" w:fill="FFFFFF"/>
        </w:rPr>
        <w:t xml:space="preserve"> </w:t>
      </w:r>
      <w:bookmarkStart w:id="6" w:name="OLE_LINK66"/>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建立高新技术企业培育清单。从科技型中小企业、中关村高新技术企业、创新型中小企业中遴选符合条件的企业成为育新企业，纳入培育清单，实行动态管理，按照“一企一档、分级培育”原则进行专项辅导和政策培训。首次入库后给予一次性1万元的资金支持，3年内（含）未取得高新技术企业资格认定的自动退出清单。</w:t>
      </w:r>
      <w:bookmarkEnd w:id="4"/>
      <w:bookmarkEnd w:id="6"/>
    </w:p>
    <w:bookmarkEnd w:id="5"/>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bookmarkStart w:id="7" w:name="OLE_LINK8"/>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w:t>
      </w: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五</w:t>
      </w: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条</w:t>
      </w:r>
      <w:r>
        <w:rPr>
          <w:rFonts w:hint="default" w:ascii="Times New Roman" w:hAnsi="Times New Roman" w:eastAsia="楷体_GB2312" w:cs="Times New Roman"/>
          <w:b/>
          <w:bCs/>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支持高新技术企业资格认定。对</w:t>
      </w: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SA"/>
        </w:rPr>
        <w:t>新认定</w:t>
      </w:r>
      <w:r>
        <w:rPr>
          <w:rFonts w:hint="default" w:ascii="Times New Roman" w:hAnsi="Times New Roman" w:eastAsia="仿宋_GB2312" w:cs="Times New Roman"/>
          <w:bCs w:val="0"/>
          <w:color w:val="auto"/>
          <w:kern w:val="0"/>
          <w:sz w:val="32"/>
          <w:szCs w:val="32"/>
          <w:highlight w:val="none"/>
          <w:shd w:val="clear" w:color="auto" w:fill="auto"/>
          <w:lang w:val="en-US" w:eastAsia="zh-CN" w:bidi="ar-SA"/>
        </w:rPr>
        <w:t>的</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高新技术企业，按照企业上年度研发费用的10%，给予最低5万元，最高50万元的一次性资金支持。对高新技术企业资格有效期满后再次申请获得资格认定的高新技术企业，给予5万元的一次性资金支持。</w:t>
      </w:r>
      <w:bookmarkEnd w:id="7"/>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0" w:afterAutospacing="0" w:line="560" w:lineRule="exact"/>
        <w:ind w:right="0" w:rightChars="0" w:firstLine="640" w:firstLineChars="200"/>
        <w:jc w:val="both"/>
        <w:textAlignment w:val="baseline"/>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bookmarkStart w:id="8" w:name="OLE_LINK10"/>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第六条</w:t>
      </w:r>
      <w:r>
        <w:rPr>
          <w:rFonts w:hint="default" w:ascii="Times New Roman" w:hAnsi="Times New Roman" w:eastAsia="仿宋_GB2312" w:cs="Times New Roman"/>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深入开展高新技术企业认定“报备即批准”试点工作。对从事生物医药、集成电路、人工智能、关键材料等领域生产研发类规模以上企业申请高新技术企业资格认定时，满足从业一年以上且在中国境内发生的研发费用总额占全部研发费用总额的比例不低于50%的企业，施行“报备即批准”试点认定，并给予全流程精准辅导及跟踪服务。</w:t>
      </w:r>
      <w:bookmarkEnd w:id="8"/>
    </w:p>
    <w:p>
      <w:pPr>
        <w:pStyle w:val="19"/>
        <w:keepNext w:val="0"/>
        <w:keepLines w:val="0"/>
        <w:pageBreakBefore w:val="0"/>
        <w:widowControl w:val="0"/>
        <w:shd w:val="clear" w:color="auto" w:fill="auto"/>
        <w:tabs>
          <w:tab w:val="left" w:leader="underscore" w:pos="1613"/>
          <w:tab w:val="left" w:leader="underscore" w:pos="1865"/>
          <w:tab w:val="left" w:leader="underscore" w:pos="1999"/>
          <w:tab w:val="left" w:leader="underscore" w:pos="2592"/>
          <w:tab w:val="left" w:leader="hyphen" w:pos="5577"/>
          <w:tab w:val="left" w:leader="hyphen" w:pos="6811"/>
          <w:tab w:val="left" w:leader="hyphen" w:pos="7556"/>
          <w:tab w:val="left" w:leader="hyphen" w:pos="7709"/>
          <w:tab w:val="left" w:leader="hyphen" w:pos="8939"/>
          <w:tab w:val="left" w:leader="hyphen" w:pos="9098"/>
        </w:tabs>
        <w:kinsoku/>
        <w:wordWrap/>
        <w:overflowPunct/>
        <w:topLinePunct w:val="0"/>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bookmarkStart w:id="9" w:name="OLE_LINK11"/>
      <w:r>
        <w:rPr>
          <w:rFonts w:hint="default" w:ascii="黑体" w:hAnsi="黑体" w:eastAsia="黑体" w:cs="黑体"/>
          <w:color w:val="000000" w:themeColor="text1"/>
          <w:kern w:val="2"/>
          <w:sz w:val="32"/>
          <w:szCs w:val="32"/>
          <w:highlight w:val="none"/>
          <w:u w:val="none"/>
          <w:shd w:val="clear"/>
          <w:lang w:val="en-US" w:eastAsia="zh-CN" w:bidi="ar-SA"/>
          <w14:textFill>
            <w14:solidFill>
              <w14:schemeClr w14:val="tx1"/>
            </w14:solidFill>
          </w14:textFill>
        </w:rPr>
        <w:t>第七条</w:t>
      </w:r>
      <w:r>
        <w:rPr>
          <w:rFonts w:hint="default" w:ascii="Times New Roman" w:hAnsi="Times New Roman" w:eastAsia="楷体" w:cs="Times New Roman"/>
          <w:b/>
          <w:bCs/>
          <w:color w:val="000000"/>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支持高新技术企业和“育新企业”参与国际标准、国家标准、行业标准、</w:t>
      </w:r>
      <w:r>
        <w:rPr>
          <w:rFonts w:hint="default" w:ascii="Times New Roman" w:hAnsi="Times New Roman" w:eastAsia="仿宋_GB2312" w:cs="Times New Roman"/>
          <w:bCs w:val="0"/>
          <w:color w:val="000000"/>
          <w:kern w:val="0"/>
          <w:sz w:val="32"/>
          <w:szCs w:val="32"/>
          <w:highlight w:val="none"/>
          <w:u w:val="none"/>
          <w:shd w:val="clear" w:color="auto" w:fill="auto"/>
          <w:lang w:val="en-US" w:eastAsia="zh-CN" w:bidi="ar-SA"/>
        </w:rPr>
        <w:t>省级地方标准</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制定。对标准公布后起草单位中排名前两位的高新技术企业和“育新企业”，分别给予国际标准50万元、国家标准30万元、行业标准10万元、</w:t>
      </w:r>
      <w:r>
        <w:rPr>
          <w:rFonts w:hint="default" w:ascii="Times New Roman" w:hAnsi="Times New Roman" w:eastAsia="仿宋_GB2312" w:cs="Times New Roman"/>
          <w:bCs w:val="0"/>
          <w:color w:val="000000"/>
          <w:kern w:val="0"/>
          <w:sz w:val="32"/>
          <w:szCs w:val="32"/>
          <w:highlight w:val="none"/>
          <w:u w:val="none"/>
          <w:shd w:val="clear" w:color="auto" w:fill="auto"/>
          <w:lang w:val="en-US" w:eastAsia="zh-CN" w:bidi="ar-SA"/>
        </w:rPr>
        <w:t>省级地方标准</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10万元的一次性资金支持，企业年度最高支持100万元。当国际标准公布后，被设定为国家标准的不再重复支持。</w:t>
      </w:r>
    </w:p>
    <w:bookmarkEnd w:id="9"/>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楷体_GB2312" w:cs="Times New Roman"/>
          <w:b/>
          <w:bCs/>
          <w:color w:val="000000"/>
          <w:kern w:val="0"/>
          <w:sz w:val="32"/>
          <w:szCs w:val="32"/>
          <w:highlight w:val="none"/>
          <w:shd w:val="clear" w:color="auto" w:fill="auto"/>
          <w:lang w:val="en-US" w:eastAsia="zh-CN" w:bidi="ar-SA"/>
        </w:rPr>
      </w:pPr>
      <w:bookmarkStart w:id="10" w:name="OLE_LINK12"/>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第八条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对获得国家科学技术一等奖、二等奖，完成单位中排名前两位的高新技术企业和“育新企业”分别给予100万元、50万元的一次性资金支持；对获得北京市科学技术奖（包括技术发明奖、科学技术进步奖）特等奖、一等奖、二等奖，完成单位中排名前两位的高新技术企业和“育新企业”分别给予100万元、50万元、30万元的一次性资金支持；对获得中国专利奖金奖、银奖，完成单位中排名前两位的高新技术企业和“育新企业”分别给予30万元、20万元的一次性资金支持；对获得北京市发明专利奖特别奖、一等奖，完成单位中排名前两位的高新技术企业和“育新企业”分别给予20万元、10万元的一次性资金支持。</w:t>
      </w:r>
    </w:p>
    <w:bookmarkEnd w:id="10"/>
    <w:p>
      <w:pPr>
        <w:pStyle w:val="2"/>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color w:val="000000"/>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第九</w:t>
      </w: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条</w:t>
      </w:r>
      <w:r>
        <w:rPr>
          <w:rFonts w:hint="default" w:ascii="Times New Roman" w:hAnsi="Times New Roman" w:eastAsia="仿宋_GB2312" w:cs="Times New Roman"/>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对获得国家知识产权示范企业（优势企业）、北京市知识产权优势单位、北京市知识产权试点单位资质认定的高新技术企业和“育新企业”，分别给予20万元、10万元、5万元的一次性资金支持</w:t>
      </w:r>
      <w:r>
        <w:rPr>
          <w:rFonts w:hint="default" w:ascii="Times New Roman" w:hAnsi="Times New Roman" w:eastAsia="仿宋_GB2312" w:cs="Times New Roman"/>
          <w:b w:val="0"/>
          <w:bCs/>
          <w:color w:val="000000"/>
          <w:kern w:val="0"/>
          <w:sz w:val="32"/>
          <w:szCs w:val="32"/>
          <w:highlight w:val="none"/>
          <w:shd w:val="clear" w:color="auto" w:fill="auto"/>
          <w:lang w:val="en-US" w:eastAsia="zh-CN" w:bidi="ar-SA"/>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 xml:space="preserve">第三章 </w:t>
      </w:r>
      <w:r>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实施高新技术企业“小升规”“规升强”工程</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bookmarkStart w:id="11" w:name="OLE_LINK13"/>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第十条</w:t>
      </w:r>
      <w:r>
        <w:rPr>
          <w:rFonts w:hint="default" w:ascii="Times New Roman" w:hAnsi="Times New Roman" w:eastAsia="楷体_GB2312" w:cs="Times New Roman"/>
          <w:b/>
          <w:bCs/>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遴选规模以下重点高新技术企业纳入“小升规”企业清单，主动为企业推送政策信息，开展科技咨询、技术对接、科技成果转化等服务，助力企业加快成长</w:t>
      </w:r>
      <w:r>
        <w:rPr>
          <w:rFonts w:hint="default" w:ascii="Times New Roman" w:hAnsi="Times New Roman" w:eastAsia="仿宋_GB2312" w:cs="Times New Roman"/>
          <w:b w:val="0"/>
          <w:bCs w:val="0"/>
          <w:color w:val="auto"/>
          <w:spacing w:val="-6"/>
          <w:kern w:val="0"/>
          <w:sz w:val="32"/>
          <w:szCs w:val="32"/>
          <w:highlight w:val="none"/>
          <w:shd w:val="clear" w:color="auto" w:fill="auto"/>
          <w:lang w:val="en-US" w:eastAsia="zh-CN" w:bidi="ar-SA"/>
        </w:rPr>
        <w:t>。对首次纳入</w:t>
      </w:r>
      <w:r>
        <w:rPr>
          <w:rFonts w:hint="default" w:ascii="Times New Roman" w:hAnsi="Times New Roman" w:eastAsia="仿宋_GB2312" w:cs="Times New Roman"/>
          <w:b w:val="0"/>
          <w:bCs w:val="0"/>
          <w:color w:val="auto"/>
          <w:spacing w:val="-11"/>
          <w:kern w:val="0"/>
          <w:sz w:val="32"/>
          <w:szCs w:val="32"/>
          <w:highlight w:val="none"/>
          <w:shd w:val="clear" w:color="auto" w:fill="auto"/>
          <w:lang w:val="en-US" w:eastAsia="zh-CN" w:bidi="ar-SA"/>
        </w:rPr>
        <w:t>“小升规”企业清单的，给予20万元的一次性资金支</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持。</w:t>
      </w:r>
    </w:p>
    <w:bookmarkEnd w:id="11"/>
    <w:p>
      <w:pPr>
        <w:pStyle w:val="6"/>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kern w:val="0"/>
          <w:sz w:val="32"/>
          <w:szCs w:val="32"/>
          <w:highlight w:val="none"/>
          <w:shd w:val="clear" w:color="auto" w:fill="auto"/>
          <w:lang w:val="en-US" w:eastAsia="zh-CN" w:bidi="ar-SA"/>
        </w:rPr>
      </w:pPr>
      <w:bookmarkStart w:id="12" w:name="OLE_LINK4"/>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第十一条</w:t>
      </w:r>
      <w:r>
        <w:rPr>
          <w:rFonts w:hint="default" w:ascii="Times New Roman" w:hAnsi="Times New Roman" w:eastAsia="楷体_GB2312" w:cs="Times New Roman"/>
          <w:b/>
          <w:bCs/>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支持高新技术企业加大研发投入。</w:t>
      </w:r>
      <w:bookmarkStart w:id="13" w:name="OLE_LINK75"/>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对年度研发费用增长超过年度目标值的高新技术企业</w:t>
      </w:r>
      <w:bookmarkEnd w:id="13"/>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，经评审按照高出部分的一定比例给予支持，</w:t>
      </w:r>
      <w:bookmarkStart w:id="14" w:name="OLE_LINK77"/>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年度支持资金总额不超过100万元</w:t>
      </w:r>
      <w:bookmarkEnd w:id="14"/>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w:t>
      </w:r>
    </w:p>
    <w:bookmarkEnd w:id="12"/>
    <w:p>
      <w:pPr>
        <w:pStyle w:val="6"/>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第十二条</w:t>
      </w:r>
      <w:r>
        <w:rPr>
          <w:rFonts w:hint="default" w:ascii="Times New Roman" w:hAnsi="Times New Roman" w:eastAsia="楷体_GB2312" w:cs="Times New Roman"/>
          <w:b/>
          <w:bCs/>
          <w:color w:val="000000"/>
          <w:kern w:val="0"/>
          <w:sz w:val="32"/>
          <w:szCs w:val="32"/>
          <w:highlight w:val="none"/>
          <w:lang w:val="en-US" w:eastAsia="zh-CN" w:bidi="ar-SA"/>
        </w:rPr>
        <w:t xml:space="preserve"> </w:t>
      </w:r>
      <w:bookmarkStart w:id="15" w:name="OLE_LINK70"/>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支持高新技术企业承接国家级、市级重大科技攻关项目，按照企业上年度获得专项资金总额的10%，给予最高不超过200万元的资金支持。支持高新技术企业与高校、科研机构开展产学研合作，对投资超过100万元且固定资产投资50万元（含）以上的创新平台，按照固定资产实际投资额的</w:t>
      </w:r>
      <w:r>
        <w:rPr>
          <w:rFonts w:hint="default" w:ascii="Times New Roman" w:hAnsi="Times New Roman" w:cs="Times New Roman"/>
          <w:bCs w:val="0"/>
          <w:color w:val="000000"/>
          <w:spacing w:val="-6"/>
          <w:kern w:val="0"/>
          <w:sz w:val="32"/>
          <w:szCs w:val="32"/>
          <w:highlight w:val="none"/>
          <w:shd w:val="clear" w:color="auto" w:fill="auto"/>
          <w:lang w:val="en-US" w:eastAsia="zh-CN" w:bidi="ar-SA"/>
        </w:rPr>
        <w:t>2</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0%，给予最高</w:t>
      </w:r>
      <w:r>
        <w:rPr>
          <w:rFonts w:hint="default" w:ascii="Times New Roman" w:hAnsi="Times New Roman" w:cs="Times New Roman"/>
          <w:bCs w:val="0"/>
          <w:color w:val="000000"/>
          <w:spacing w:val="-6"/>
          <w:kern w:val="0"/>
          <w:sz w:val="32"/>
          <w:szCs w:val="32"/>
          <w:highlight w:val="none"/>
          <w:shd w:val="clear" w:color="auto" w:fill="auto"/>
          <w:lang w:val="en-US" w:eastAsia="zh-CN" w:bidi="ar-SA"/>
        </w:rPr>
        <w:t>2</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00万元的一次性资金支持。</w:t>
      </w:r>
      <w:bookmarkEnd w:id="15"/>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60" w:lineRule="exact"/>
        <w:ind w:right="0" w:rightChars="0" w:firstLine="640" w:firstLineChars="200"/>
        <w:textAlignment w:val="auto"/>
        <w:rPr>
          <w:rFonts w:hint="default" w:ascii="Times New Roman" w:hAnsi="Times New Roman" w:eastAsia="仿宋_GB2312" w:cs="Times New Roman"/>
          <w:b w:val="0"/>
          <w:bCs/>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第十三条</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 xml:space="preserve"> </w:t>
      </w:r>
      <w:r>
        <w:rPr>
          <w:rFonts w:hint="default" w:ascii="Times New Roman" w:hAnsi="Times New Roman" w:eastAsia="仿宋_GB2312" w:cs="Times New Roman"/>
          <w:b w:val="0"/>
          <w:bCs/>
          <w:color w:val="000000"/>
          <w:spacing w:val="-6"/>
          <w:kern w:val="0"/>
          <w:sz w:val="32"/>
          <w:szCs w:val="32"/>
          <w:highlight w:val="none"/>
          <w:shd w:val="clear" w:color="auto" w:fill="auto"/>
          <w:lang w:val="en-US" w:eastAsia="zh-CN" w:bidi="ar-SA"/>
        </w:rPr>
        <w:t>支持</w:t>
      </w:r>
      <w:r>
        <w:rPr>
          <w:rFonts w:hint="default" w:ascii="Times New Roman" w:hAnsi="Times New Roman" w:eastAsia="仿宋_GB2312" w:cs="Times New Roman"/>
          <w:b w:val="0"/>
          <w:bCs/>
          <w:color w:val="000000"/>
          <w:kern w:val="0"/>
          <w:sz w:val="32"/>
          <w:szCs w:val="32"/>
          <w:highlight w:val="none"/>
          <w:shd w:val="clear" w:color="auto" w:fill="auto"/>
          <w:lang w:val="en-US" w:eastAsia="zh-CN" w:bidi="ar-SA"/>
        </w:rPr>
        <w:t>高新技术企业</w:t>
      </w:r>
      <w:r>
        <w:rPr>
          <w:rFonts w:hint="default" w:ascii="Times New Roman" w:hAnsi="Times New Roman" w:eastAsia="仿宋_GB2312" w:cs="Times New Roman"/>
          <w:b w:val="0"/>
          <w:bCs/>
          <w:color w:val="000000"/>
          <w:spacing w:val="-6"/>
          <w:kern w:val="0"/>
          <w:sz w:val="32"/>
          <w:szCs w:val="32"/>
          <w:highlight w:val="none"/>
          <w:shd w:val="clear" w:color="auto" w:fill="auto"/>
          <w:lang w:val="en-US" w:eastAsia="zh-CN" w:bidi="ar-SA"/>
        </w:rPr>
        <w:t>申报北京市新技术新产品（服务）认定，对通过认定的新产品（服务），每项给予5万元的一次性资金支持，企业年度支持资金总额不超过10万元。</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第十四条</w:t>
      </w:r>
      <w:r>
        <w:rPr>
          <w:rFonts w:hint="default" w:ascii="Times New Roman" w:hAnsi="Times New Roman" w:eastAsia="楷体_GB2312" w:cs="Times New Roman"/>
          <w:b/>
          <w:bCs/>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支持高新技术企业申报国家、北京市首台（套）重大技术装备产品认定及新材料首批次应用，对通过认定的新产品和获得应用的新材料，每项给予50万元的一次性资金支持，企业年度支持资金总额不超过100万元。</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bookmarkStart w:id="16" w:name="OLE_LINK14"/>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w:t>
      </w: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十五</w:t>
      </w: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条</w:t>
      </w:r>
      <w:r>
        <w:rPr>
          <w:rFonts w:hint="default" w:ascii="Times New Roman" w:hAnsi="Times New Roman" w:eastAsia="楷体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遴选规模以上重点</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高新技术企业</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纳入“规升强”企业清单，利用服务包重点企业联络工作机制，为企业提供精准化、个性化服务，促进企业快速发展。对高成长的“规升强”企业进行综合评价，</w:t>
      </w:r>
      <w:r>
        <w:rPr>
          <w:rFonts w:hint="default" w:ascii="Times New Roman" w:hAnsi="Times New Roman" w:eastAsia="仿宋_GB2312" w:cs="Times New Roman"/>
          <w:bCs w:val="0"/>
          <w:color w:val="000000"/>
          <w:spacing w:val="0"/>
          <w:kern w:val="0"/>
          <w:sz w:val="32"/>
          <w:szCs w:val="32"/>
          <w:highlight w:val="none"/>
          <w:shd w:val="clear" w:color="auto" w:fill="auto"/>
          <w:lang w:val="en-US" w:eastAsia="zh-CN" w:bidi="ar-SA"/>
        </w:rPr>
        <w:t>根据评价结果给予资金支持，企业年度支持资金不超过200万</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元。</w:t>
      </w:r>
      <w:bookmarkEnd w:id="16"/>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第四章 实施创新生态体系建设提升工程</w:t>
      </w:r>
    </w:p>
    <w:p>
      <w:pPr>
        <w:pStyle w:val="3"/>
        <w:keepNext w:val="0"/>
        <w:keepLines w:val="0"/>
        <w:pageBreakBefore w:val="0"/>
        <w:widowControl w:val="0"/>
        <w:kinsoku/>
        <w:wordWrap/>
        <w:overflowPunct/>
        <w:topLinePunct w:val="0"/>
        <w:bidi w:val="0"/>
        <w:spacing w:after="0" w:line="560" w:lineRule="exact"/>
        <w:ind w:left="0" w:leftChars="0" w:firstLine="640" w:firstLineChars="200"/>
        <w:rPr>
          <w:rFonts w:hint="default" w:ascii="Times New Roman" w:hAnsi="Times New Roman" w:eastAsia="仿宋_GB2312" w:cs="Times New Roman"/>
          <w:b w:val="0"/>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第十六条</w:t>
      </w:r>
      <w:r>
        <w:rPr>
          <w:rFonts w:hint="default" w:ascii="Times New Roman" w:hAnsi="Times New Roman" w:eastAsia="楷体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优化高新技术企业服务环境。支持优秀科技服务机构和公共服务平台运营机构为高新技术企业提供专业化、高水平服务，对服务成效突出的服务机构，给予年度支持资金</w:t>
      </w:r>
      <w:r>
        <w:rPr>
          <w:rFonts w:hint="default" w:ascii="Times New Roman" w:hAnsi="Times New Roman" w:eastAsia="仿宋_GB2312" w:cs="Times New Roman"/>
          <w:b w:val="0"/>
          <w:bCs w:val="0"/>
          <w:color w:val="000000"/>
          <w:spacing w:val="-6"/>
          <w:kern w:val="0"/>
          <w:sz w:val="32"/>
          <w:szCs w:val="32"/>
          <w:highlight w:val="none"/>
          <w:shd w:val="clear" w:color="auto" w:fill="auto"/>
          <w:lang w:val="en-US" w:eastAsia="zh-CN" w:bidi="ar-SA"/>
        </w:rPr>
        <w:t>不超过200万元。</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16" w:firstLineChars="200"/>
        <w:jc w:val="both"/>
        <w:textAlignment w:val="auto"/>
        <w:outlineLvl w:val="9"/>
        <w:rPr>
          <w:rFonts w:hint="default" w:ascii="Times New Roman" w:hAnsi="Times New Roman" w:eastAsia="仿宋_GB2312" w:cs="Times New Roman"/>
          <w:bCs w:val="0"/>
          <w:color w:val="auto"/>
          <w:kern w:val="0"/>
          <w:sz w:val="32"/>
          <w:szCs w:val="32"/>
          <w:highlight w:val="none"/>
          <w:shd w:val="clear" w:color="auto" w:fill="FFFF00"/>
          <w:lang w:val="en-US" w:eastAsia="zh-CN" w:bidi="ar-SA"/>
        </w:rPr>
      </w:pP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引导创新创业载体加强高新技术企业孵化培育服务，支持其组建专业团队、搭建专业服务平台，为入驻企业提供创业导师、早期投资、资源对接等增值服务</w:t>
      </w:r>
      <w:r>
        <w:rPr>
          <w:rFonts w:hint="default" w:ascii="Times New Roman" w:hAnsi="Times New Roman" w:eastAsia="仿宋_GB2312" w:cs="Times New Roman"/>
          <w:bCs w:val="0"/>
          <w:color w:val="auto"/>
          <w:spacing w:val="-6"/>
          <w:kern w:val="0"/>
          <w:sz w:val="32"/>
          <w:szCs w:val="32"/>
          <w:highlight w:val="none"/>
          <w:shd w:val="clear" w:color="auto" w:fill="auto"/>
          <w:lang w:val="en-US" w:eastAsia="zh-CN" w:bidi="ar-SA"/>
        </w:rPr>
        <w:t>。</w:t>
      </w:r>
      <w:r>
        <w:rPr>
          <w:rFonts w:hint="default" w:ascii="Times New Roman" w:hAnsi="Times New Roman" w:eastAsia="仿宋_GB2312" w:cs="Times New Roman"/>
          <w:bCs w:val="0"/>
          <w:color w:val="auto"/>
          <w:kern w:val="0"/>
          <w:sz w:val="32"/>
          <w:szCs w:val="32"/>
          <w:highlight w:val="none"/>
          <w:shd w:val="clear" w:color="auto" w:fill="auto"/>
          <w:lang w:val="en-US" w:eastAsia="zh-CN" w:bidi="ar-SA"/>
        </w:rPr>
        <w:t>对上年度新培育、新落地高新技术企业达到10家（含）的创新创业载体，给予50万元一次性资金支持，每增加一家再额外给予5万元资金支持，最高不超过100万元。</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560"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highlight w:val="none"/>
          <w:lang w:val="en-US" w:eastAsia="zh-CN" w:bidi="ar-SA"/>
        </w:rPr>
      </w:pPr>
      <w:bookmarkStart w:id="17" w:name="OLE_LINK2"/>
      <w:bookmarkStart w:id="18" w:name="OLE_LINK1"/>
      <w:bookmarkStart w:id="19" w:name="OLE_LINK6"/>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第十七条</w:t>
      </w:r>
      <w:r>
        <w:rPr>
          <w:rFonts w:hint="default" w:ascii="Times New Roman" w:hAnsi="Times New Roman" w:eastAsia="楷体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auto"/>
          <w:spacing w:val="-6"/>
          <w:kern w:val="0"/>
          <w:sz w:val="32"/>
          <w:szCs w:val="32"/>
          <w:highlight w:val="none"/>
          <w:shd w:val="clear" w:color="auto" w:fill="auto"/>
          <w:lang w:val="en-US" w:eastAsia="zh-CN" w:bidi="ar-SA"/>
        </w:rPr>
        <w:t>聚合金融服务机构资源，为高新技术企业提供优质融资支持服务。对通过银行贷款方式进行融资的高新技术企业进行综合评价，根据评价结果，按照实际支付贷款利息的50%给予贴息支持（贷款利率高于LPR的，按</w:t>
      </w:r>
      <w:r>
        <w:rPr>
          <w:rFonts w:hint="default" w:ascii="Times New Roman" w:hAnsi="Times New Roman" w:eastAsia="仿宋_GB2312" w:cs="Times New Roman"/>
          <w:b w:val="0"/>
          <w:bCs w:val="0"/>
          <w:color w:val="auto"/>
          <w:spacing w:val="-6"/>
          <w:kern w:val="0"/>
          <w:sz w:val="32"/>
          <w:szCs w:val="32"/>
          <w:highlight w:val="none"/>
          <w:shd w:val="clear" w:color="auto" w:fill="auto"/>
          <w:lang w:val="en-US" w:eastAsia="zh-CN" w:bidi="ar-SA"/>
        </w:rPr>
        <w:t>照LPR计算贴息额），每家企业每年最高支持金额不超过100万元。</w:t>
      </w:r>
      <w:bookmarkStart w:id="20" w:name="OLE_LINK65"/>
      <w:r>
        <w:rPr>
          <w:rFonts w:hint="default" w:ascii="Times New Roman" w:hAnsi="Times New Roman" w:eastAsia="仿宋_GB2312" w:cs="Times New Roman"/>
          <w:b w:val="0"/>
          <w:bCs w:val="0"/>
          <w:color w:val="auto"/>
          <w:spacing w:val="-6"/>
          <w:kern w:val="0"/>
          <w:sz w:val="32"/>
          <w:szCs w:val="32"/>
          <w:highlight w:val="none"/>
          <w:shd w:val="clear" w:color="auto" w:fill="auto"/>
          <w:lang w:val="en-US" w:eastAsia="zh-CN" w:bidi="ar-SA"/>
        </w:rPr>
        <w:t>对购买科技保险产品的高新技术企业，按照实际保费最高50%给予支持，每家企业每年最高支持金额不超过5万元</w:t>
      </w:r>
      <w:bookmarkEnd w:id="20"/>
      <w:r>
        <w:rPr>
          <w:rFonts w:hint="default" w:ascii="Times New Roman" w:hAnsi="Times New Roman" w:eastAsia="仿宋_GB2312" w:cs="Times New Roman"/>
          <w:b w:val="0"/>
          <w:bCs w:val="0"/>
          <w:color w:val="auto"/>
          <w:spacing w:val="-6"/>
          <w:kern w:val="0"/>
          <w:sz w:val="32"/>
          <w:szCs w:val="32"/>
          <w:highlight w:val="none"/>
          <w:shd w:val="clear" w:color="auto" w:fill="auto"/>
          <w:lang w:val="en-US" w:eastAsia="zh-CN" w:bidi="ar-SA"/>
        </w:rPr>
        <w:t>。</w:t>
      </w:r>
    </w:p>
    <w:bookmarkEnd w:id="17"/>
    <w:bookmarkEnd w:id="18"/>
    <w:bookmarkEnd w:id="19"/>
    <w:p>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60" w:lineRule="exact"/>
        <w:ind w:right="0" w:rightChars="0" w:firstLine="640" w:firstLineChars="200"/>
        <w:textAlignment w:val="auto"/>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第十八条</w:t>
      </w:r>
      <w:r>
        <w:rPr>
          <w:rFonts w:hint="default" w:ascii="Times New Roman" w:hAnsi="Times New Roman" w:eastAsia="楷体_GB2312" w:cs="Times New Roman"/>
          <w:b/>
          <w:bCs/>
          <w:color w:val="000000"/>
          <w:kern w:val="0"/>
          <w:sz w:val="32"/>
          <w:szCs w:val="32"/>
          <w:highlight w:val="none"/>
          <w:lang w:val="en-US" w:eastAsia="zh-CN" w:bidi="ar-SA"/>
        </w:rPr>
        <w:t xml:space="preserve"> </w:t>
      </w:r>
      <w:bookmarkStart w:id="21" w:name="OLE_LINK71"/>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优化高新技术企业人才培养模式。对各类产业急需人才，支持</w:t>
      </w:r>
      <w:r>
        <w:rPr>
          <w:rFonts w:hint="eastAsia" w:ascii="Times New Roman" w:hAnsi="Times New Roman" w:eastAsia="仿宋_GB2312" w:cs="Times New Roman"/>
          <w:bCs w:val="0"/>
          <w:color w:val="000000"/>
          <w:spacing w:val="-6"/>
          <w:kern w:val="0"/>
          <w:sz w:val="32"/>
          <w:szCs w:val="32"/>
          <w:highlight w:val="none"/>
          <w:shd w:val="clear" w:color="auto" w:fill="auto"/>
          <w:lang w:val="en-US" w:eastAsia="zh-CN" w:bidi="ar-SA"/>
        </w:rPr>
        <w:t>校企</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进行联合培养；通过“科技副总”柔性引才机制，推动高校、科研机构的青年专家到高新技术企业挂职；畅通人才招聘渠道，利用大数据技术为高新技术企业精准挖掘匹配人才；根据高新技术企业的发展情况，采取梯度配给方式为企业提供工作居住证、保障性住房指标，并对重点人才在子女入学、就医方面提供便捷服务。</w:t>
      </w:r>
    </w:p>
    <w:bookmarkEnd w:id="21"/>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w:t>
      </w: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十九</w:t>
      </w: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条</w:t>
      </w:r>
      <w:r>
        <w:rPr>
          <w:rFonts w:hint="default" w:ascii="Times New Roman" w:hAnsi="Times New Roman" w:eastAsia="楷体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建立产业空间资源信息台账，优先保障高新技术企业发展空间需求；通过弹性出让、先租后让、租买结合等方式，为高新技术企业提供产业用地；对重大产业项目，采用“拿地即开工”模式加快建设进度。</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第二十条</w:t>
      </w:r>
      <w:r>
        <w:rPr>
          <w:rFonts w:hint="default" w:ascii="Times New Roman" w:hAnsi="Times New Roman" w:eastAsia="楷体_GB2312" w:cs="Times New Roman"/>
          <w:b/>
          <w:bCs/>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聚焦新能源、能源互联网、生命科学、生物制造、新材料、人工智能、5G、物联网、大数据、区块链等领域，支持高新技术企业参与智能交通、智慧医疗、城市管理、政务服务、产业升级等应用场景项目建设及示范应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第二十一条</w:t>
      </w:r>
      <w:r>
        <w:rPr>
          <w:rFonts w:hint="default" w:ascii="Times New Roman" w:hAnsi="Times New Roman" w:eastAsia="楷体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kern w:val="0"/>
          <w:sz w:val="32"/>
          <w:szCs w:val="32"/>
          <w:highlight w:val="none"/>
          <w:shd w:val="clear" w:color="auto" w:fill="auto"/>
          <w:lang w:val="en-US" w:eastAsia="zh-CN" w:bidi="ar-SA"/>
        </w:rPr>
        <w:t>优化高新技术企业运行监测及信息服务平台，为高新技术企业提供科技前沿信息获取、科技资源展示对接、供求信息发布、线上政策咨询、高新技术企业相关业务办理等专属服务</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第五章</w:t>
      </w:r>
      <w:r>
        <w:rPr>
          <w:rFonts w:hint="default" w:ascii="Times New Roman" w:hAnsi="Times New Roman" w:eastAsia="黑体" w:cs="Times New Roman"/>
          <w:color w:val="000000" w:themeColor="text1"/>
          <w:kern w:val="0"/>
          <w:sz w:val="32"/>
          <w:szCs w:val="32"/>
          <w:highlight w:val="none"/>
          <w:lang w:val="en-US" w:eastAsia="zh-CN" w:bidi="ar-SA"/>
          <w14:textFill>
            <w14:solidFill>
              <w14:schemeClr w14:val="tx1"/>
            </w14:solidFill>
          </w14:textFill>
        </w:rPr>
        <w:t xml:space="preserve"> 附则</w:t>
      </w:r>
    </w:p>
    <w:p>
      <w:pPr>
        <w:pStyle w:val="20"/>
        <w:keepNext w:val="0"/>
        <w:keepLines w:val="0"/>
        <w:pageBreakBefore w:val="0"/>
        <w:widowControl w:val="0"/>
        <w:shd w:val="clear" w:color="auto" w:fill="auto"/>
        <w:kinsoku/>
        <w:wordWrap/>
        <w:overflowPunct/>
        <w:topLinePunct w:val="0"/>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pP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第</w:t>
      </w: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二</w:t>
      </w: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十</w:t>
      </w: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二</w:t>
      </w:r>
      <w:r>
        <w:rPr>
          <w:rFonts w:hint="default" w:ascii="黑体" w:hAnsi="黑体" w:eastAsia="黑体" w:cs="黑体"/>
          <w:color w:val="000000" w:themeColor="text1"/>
          <w:kern w:val="2"/>
          <w:sz w:val="32"/>
          <w:szCs w:val="32"/>
          <w:highlight w:val="none"/>
          <w:lang w:val="zh-CN" w:eastAsia="zh-CN" w:bidi="ar-SA"/>
          <w14:textFill>
            <w14:solidFill>
              <w14:schemeClr w14:val="tx1"/>
            </w14:solidFill>
          </w14:textFill>
        </w:rPr>
        <w:t>条</w:t>
      </w:r>
      <w:r>
        <w:rPr>
          <w:rFonts w:hint="default" w:ascii="Times New Roman" w:hAnsi="Times New Roman" w:eastAsia="楷体"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同一项目、同一事项同时符合本办法多个条款或区级其他扶持政策的，按照“从优不重复”原则处理。符合北京市市级其他扶持政策规定的，可同时申请享受市、区两级政策支持，另有规定的除外。</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right="0" w:rightChars="0" w:firstLine="640" w:firstLineChars="200"/>
        <w:jc w:val="left"/>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t>第二十三条</w:t>
      </w:r>
      <w:r>
        <w:rPr>
          <w:rFonts w:hint="default" w:ascii="Times New Roman" w:hAnsi="Times New Roman" w:eastAsia="楷体_GB2312" w:cs="Times New Roman"/>
          <w:b w:val="0"/>
          <w:bCs w:val="0"/>
          <w:color w:val="000000"/>
          <w:kern w:val="0"/>
          <w:sz w:val="32"/>
          <w:szCs w:val="32"/>
          <w:highlight w:val="none"/>
          <w:lang w:val="en-US" w:eastAsia="zh-CN" w:bidi="ar-SA"/>
        </w:rPr>
        <w:t xml:space="preserve"> </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本办法由</w:t>
      </w:r>
      <w:r>
        <w:rPr>
          <w:rFonts w:hint="eastAsia" w:ascii="Times New Roman" w:hAnsi="Times New Roman" w:eastAsia="仿宋_GB2312" w:cs="Times New Roman"/>
          <w:bCs w:val="0"/>
          <w:color w:val="000000"/>
          <w:spacing w:val="-6"/>
          <w:kern w:val="0"/>
          <w:sz w:val="32"/>
          <w:szCs w:val="32"/>
          <w:highlight w:val="none"/>
          <w:shd w:val="clear" w:color="auto" w:fill="auto"/>
          <w:lang w:val="en-US" w:eastAsia="zh-CN" w:bidi="ar-SA"/>
        </w:rPr>
        <w:t>昌平</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区科学技术委员会负责解释，自印发之日起实施，有效期5年，实施期间如遇国家及市级相关政策变动，本办法同步调整。《昌平区加快高新技术企业培育发展支持办法》</w:t>
      </w:r>
      <w:r>
        <w:rPr>
          <w:rFonts w:hint="eastAsia" w:ascii="Times New Roman" w:hAnsi="Times New Roman" w:eastAsia="仿宋_GB2312" w:cs="Times New Roman"/>
          <w:bCs w:val="0"/>
          <w:color w:val="000000"/>
          <w:spacing w:val="-6"/>
          <w:kern w:val="0"/>
          <w:sz w:val="32"/>
          <w:szCs w:val="32"/>
          <w:highlight w:val="none"/>
          <w:shd w:val="clear" w:color="auto" w:fill="auto"/>
          <w:lang w:val="en-US" w:eastAsia="zh-CN" w:bidi="ar-SA"/>
        </w:rPr>
        <w:t>（</w:t>
      </w:r>
      <w:r>
        <w:rPr>
          <w:rFonts w:hint="default" w:ascii="Times New Roman" w:hAnsi="Times New Roman" w:eastAsia="仿宋_GB2312" w:cs="Times New Roman"/>
          <w:bCs w:val="0"/>
          <w:color w:val="000000"/>
          <w:spacing w:val="-6"/>
          <w:kern w:val="0"/>
          <w:sz w:val="32"/>
          <w:szCs w:val="32"/>
          <w:highlight w:val="none"/>
          <w:shd w:val="clear" w:color="auto" w:fill="auto"/>
          <w:lang w:val="en-US" w:eastAsia="zh-CN" w:bidi="ar-SA"/>
        </w:rPr>
        <w:t>昌政办发〔2024〕5号）同时废止。</w:t>
      </w:r>
      <w:bookmarkEnd w:id="0"/>
    </w:p>
    <w:p>
      <w:pPr>
        <w:pStyle w:val="6"/>
        <w:ind w:left="0" w:leftChars="0" w:firstLine="0" w:firstLineChars="0"/>
        <w:jc w:val="center"/>
        <w:rPr>
          <w:rFonts w:hint="default" w:ascii="Times New Roman" w:hAnsi="Times New Roman" w:cs="Times New Roman"/>
          <w:sz w:val="32"/>
          <w:szCs w:val="32"/>
          <w:lang w:val="en-US" w:eastAsia="zh-CN"/>
        </w:rPr>
      </w:pPr>
    </w:p>
    <w:p>
      <w:pPr>
        <w:pStyle w:val="6"/>
        <w:rPr>
          <w:rFonts w:hint="eastAsia"/>
          <w:sz w:val="32"/>
          <w:szCs w:val="32"/>
          <w:lang w:val="en-US" w:eastAsia="zh-CN"/>
        </w:rPr>
      </w:pPr>
    </w:p>
    <w:p>
      <w:pPr>
        <w:rPr>
          <w:rFonts w:hint="default" w:ascii="Times New Roman" w:hAnsi="Times New Roman" w:eastAsia="黑体" w:cs="Times New Roman"/>
          <w:color w:val="auto"/>
          <w:kern w:val="2"/>
          <w:sz w:val="32"/>
          <w:szCs w:val="32"/>
          <w:lang w:val="en-US" w:eastAsia="zh-CN" w:bidi="ar-SA"/>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rPr>
          <w:rFonts w:hint="eastAsia" w:ascii="方正小标宋简体" w:hAnsi="方正小标宋简体" w:eastAsia="方正小标宋简体" w:cs="方正小标宋简体"/>
          <w:sz w:val="44"/>
          <w:szCs w:val="44"/>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pStyle w:val="11"/>
        <w:rPr>
          <w:sz w:val="2"/>
          <w:szCs w:val="2"/>
        </w:rPr>
      </w:pPr>
    </w:p>
    <w:p>
      <w:pPr>
        <w:spacing w:line="560" w:lineRule="exact"/>
        <w:rPr>
          <w:rFonts w:eastAsia="仿宋_GB2312"/>
          <w:sz w:val="28"/>
          <w:szCs w:val="28"/>
        </w:rPr>
      </w:pPr>
      <w:r>
        <w:rPr>
          <w:rFonts w:eastAsia="仿宋_GB2312"/>
          <w:sz w:val="32"/>
          <w:szCs w:val="32"/>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25400</wp:posOffset>
                </wp:positionV>
                <wp:extent cx="565213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52135" cy="0"/>
                        </a:xfrm>
                        <a:prstGeom prst="line">
                          <a:avLst/>
                        </a:prstGeom>
                        <a:ln w="12599"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pt;height:0pt;width:445.05pt;mso-position-horizontal-relative:margin;z-index:251662336;mso-width-relative:page;mso-height-relative:page;" filled="f" stroked="t" coordsize="21600,21600" o:gfxdata="UEsDBAoAAAAAAIdO4kAAAAAAAAAAAAAAAAAEAAAAZHJzL1BLAwQUAAAACACHTuJApviRMdIAAAAE&#10;AQAADwAAAGRycy9kb3ducmV2LnhtbE2PzU7DMBCE70i8g7VIvVE7qIraNE4PReGEIrW0dzdekgh7&#10;HcXuDzw9Cxc4jUazmvm23Ny8Exec4hBIQzZXIJDaYAfqNBze6scliJgMWeMCoYZPjLCp7u9KU9hw&#10;pR1e9qkTXEKxMBr6lMZCytj26E2chxGJs/cweZPYTp20k7lyuXfySalcejMQL/RmxG2P7cf+7DXk&#10;zU61TZ2O23z1+vJFtXturNN69pCpNYiEt/R3DD/4jA4VM53CmWwUTgM/kjQsWDhcrlQG4vTrZVXK&#10;//DVN1BLAwQUAAAACACHTuJAh9TsktYBAACZAwAADgAAAGRycy9lMm9Eb2MueG1srVNLjhMxEN0j&#10;cQfLe9JJUEZMK51ZTBg2CCIBB6j4023JP7lMOrkEF0BiByuW7LkNwzEoO5kwwAYheuEu21Wv6r1+&#10;vbzaO8t2KqEJvuOzyZQz5UWQxvcdf/P65tETzjCDl2CDVx0/KORXq4cPlmNs1TwMwUqVGIF4bMfY&#10;8SHn2DYNikE5wEmIytOlDslBpm3qG5lgJHRnm/l0etGMIcmYglCIdLo+XvJVxddaifxSa1SZ2Y7T&#10;bLmuqa7bsjarJbR9gjgYcRoD/mEKB8ZT0zPUGjKwt8n8AeWMSAGDzhMRXBO0NkJVDsRmNv2NzasB&#10;oqpcSByMZ5nw/8GKF7tNYkZ2fMGZB0ef6Pb9l2/vPn7/+oHW28+f2KKINEZsKffab9Jph3GTCuO9&#10;Tq68iQvbV2EPZ2HVPjNBh4uLxXz2mDqIu7vmZ2FMmJ+p4FgJOm6NL5yhhd1zzNSMUu9SyrH1bCSn&#10;zReXl4QH5BltIVPoIrFA39diDNbIG2NtKcHUb69tYjsoLqhP4UTAv6SVLmvA4ZhXr47+GBTIp16y&#10;fIikjycj8zKDU5Izq8j3JSJAaDMY+zeZ1Nr6UqCqR09Ei8hHWUu0DfJQ1W7Kjr5/nfjk1WKw+3uK&#10;7/9Rq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m+JEx0gAAAAQBAAAPAAAAAAAAAAEAIAAAACIA&#10;AABkcnMvZG93bnJldi54bWxQSwECFAAUAAAACACHTuJAh9TsktYBAACZAwAADgAAAAAAAAABACAA&#10;AAAhAQAAZHJzL2Uyb0RvYy54bWxQSwUGAAAAAAYABgBZAQAAaQUAAAAA&#10;">
                <v:fill on="f" focussize="0,0"/>
                <v:stroke weight="0.992047244094488pt" color="#000000" joinstyle="round"/>
                <v:imagedata o:title=""/>
                <o:lock v:ext="edit" aspectratio="f"/>
              </v:line>
            </w:pict>
          </mc:Fallback>
        </mc:AlternateContent>
      </w:r>
      <w:r>
        <w:rPr>
          <w:rFonts w:eastAsia="仿宋_GB2312"/>
          <w:sz w:val="32"/>
          <w:szCs w:val="32"/>
        </w:rPr>
        <w:t>　</w:t>
      </w:r>
      <w:r>
        <w:rPr>
          <w:rFonts w:eastAsia="仿宋_GB2312"/>
          <w:sz w:val="28"/>
          <w:szCs w:val="28"/>
        </w:rPr>
        <w:t>抄送：</w:t>
      </w:r>
      <w:r>
        <w:rPr>
          <w:rFonts w:hint="eastAsia" w:ascii="仿宋_GB2312" w:eastAsia="仿宋_GB2312"/>
          <w:bCs/>
          <w:strike w:val="0"/>
          <w:dstrike w:val="0"/>
          <w:color w:val="000000"/>
          <w:sz w:val="28"/>
          <w:szCs w:val="28"/>
        </w:rPr>
        <w:t>区委办，区人大办，区政协办，区监委，区法院，区检察院。</w:t>
      </w:r>
    </w:p>
    <w:p>
      <w:pPr>
        <w:spacing w:line="560" w:lineRule="exact"/>
        <w:rPr>
          <w:rFonts w:hint="eastAsia" w:ascii="仿宋_GB2312" w:eastAsia="仿宋_GB2312"/>
          <w:bCs/>
          <w:lang w:eastAsia="zh-CN"/>
        </w:rPr>
      </w:pPr>
      <w:r>
        <w:rPr>
          <w:rFonts w:eastAsia="仿宋_GB2312"/>
          <w:sz w:val="28"/>
          <w:szCs w:val="2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388620</wp:posOffset>
                </wp:positionV>
                <wp:extent cx="5652135"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52135" cy="0"/>
                        </a:xfrm>
                        <a:prstGeom prst="line">
                          <a:avLst/>
                        </a:prstGeom>
                        <a:ln w="12599"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6pt;height:0pt;width:445.05pt;mso-position-horizontal-relative:margin;z-index:251663360;mso-width-relative:page;mso-height-relative:page;" filled="f" stroked="t" coordsize="21600,21600" o:gfxdata="UEsDBAoAAAAAAIdO4kAAAAAAAAAAAAAAAAAEAAAAZHJzL1BLAwQUAAAACACHTuJAW8lLYtMAAAAG&#10;AQAADwAAAGRycy9kb3ducmV2LnhtbE2PTU/DMAyG70j7D5EncWNJd6i20nSHoe40Vdpg96wxbUXi&#10;VE32Ab8eIw5wtN9Xjx+Xm7t34opTHAJpyBYKBFIb7ECdhrfX+mkFIiZD1rhAqOETI2yq2UNpChtu&#10;dMDrMXWCIRQLo6FPaSykjG2P3sRFGJE4ew+TN4nHqZN2MjeGeyeXSuXSm4H4Qm9G3PbYfhwvXkPe&#10;HFTb1Om0zdf73RfV7qWxTuvHeaaeQSS8p78y/OizOlTsdA4XslE4DfxIYlK2BMHpaq0yEOffhaxK&#10;+V+/+gZQSwMEFAAAAAgAh07iQFHE48jXAQAAmQMAAA4AAABkcnMvZTJvRG9jLnhtbK1TS44TMRDd&#10;I3EHy3vSSaOMmFY6s5gwbBBEAg5Q8SdtyT+5TDq5BBdAYgcrluy5DcMxKDuZMMAGIXrhrrLLr+q9&#10;fr242jvLdiqhCb7ns8mUM+VFkMZve/7m9c2jJ5xhBi/BBq96flDIr5YPHyzG2Kk2DMFKlRiBeOzG&#10;2PMh59g1DYpBOcBJiMrToQ7JQaY0bRuZYCR0Z5t2Or1oxpBkTEEoRNpdHQ/5suJrrUR+qTWqzGzP&#10;abZc11TXTVmb5QK6bYI4GHEaA/5hCgfGU9Mz1AoysLfJ/AHljEgBg84TEVwTtDZCVQ7EZjb9jc2r&#10;AaKqXEgcjGeZ8P/Bihe7dWJG9rzlzIOjT3T7/su3dx+/f/1A6+3nT6wtIo0RO6q99ut0yjCuU2G8&#10;18mVN3Fh+yrs4Sys2mcmaHN+MW9nj+ecibuz5ufFmDA/U8GxEvTcGl84Qwe755ipGZXelZRt69lI&#10;Tmvnl5eEB+QZbSFT6CKxQL+tlzFYI2+MteUKpu3m2ia2g+KC+hROBPxLWemyAhyOdfXo6I9BgXzq&#10;JcuHSPp4MjIvMzglObOKfF8iAoQug7F/U0mtrS8XVPXoiWgR+ShriTZBHqraTcno+9eJT14tBruf&#10;U3z/j1r+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vJS2LTAAAABgEAAA8AAAAAAAAAAQAgAAAA&#10;IgAAAGRycy9kb3ducmV2LnhtbFBLAQIUABQAAAAIAIdO4kBRxOPI1wEAAJkDAAAOAAAAAAAAAAEA&#10;IAAAACIBAABkcnMvZTJvRG9jLnhtbFBLBQYAAAAABgAGAFkBAABrBQAAAAA=&#10;">
                <v:fill on="f" focussize="0,0"/>
                <v:stroke weight="0.992047244094488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30480</wp:posOffset>
                </wp:positionV>
                <wp:extent cx="56521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52135" cy="0"/>
                        </a:xfrm>
                        <a:prstGeom prst="line">
                          <a:avLst/>
                        </a:prstGeom>
                        <a:ln w="8999"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pt;height:0pt;width:445.05pt;mso-position-horizontal-relative:margin;z-index:251664384;mso-width-relative:page;mso-height-relative:page;" filled="f" stroked="t" coordsize="21600,21600" o:gfxdata="UEsDBAoAAAAAAIdO4kAAAAAAAAAAAAAAAAAEAAAAZHJzL1BLAwQUAAAACACHTuJAO4yUrdMAAAAE&#10;AQAADwAAAGRycy9kb3ducmV2LnhtbE2PzU7DMBCE70i8g7VI3KidCqo2xKkEAsQFJAIXbm68JKHx&#10;OvJPG96ehQscRzOa+abazm4UBwxx8KShWCgQSK23A3Ua3l7vL9YgYjJkzegJNXxhhG19elKZ0voj&#10;veChSZ3gEoql0dCnNJVSxrZHZ+LCT0jsffjgTGIZOmmDOXK5G+VSqZV0ZiBe6M2Etz22+yY7DcPd&#10;6vPpfR+eH67yTTE/Nnm5mbLW52eFugaRcE5/YfjBZ3SomWnnM9koRg18JGm4ZHw21xtVgNj9allX&#10;8j98/Q1QSwMEFAAAAAgAh07iQFT4oIDYAQAAmAMAAA4AAABkcnMvZTJvRG9jLnhtbK1TS44TMRDd&#10;I3EHy3vS+SijSSudWUwYNggiAQeo2O5uS/7JZdLJJbgAEjtYsWTPbRiOQdnJhJlhgxC9qK6yq17V&#10;e129vNpbw3Yqovau4ZPRmDPlhJfadQ1/9/bm2SVnmMBJMN6phh8U8qvV0yfLIdRq6ntvpIqMQBzW&#10;Q2h4n1KoqwpFryzgyAfl6LL10UKiMHaVjDAQujXVdDy+qAYfZYheKEQ6XR8v+argt60S6XXbokrM&#10;NJxmS8XGYrfZVqsl1F2E0GtxGgP+YQoL2lHTM9QaErD3Uf8BZbWIHn2bRsLbyretFqpwIDaT8SM2&#10;b3oIqnAhcTCcZcL/Byte7TaRadnwGWcOLH2i24/ffnz4/PP7J7K3X7+wWRZpCFhT7rXbxFOEYRMz&#10;430bbX4TF7Yvwh7Owqp9YoIO5xfz6WQ250zc3VW/C0PE9EJ5y7LTcKNd5gw17F5iomaUepeSj41j&#10;Q8MvF4sFwQGtTGsgkWsDkUDXlVr0RssbbUyuwNhtr01kO8hLUJ5MiXAfpOUma8D+mFeujuvRK5DP&#10;nWTpEEgeR3vM8whWSc6MorXPHgFCnUCbv8mk1sblAlVW9MQza3xUNXtbLw9F7CpH9PnLxKdVzft1&#10;Pyb//g+1+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7jJSt0wAAAAQBAAAPAAAAAAAAAAEAIAAA&#10;ACIAAABkcnMvZG93bnJldi54bWxQSwECFAAUAAAACACHTuJAVPiggNgBAACYAwAADgAAAAAAAAAB&#10;ACAAAAAiAQAAZHJzL2Uyb0RvYy54bWxQSwUGAAAAAAYABgBZAQAAbAUAAAAA&#10;">
                <v:fill on="f" focussize="0,0"/>
                <v:stroke weight="0.708582677165354pt" color="#000000" joinstyle="round"/>
                <v:imagedata o:title=""/>
                <o:lock v:ext="edit" aspectratio="f"/>
              </v:line>
            </w:pict>
          </mc:Fallback>
        </mc:AlternateContent>
      </w:r>
      <w:r>
        <w:rPr>
          <w:rFonts w:eastAsia="仿宋_GB2312"/>
          <w:sz w:val="28"/>
          <w:szCs w:val="28"/>
        </w:rPr>
        <w:t>　北京市昌平区人民政府</w:t>
      </w:r>
      <w:r>
        <w:rPr>
          <w:rFonts w:hint="eastAsia" w:eastAsia="仿宋_GB2312"/>
          <w:sz w:val="28"/>
          <w:szCs w:val="28"/>
        </w:rPr>
        <w:t>办公室</w:t>
      </w:r>
      <w:r>
        <w:rPr>
          <w:rFonts w:eastAsia="仿宋_GB2312"/>
          <w:sz w:val="28"/>
          <w:szCs w:val="28"/>
        </w:rPr>
        <w:t>　</w:t>
      </w:r>
      <w:r>
        <w:rPr>
          <w:rFonts w:hint="eastAsia" w:eastAsia="仿宋_GB2312"/>
          <w:sz w:val="28"/>
          <w:szCs w:val="28"/>
        </w:rPr>
        <w:t xml:space="preserve">            </w:t>
      </w:r>
      <w:r>
        <w:rPr>
          <w:rFonts w:hint="eastAsia" w:ascii="仿宋_GB2312" w:eastAsia="仿宋_GB2312"/>
          <w:sz w:val="28"/>
          <w:szCs w:val="28"/>
        </w:rPr>
        <w:t>2025年</w:t>
      </w:r>
      <w:r>
        <w:rPr>
          <w:rFonts w:hint="eastAsia" w:ascii="仿宋_GB2312" w:eastAsia="仿宋_GB2312"/>
          <w:sz w:val="28"/>
          <w:szCs w:val="28"/>
          <w:lang w:val="en-US" w:eastAsia="zh-CN"/>
        </w:rPr>
        <w:t>9</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5</w:t>
      </w:r>
      <w:r>
        <w:rPr>
          <w:rFonts w:hint="eastAsia" w:ascii="仿宋_GB2312" w:eastAsia="仿宋_GB2312"/>
          <w:sz w:val="28"/>
          <w:szCs w:val="28"/>
        </w:rPr>
        <w:t>日印发</w:t>
      </w:r>
      <w:r>
        <w:rPr>
          <w:rFonts w:eastAsia="仿宋_GB2312"/>
          <w:color w:val="000000"/>
          <w:sz w:val="28"/>
          <w:szCs w:val="28"/>
        </w:rPr>
        <w:t xml:space="preserve"> </w:t>
      </w:r>
      <w:r>
        <w:rPr>
          <w:rFonts w:hint="eastAsia" w:eastAsia="仿宋_GB2312"/>
          <w:color w:val="000000"/>
          <w:sz w:val="28"/>
        </w:rPr>
        <w:t xml:space="preserve"> </w:t>
      </w:r>
      <w:r>
        <w:rPr>
          <w:rFonts w:hint="eastAsia" w:eastAsia="仿宋_GB2312"/>
          <w:sz w:val="28"/>
        </w:rPr>
        <w:t xml:space="preserve"> </w:t>
      </w:r>
    </w:p>
    <w:p>
      <w:pPr>
        <w:rPr>
          <w:rFonts w:hint="default"/>
          <w:lang w:val="en-US" w:eastAsia="zh-CN"/>
        </w:rPr>
      </w:pPr>
      <w:bookmarkStart w:id="22" w:name="_GoBack"/>
      <w:bookmarkEnd w:id="22"/>
      <w:r>
        <w:rPr>
          <w:sz w:val="28"/>
        </w:rPr>
        <mc:AlternateContent>
          <mc:Choice Requires="wps">
            <w:drawing>
              <wp:anchor distT="0" distB="0" distL="114300" distR="114300" simplePos="0" relativeHeight="251665408" behindDoc="0" locked="0" layoutInCell="1" allowOverlap="1">
                <wp:simplePos x="0" y="0"/>
                <wp:positionH relativeFrom="column">
                  <wp:posOffset>-210820</wp:posOffset>
                </wp:positionH>
                <wp:positionV relativeFrom="paragraph">
                  <wp:posOffset>754380</wp:posOffset>
                </wp:positionV>
                <wp:extent cx="941070" cy="370205"/>
                <wp:effectExtent l="0" t="0" r="11430" b="10795"/>
                <wp:wrapNone/>
                <wp:docPr id="6" name="矩形 6"/>
                <wp:cNvGraphicFramePr/>
                <a:graphic xmlns:a="http://schemas.openxmlformats.org/drawingml/2006/main">
                  <a:graphicData uri="http://schemas.microsoft.com/office/word/2010/wordprocessingShape">
                    <wps:wsp>
                      <wps:cNvSpPr/>
                      <wps:spPr>
                        <a:xfrm>
                          <a:off x="0" y="0"/>
                          <a:ext cx="941070" cy="370205"/>
                        </a:xfrm>
                        <a:prstGeom prst="rect">
                          <a:avLst/>
                        </a:prstGeom>
                        <a:gradFill rotWithShape="0">
                          <a:gsLst>
                            <a:gs pos="0">
                              <a:srgbClr val="FFFFFF"/>
                            </a:gs>
                            <a:gs pos="100000">
                              <a:srgbClr val="FFFFFF"/>
                            </a:gs>
                          </a:gsLst>
                          <a:lin ang="0"/>
                          <a:tileRect/>
                        </a:gradFill>
                        <a:ln w="15875">
                          <a:noFill/>
                        </a:ln>
                        <a:effectLst/>
                      </wps:spPr>
                      <wps:bodyPr vert="horz" wrap="square" anchor="t" anchorCtr="0" upright="1"/>
                    </wps:wsp>
                  </a:graphicData>
                </a:graphic>
              </wp:anchor>
            </w:drawing>
          </mc:Choice>
          <mc:Fallback>
            <w:pict>
              <v:rect id="_x0000_s1026" o:spid="_x0000_s1026" o:spt="1" style="position:absolute;left:0pt;margin-left:-16.6pt;margin-top:59.4pt;height:29.15pt;width:74.1pt;z-index:251665408;mso-width-relative:page;mso-height-relative:page;" fillcolor="#FFFFFF" filled="t" stroked="f" coordsize="21600,21600" o:gfxdata="UEsDBAoAAAAAAIdO4kAAAAAAAAAAAAAAAAAEAAAAZHJzL1BLAwQUAAAACACHTuJAoydGptoAAAAK&#10;AQAADwAAAGRycy9kb3ducmV2LnhtbE2PwU7DMAyG70i8Q+RJ3LakG92gNN0BCQkhIUYBTbtljddU&#10;NE7VpOt4e9IT3Gz50+/vz7cX27Iz9r5xJCFZCGBIldMN1RI+P57md8B8UKRV6wgl/KCHbXF9latM&#10;u5He8VyGmsUQ8pmSYELoMs59ZdAqv3AdUrydXG9ViGtfc92rMYbbli+FWHOrGoofjOrw0WD1XQ5W&#10;wtdB3+uX59dUV01SDuZttxflKOXNLBEPwAJewh8Mk35UhyI6Hd1A2rNWwny12URUQnq7AjYBiUiB&#10;HadhuQZe5Px/heIXUEsDBBQAAAAIAIdO4kAEsxY99AEAAOIDAAAOAAAAZHJzL2Uyb0RvYy54bWyt&#10;U8GO0zAQvSPxD5bvNEmh7VI13cOuygXBit0VZ9dxEkuObWbcpuVnkLjxEXzOit9g7KSlAokDIgdn&#10;bI/fzHt+Xl0fOsP2ClA7W/JiknOmrHSVtk3JHx82L644wyBsJYyzquRHhfx6/fzZqvdLNXWtM5UC&#10;RiAWl70veRuCX2YZylZ1AifOK0ubtYNOBJpCk1UgekLvTDbN83nWO6g8OKkQafV22OTrhF/XSob3&#10;dY0qMFNy6i2kEdK4jWO2XollA8K3Wo5tiH/oohPaUtEz1K0Igu1A/wHVaQkOXR0m0nWZq2stVeJA&#10;bIr8Nzb3rfAqcSFx0J9lwv8HK9/t74DpquRzzqzo6Ip+fPn29P0rm0dteo9LSrn3dzDOkMJI9FBD&#10;F/9EgR2SnseznuoQmKTF16+KfEGqS9p6ucin+SxiZr8Oe8DwRrmOxaDkQNeVVBT7txiG1FPKKG61&#10;0cYwcOGjDm3SJ1ZNm0hnhoB5RxINywjN9sYA2wtywCZ9YxMNXmYXefwS0t+PUPvNqZTRlono9NFI&#10;QRv1gUgMrZOtUruxjLGsp/cxu1rMUg3rIpEhz9iYoZJbR95R90HpGG1ddaRbomdGIrUOPnPWk2VL&#10;jp92AhSnHiQtlzycwpsweHznQTctnSoS6QhGRkp3MJo+OvVyTvHl01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MnRqbaAAAACgEAAA8AAAAAAAAAAQAgAAAAIgAAAGRycy9kb3ducmV2LnhtbFBL&#10;AQIUABQAAAAIAIdO4kAEsxY99AEAAOIDAAAOAAAAAAAAAAEAIAAAACkBAABkcnMvZTJvRG9jLnht&#10;bFBLBQYAAAAABgAGAFkBAACPBQAAAAA=&#10;">
                <v:fill type="gradient" on="t" color2="#FFFFFF" angle="90" focus="100%" focussize="0,0">
                  <o:fill type="gradientUnscaled" v:ext="backwardCompatible"/>
                </v:fill>
                <v:stroke on="f" weight="1.25pt"/>
                <v:imagedata o:title=""/>
                <o:lock v:ext="edit" aspectratio="f"/>
              </v:rect>
            </w:pict>
          </mc:Fallback>
        </mc:AlternateContent>
      </w:r>
    </w:p>
    <w:sectPr>
      <w:footerReference r:id="rId5"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05BC8C-F0C1-462A-88B0-AAFCA3B480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C53967C-78EF-4474-A952-5615E0F13535}"/>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28512CB8-1B38-46EA-8541-B6A994EEA9E3}"/>
  </w:font>
  <w:font w:name="楷体_GB2312">
    <w:panose1 w:val="02010609030101010101"/>
    <w:charset w:val="86"/>
    <w:family w:val="auto"/>
    <w:pitch w:val="default"/>
    <w:sig w:usb0="00000001" w:usb1="080E0000" w:usb2="00000000" w:usb3="00000000" w:csb0="00040000" w:csb1="00000000"/>
    <w:embedRegular r:id="rId4" w:fontKey="{78378268-7D03-4AB7-B7C6-C12AA4FFC9FE}"/>
  </w:font>
  <w:font w:name="楷体">
    <w:panose1 w:val="02010609060101010101"/>
    <w:charset w:val="86"/>
    <w:family w:val="auto"/>
    <w:pitch w:val="default"/>
    <w:sig w:usb0="800002BF" w:usb1="38CF7CFA" w:usb2="00000016" w:usb3="00000000" w:csb0="00040001" w:csb1="00000000"/>
    <w:embedRegular r:id="rId5" w:fontKey="{F859EB78-E1FE-4A28-B41C-505D6D3C22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仿宋_GB2312" w:hAnsi="宋体" w:eastAsia="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right"/>
                          </w:pPr>
                          <w:r>
                            <w:rPr>
                              <w:rFonts w:ascii="仿宋_GB2312" w:hAnsi="宋体" w:eastAsia="仿宋_GB2312"/>
                              <w:sz w:val="32"/>
                              <w:szCs w:val="32"/>
                            </w:rPr>
                            <w:fldChar w:fldCharType="begin"/>
                          </w:r>
                          <w:r>
                            <w:rPr>
                              <w:rFonts w:ascii="仿宋_GB2312" w:hAnsi="宋体" w:eastAsia="仿宋_GB2312"/>
                              <w:sz w:val="32"/>
                              <w:szCs w:val="32"/>
                            </w:rPr>
                            <w:instrText xml:space="preserve">PAGE   \* MERGEFORMAT</w:instrText>
                          </w:r>
                          <w:r>
                            <w:rPr>
                              <w:rFonts w:ascii="仿宋_GB2312" w:hAnsi="宋体" w:eastAsia="仿宋_GB2312"/>
                              <w:sz w:val="32"/>
                              <w:szCs w:val="32"/>
                            </w:rPr>
                            <w:fldChar w:fldCharType="separate"/>
                          </w:r>
                          <w:r>
                            <w:rPr>
                              <w:rFonts w:ascii="仿宋_GB2312" w:hAnsi="宋体" w:eastAsia="仿宋_GB2312"/>
                              <w:sz w:val="32"/>
                              <w:szCs w:val="32"/>
                            </w:rPr>
                            <w:t>2</w:t>
                          </w:r>
                          <w:r>
                            <w:rPr>
                              <w:rFonts w:ascii="仿宋_GB2312" w:hAnsi="宋体"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jc w:val="right"/>
                    </w:pPr>
                    <w:r>
                      <w:rPr>
                        <w:rFonts w:ascii="仿宋_GB2312" w:hAnsi="宋体" w:eastAsia="仿宋_GB2312"/>
                        <w:sz w:val="32"/>
                        <w:szCs w:val="32"/>
                      </w:rPr>
                      <w:fldChar w:fldCharType="begin"/>
                    </w:r>
                    <w:r>
                      <w:rPr>
                        <w:rFonts w:ascii="仿宋_GB2312" w:hAnsi="宋体" w:eastAsia="仿宋_GB2312"/>
                        <w:sz w:val="32"/>
                        <w:szCs w:val="32"/>
                      </w:rPr>
                      <w:instrText xml:space="preserve">PAGE   \* MERGEFORMAT</w:instrText>
                    </w:r>
                    <w:r>
                      <w:rPr>
                        <w:rFonts w:ascii="仿宋_GB2312" w:hAnsi="宋体" w:eastAsia="仿宋_GB2312"/>
                        <w:sz w:val="32"/>
                        <w:szCs w:val="32"/>
                      </w:rPr>
                      <w:fldChar w:fldCharType="separate"/>
                    </w:r>
                    <w:r>
                      <w:rPr>
                        <w:rFonts w:ascii="仿宋_GB2312" w:hAnsi="宋体" w:eastAsia="仿宋_GB2312"/>
                        <w:sz w:val="32"/>
                        <w:szCs w:val="32"/>
                      </w:rPr>
                      <w:t>2</w:t>
                    </w:r>
                    <w:r>
                      <w:rPr>
                        <w:rFonts w:ascii="仿宋_GB2312" w:hAnsi="宋体" w:eastAsia="仿宋_GB2312"/>
                        <w:sz w:val="32"/>
                        <w:szCs w:val="32"/>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PAGE   \* MERGEFORMAT</w:instrText>
    </w:r>
    <w:r>
      <w:rPr>
        <w:rFonts w:hint="eastAsia" w:ascii="仿宋_GB2312" w:hAnsi="宋体" w:eastAsia="仿宋_GB2312"/>
        <w:sz w:val="32"/>
        <w:szCs w:val="32"/>
      </w:rPr>
      <w:fldChar w:fldCharType="separate"/>
    </w:r>
    <w:r>
      <w:rPr>
        <w:rFonts w:hint="eastAsia" w:ascii="仿宋_GB2312" w:hAnsi="宋体" w:eastAsia="仿宋_GB2312"/>
        <w:sz w:val="32"/>
        <w:szCs w:val="32"/>
        <w:lang w:val="zh-CN"/>
      </w:rPr>
      <w:t>2</w:t>
    </w:r>
    <w:r>
      <w:rPr>
        <w:rFonts w:hint="eastAsia" w:ascii="仿宋_GB2312" w:hAnsi="宋体" w:eastAsia="仿宋_GB2312"/>
        <w:sz w:val="32"/>
        <w:szCs w:val="32"/>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NTZkM2E1OTdjNzQ1ODBjNzg2MzM2NTA3NjNmMjMifQ=="/>
  </w:docVars>
  <w:rsids>
    <w:rsidRoot w:val="00364395"/>
    <w:rsid w:val="00023B4D"/>
    <w:rsid w:val="00364395"/>
    <w:rsid w:val="00B2494E"/>
    <w:rsid w:val="00D42B17"/>
    <w:rsid w:val="00DE3995"/>
    <w:rsid w:val="01904A93"/>
    <w:rsid w:val="01E943A0"/>
    <w:rsid w:val="023615AF"/>
    <w:rsid w:val="02F079B0"/>
    <w:rsid w:val="030B2FE8"/>
    <w:rsid w:val="031511C4"/>
    <w:rsid w:val="03323B24"/>
    <w:rsid w:val="036A59B4"/>
    <w:rsid w:val="03716D43"/>
    <w:rsid w:val="048400AF"/>
    <w:rsid w:val="048D65BC"/>
    <w:rsid w:val="04AB1DE0"/>
    <w:rsid w:val="04BA0275"/>
    <w:rsid w:val="04C53B12"/>
    <w:rsid w:val="04DE21B6"/>
    <w:rsid w:val="04FF212C"/>
    <w:rsid w:val="050E236F"/>
    <w:rsid w:val="05171224"/>
    <w:rsid w:val="05525439"/>
    <w:rsid w:val="05715F68"/>
    <w:rsid w:val="05C869C2"/>
    <w:rsid w:val="05CC64B2"/>
    <w:rsid w:val="05D62E8D"/>
    <w:rsid w:val="063F4ED6"/>
    <w:rsid w:val="06BB2083"/>
    <w:rsid w:val="071D55AF"/>
    <w:rsid w:val="07213FA7"/>
    <w:rsid w:val="074B6915"/>
    <w:rsid w:val="07524795"/>
    <w:rsid w:val="07610E7C"/>
    <w:rsid w:val="07725BB3"/>
    <w:rsid w:val="07F65A68"/>
    <w:rsid w:val="086A1FB2"/>
    <w:rsid w:val="088879FF"/>
    <w:rsid w:val="08C157E7"/>
    <w:rsid w:val="08D77648"/>
    <w:rsid w:val="09410F65"/>
    <w:rsid w:val="09570789"/>
    <w:rsid w:val="09B23C11"/>
    <w:rsid w:val="09B93081"/>
    <w:rsid w:val="09BE25B6"/>
    <w:rsid w:val="09DA6CC4"/>
    <w:rsid w:val="0A3D797F"/>
    <w:rsid w:val="0A432ABB"/>
    <w:rsid w:val="0A764C3F"/>
    <w:rsid w:val="0AFB5144"/>
    <w:rsid w:val="0B470389"/>
    <w:rsid w:val="0B815649"/>
    <w:rsid w:val="0B84210E"/>
    <w:rsid w:val="0B865355"/>
    <w:rsid w:val="0BAB0918"/>
    <w:rsid w:val="0BB377CC"/>
    <w:rsid w:val="0BBC0D77"/>
    <w:rsid w:val="0BC40EA8"/>
    <w:rsid w:val="0BDC6D23"/>
    <w:rsid w:val="0C1C7A68"/>
    <w:rsid w:val="0C201306"/>
    <w:rsid w:val="0C7927C4"/>
    <w:rsid w:val="0C7B478E"/>
    <w:rsid w:val="0C8573BB"/>
    <w:rsid w:val="0CF462EF"/>
    <w:rsid w:val="0D3A63F7"/>
    <w:rsid w:val="0D474EF8"/>
    <w:rsid w:val="0D501777"/>
    <w:rsid w:val="0D6276FC"/>
    <w:rsid w:val="0D766D04"/>
    <w:rsid w:val="0EAD149C"/>
    <w:rsid w:val="0EAD49A7"/>
    <w:rsid w:val="0EB42A4B"/>
    <w:rsid w:val="0ED85EC8"/>
    <w:rsid w:val="0EE26D46"/>
    <w:rsid w:val="0EF728F3"/>
    <w:rsid w:val="0F1965A8"/>
    <w:rsid w:val="0F470958"/>
    <w:rsid w:val="0F7D25CB"/>
    <w:rsid w:val="0FC41FA8"/>
    <w:rsid w:val="0FEA5711"/>
    <w:rsid w:val="102E1B18"/>
    <w:rsid w:val="106A0DA2"/>
    <w:rsid w:val="10B62E8D"/>
    <w:rsid w:val="10D931CB"/>
    <w:rsid w:val="11230F50"/>
    <w:rsid w:val="113605CA"/>
    <w:rsid w:val="119100C9"/>
    <w:rsid w:val="11A6405B"/>
    <w:rsid w:val="11ED1C8A"/>
    <w:rsid w:val="12107727"/>
    <w:rsid w:val="12170AB5"/>
    <w:rsid w:val="127A1044"/>
    <w:rsid w:val="127A1BEA"/>
    <w:rsid w:val="128123D2"/>
    <w:rsid w:val="128D521B"/>
    <w:rsid w:val="12902616"/>
    <w:rsid w:val="12A44B14"/>
    <w:rsid w:val="12CD1ABC"/>
    <w:rsid w:val="12F26E2C"/>
    <w:rsid w:val="135402CB"/>
    <w:rsid w:val="136A730B"/>
    <w:rsid w:val="136A77C7"/>
    <w:rsid w:val="13723985"/>
    <w:rsid w:val="139D5C58"/>
    <w:rsid w:val="13A97E33"/>
    <w:rsid w:val="13B82BA7"/>
    <w:rsid w:val="13C76919"/>
    <w:rsid w:val="13F422E9"/>
    <w:rsid w:val="14A50B30"/>
    <w:rsid w:val="14C12F5A"/>
    <w:rsid w:val="14D95B03"/>
    <w:rsid w:val="14EE02A9"/>
    <w:rsid w:val="150E27B5"/>
    <w:rsid w:val="15155054"/>
    <w:rsid w:val="15192D96"/>
    <w:rsid w:val="1525173B"/>
    <w:rsid w:val="15462B33"/>
    <w:rsid w:val="154E64C8"/>
    <w:rsid w:val="157437EC"/>
    <w:rsid w:val="157D1577"/>
    <w:rsid w:val="1591014C"/>
    <w:rsid w:val="15E909BB"/>
    <w:rsid w:val="162B0F4B"/>
    <w:rsid w:val="16A11295"/>
    <w:rsid w:val="16A82B76"/>
    <w:rsid w:val="16C20000"/>
    <w:rsid w:val="16E37595"/>
    <w:rsid w:val="17B2302E"/>
    <w:rsid w:val="17B812E8"/>
    <w:rsid w:val="17DF02C7"/>
    <w:rsid w:val="18441ED8"/>
    <w:rsid w:val="1864257A"/>
    <w:rsid w:val="1878130C"/>
    <w:rsid w:val="188B7B07"/>
    <w:rsid w:val="18B0756E"/>
    <w:rsid w:val="18E41E1C"/>
    <w:rsid w:val="191065C7"/>
    <w:rsid w:val="196A0064"/>
    <w:rsid w:val="196C62FC"/>
    <w:rsid w:val="197113F3"/>
    <w:rsid w:val="1A385A6D"/>
    <w:rsid w:val="1A3D12D5"/>
    <w:rsid w:val="1A954C6D"/>
    <w:rsid w:val="1B334486"/>
    <w:rsid w:val="1B5C578B"/>
    <w:rsid w:val="1B8F5B60"/>
    <w:rsid w:val="1BAA7908"/>
    <w:rsid w:val="1BD17F27"/>
    <w:rsid w:val="1BD47A17"/>
    <w:rsid w:val="1BD6553D"/>
    <w:rsid w:val="1C166281"/>
    <w:rsid w:val="1C4B7057"/>
    <w:rsid w:val="1C6E5776"/>
    <w:rsid w:val="1CA26A88"/>
    <w:rsid w:val="1CED6A57"/>
    <w:rsid w:val="1CFD2F9D"/>
    <w:rsid w:val="1D2624F4"/>
    <w:rsid w:val="1D4666F2"/>
    <w:rsid w:val="1DAD0520"/>
    <w:rsid w:val="1DF223D6"/>
    <w:rsid w:val="1E311151"/>
    <w:rsid w:val="1E7828DC"/>
    <w:rsid w:val="1EAF2075"/>
    <w:rsid w:val="1EB64872"/>
    <w:rsid w:val="1EDA5344"/>
    <w:rsid w:val="1F1A14FF"/>
    <w:rsid w:val="1F4D1FBA"/>
    <w:rsid w:val="1F50464C"/>
    <w:rsid w:val="1F525822"/>
    <w:rsid w:val="1F5D5C0B"/>
    <w:rsid w:val="1FBC4A4A"/>
    <w:rsid w:val="1FD070FC"/>
    <w:rsid w:val="1FF20FA1"/>
    <w:rsid w:val="200A7EAB"/>
    <w:rsid w:val="204D1B46"/>
    <w:rsid w:val="20531852"/>
    <w:rsid w:val="205F6F32"/>
    <w:rsid w:val="2079293B"/>
    <w:rsid w:val="209E23A2"/>
    <w:rsid w:val="20D44015"/>
    <w:rsid w:val="2181419D"/>
    <w:rsid w:val="21827A5E"/>
    <w:rsid w:val="219C0FD7"/>
    <w:rsid w:val="21A67760"/>
    <w:rsid w:val="21EA1E81"/>
    <w:rsid w:val="223905D4"/>
    <w:rsid w:val="22777F3E"/>
    <w:rsid w:val="22A04AF7"/>
    <w:rsid w:val="22A7378F"/>
    <w:rsid w:val="22B3482A"/>
    <w:rsid w:val="23040BE2"/>
    <w:rsid w:val="231C4AC9"/>
    <w:rsid w:val="237815D0"/>
    <w:rsid w:val="23847F75"/>
    <w:rsid w:val="23937778"/>
    <w:rsid w:val="23F92512"/>
    <w:rsid w:val="241E2177"/>
    <w:rsid w:val="243D3BA9"/>
    <w:rsid w:val="24651B54"/>
    <w:rsid w:val="24831FDA"/>
    <w:rsid w:val="249F6AB8"/>
    <w:rsid w:val="250671CD"/>
    <w:rsid w:val="254774AC"/>
    <w:rsid w:val="25710085"/>
    <w:rsid w:val="259239FA"/>
    <w:rsid w:val="25DA0320"/>
    <w:rsid w:val="25EC3BAF"/>
    <w:rsid w:val="263C4B36"/>
    <w:rsid w:val="26506553"/>
    <w:rsid w:val="26575875"/>
    <w:rsid w:val="2670099D"/>
    <w:rsid w:val="26946721"/>
    <w:rsid w:val="26A050C5"/>
    <w:rsid w:val="26B741BD"/>
    <w:rsid w:val="27005B64"/>
    <w:rsid w:val="270A6F1F"/>
    <w:rsid w:val="27181100"/>
    <w:rsid w:val="271D6716"/>
    <w:rsid w:val="27253E2E"/>
    <w:rsid w:val="27327B06"/>
    <w:rsid w:val="274E68CF"/>
    <w:rsid w:val="27DA4607"/>
    <w:rsid w:val="2849353B"/>
    <w:rsid w:val="28553C8E"/>
    <w:rsid w:val="28732366"/>
    <w:rsid w:val="287457A3"/>
    <w:rsid w:val="287700A8"/>
    <w:rsid w:val="28AB1FAC"/>
    <w:rsid w:val="28B906C0"/>
    <w:rsid w:val="28C433F0"/>
    <w:rsid w:val="28DE0127"/>
    <w:rsid w:val="28E15521"/>
    <w:rsid w:val="28F60FCD"/>
    <w:rsid w:val="28F9286B"/>
    <w:rsid w:val="292540AD"/>
    <w:rsid w:val="292A6617"/>
    <w:rsid w:val="29657F00"/>
    <w:rsid w:val="29791BFE"/>
    <w:rsid w:val="297C217B"/>
    <w:rsid w:val="29982084"/>
    <w:rsid w:val="29C27A8F"/>
    <w:rsid w:val="29E928DF"/>
    <w:rsid w:val="29FD45DD"/>
    <w:rsid w:val="2A0E497A"/>
    <w:rsid w:val="2A157B78"/>
    <w:rsid w:val="2A5A1A2F"/>
    <w:rsid w:val="2A6E7289"/>
    <w:rsid w:val="2ABC7FF4"/>
    <w:rsid w:val="2ACA4283"/>
    <w:rsid w:val="2AD73080"/>
    <w:rsid w:val="2ADC0696"/>
    <w:rsid w:val="2B525ABB"/>
    <w:rsid w:val="2B77216D"/>
    <w:rsid w:val="2B9744BE"/>
    <w:rsid w:val="2BAF0D7D"/>
    <w:rsid w:val="2BD61589"/>
    <w:rsid w:val="2C091017"/>
    <w:rsid w:val="2CB200E4"/>
    <w:rsid w:val="2CC43190"/>
    <w:rsid w:val="2D177764"/>
    <w:rsid w:val="2D254B40"/>
    <w:rsid w:val="2D727AE3"/>
    <w:rsid w:val="2D9708A4"/>
    <w:rsid w:val="2DC0604D"/>
    <w:rsid w:val="2DCE7EB7"/>
    <w:rsid w:val="2DDE64D3"/>
    <w:rsid w:val="2E30470F"/>
    <w:rsid w:val="2E7330BF"/>
    <w:rsid w:val="2EA74B17"/>
    <w:rsid w:val="2EB45BB2"/>
    <w:rsid w:val="2F300FB0"/>
    <w:rsid w:val="2F3E7229"/>
    <w:rsid w:val="2F5F53F2"/>
    <w:rsid w:val="2F835584"/>
    <w:rsid w:val="2F8A246F"/>
    <w:rsid w:val="2FCC0CD9"/>
    <w:rsid w:val="2FF40230"/>
    <w:rsid w:val="2FF81ACE"/>
    <w:rsid w:val="2FFD5337"/>
    <w:rsid w:val="309612E7"/>
    <w:rsid w:val="30E3277E"/>
    <w:rsid w:val="30EF08D6"/>
    <w:rsid w:val="30FA7AC8"/>
    <w:rsid w:val="31140B8A"/>
    <w:rsid w:val="312B7C81"/>
    <w:rsid w:val="31307046"/>
    <w:rsid w:val="3161060A"/>
    <w:rsid w:val="31C75BFC"/>
    <w:rsid w:val="31FC517A"/>
    <w:rsid w:val="322079C5"/>
    <w:rsid w:val="323202F8"/>
    <w:rsid w:val="326571C3"/>
    <w:rsid w:val="326E7E26"/>
    <w:rsid w:val="32902492"/>
    <w:rsid w:val="32C76F68"/>
    <w:rsid w:val="32EB1476"/>
    <w:rsid w:val="3316226B"/>
    <w:rsid w:val="33291F9F"/>
    <w:rsid w:val="336D2E71"/>
    <w:rsid w:val="33A04957"/>
    <w:rsid w:val="33F13B8B"/>
    <w:rsid w:val="344F012B"/>
    <w:rsid w:val="349F21C2"/>
    <w:rsid w:val="34A915E9"/>
    <w:rsid w:val="34C518B3"/>
    <w:rsid w:val="34C74165"/>
    <w:rsid w:val="34E40873"/>
    <w:rsid w:val="35B244CD"/>
    <w:rsid w:val="35F66AB0"/>
    <w:rsid w:val="36527A5E"/>
    <w:rsid w:val="36617CA1"/>
    <w:rsid w:val="368C2F70"/>
    <w:rsid w:val="36B83D65"/>
    <w:rsid w:val="36CB29C7"/>
    <w:rsid w:val="36F17277"/>
    <w:rsid w:val="370074BA"/>
    <w:rsid w:val="37246EE3"/>
    <w:rsid w:val="37377380"/>
    <w:rsid w:val="37757EA8"/>
    <w:rsid w:val="379A3476"/>
    <w:rsid w:val="37B7401D"/>
    <w:rsid w:val="37E27555"/>
    <w:rsid w:val="38B247E4"/>
    <w:rsid w:val="3919204D"/>
    <w:rsid w:val="397C6D7E"/>
    <w:rsid w:val="39BF540B"/>
    <w:rsid w:val="39CB2002"/>
    <w:rsid w:val="39F350B4"/>
    <w:rsid w:val="3A655FB2"/>
    <w:rsid w:val="3A687850"/>
    <w:rsid w:val="3A854EB6"/>
    <w:rsid w:val="3A857E12"/>
    <w:rsid w:val="3A916DA7"/>
    <w:rsid w:val="3AB02FA5"/>
    <w:rsid w:val="3B7010B2"/>
    <w:rsid w:val="3B762441"/>
    <w:rsid w:val="3BF515B8"/>
    <w:rsid w:val="3C190230"/>
    <w:rsid w:val="3C430575"/>
    <w:rsid w:val="3C5A141B"/>
    <w:rsid w:val="3C890AAE"/>
    <w:rsid w:val="3C90308E"/>
    <w:rsid w:val="3CA07775"/>
    <w:rsid w:val="3CBC14CA"/>
    <w:rsid w:val="3CBE7BFC"/>
    <w:rsid w:val="3CC01BC6"/>
    <w:rsid w:val="3CC82828"/>
    <w:rsid w:val="3CFB49AC"/>
    <w:rsid w:val="3D1B6976"/>
    <w:rsid w:val="3D69400B"/>
    <w:rsid w:val="3DA74B34"/>
    <w:rsid w:val="3DDF607B"/>
    <w:rsid w:val="3DE90CA8"/>
    <w:rsid w:val="3DF5764D"/>
    <w:rsid w:val="3DFD4754"/>
    <w:rsid w:val="3E38578C"/>
    <w:rsid w:val="3E413B9C"/>
    <w:rsid w:val="3E66679D"/>
    <w:rsid w:val="3ED56974"/>
    <w:rsid w:val="3F163D1F"/>
    <w:rsid w:val="3F3A5D1C"/>
    <w:rsid w:val="3F451C43"/>
    <w:rsid w:val="3F495D63"/>
    <w:rsid w:val="3FDD65EB"/>
    <w:rsid w:val="3FE71217"/>
    <w:rsid w:val="40640ABA"/>
    <w:rsid w:val="406B3BF6"/>
    <w:rsid w:val="40A35A86"/>
    <w:rsid w:val="40BC26A4"/>
    <w:rsid w:val="40C94DC1"/>
    <w:rsid w:val="40D774DE"/>
    <w:rsid w:val="411A23BE"/>
    <w:rsid w:val="4125649B"/>
    <w:rsid w:val="41FB544E"/>
    <w:rsid w:val="420876CD"/>
    <w:rsid w:val="42097B6B"/>
    <w:rsid w:val="43302ED5"/>
    <w:rsid w:val="433504EC"/>
    <w:rsid w:val="433639E1"/>
    <w:rsid w:val="433A160B"/>
    <w:rsid w:val="435C016E"/>
    <w:rsid w:val="43635059"/>
    <w:rsid w:val="43867396"/>
    <w:rsid w:val="43C26223"/>
    <w:rsid w:val="43D9531B"/>
    <w:rsid w:val="43DD4E0B"/>
    <w:rsid w:val="4469669F"/>
    <w:rsid w:val="44AA18A6"/>
    <w:rsid w:val="455E3D2A"/>
    <w:rsid w:val="45C51FFB"/>
    <w:rsid w:val="462A00B0"/>
    <w:rsid w:val="46401681"/>
    <w:rsid w:val="465175BC"/>
    <w:rsid w:val="46751D5A"/>
    <w:rsid w:val="467C4DAF"/>
    <w:rsid w:val="4698770F"/>
    <w:rsid w:val="473B3F5F"/>
    <w:rsid w:val="47745A86"/>
    <w:rsid w:val="47B95B8F"/>
    <w:rsid w:val="480A5AF5"/>
    <w:rsid w:val="4832431F"/>
    <w:rsid w:val="484216E1"/>
    <w:rsid w:val="486E697A"/>
    <w:rsid w:val="48A77E4E"/>
    <w:rsid w:val="48E62DA8"/>
    <w:rsid w:val="48F6071D"/>
    <w:rsid w:val="49926698"/>
    <w:rsid w:val="49AD1724"/>
    <w:rsid w:val="49AE34D6"/>
    <w:rsid w:val="49C317C2"/>
    <w:rsid w:val="49D722FD"/>
    <w:rsid w:val="49D97E23"/>
    <w:rsid w:val="4B076C12"/>
    <w:rsid w:val="4B103D18"/>
    <w:rsid w:val="4B531E57"/>
    <w:rsid w:val="4B920BD1"/>
    <w:rsid w:val="4B971D44"/>
    <w:rsid w:val="4BE8259F"/>
    <w:rsid w:val="4C76404F"/>
    <w:rsid w:val="4C934C01"/>
    <w:rsid w:val="4C9E155C"/>
    <w:rsid w:val="4CD07C03"/>
    <w:rsid w:val="4CF136D5"/>
    <w:rsid w:val="4D050606"/>
    <w:rsid w:val="4D265A75"/>
    <w:rsid w:val="4D502AF2"/>
    <w:rsid w:val="4D6C59FA"/>
    <w:rsid w:val="4D752558"/>
    <w:rsid w:val="4D7C38E7"/>
    <w:rsid w:val="4D7D31BB"/>
    <w:rsid w:val="4DA16EA9"/>
    <w:rsid w:val="4DDD70B3"/>
    <w:rsid w:val="4E0B4C6B"/>
    <w:rsid w:val="4E1E0BD9"/>
    <w:rsid w:val="4E6F51FA"/>
    <w:rsid w:val="4E8C5DAC"/>
    <w:rsid w:val="4E9609D8"/>
    <w:rsid w:val="4EA529C9"/>
    <w:rsid w:val="4EEC05F8"/>
    <w:rsid w:val="4F644B47"/>
    <w:rsid w:val="4F974D24"/>
    <w:rsid w:val="4FAE1D52"/>
    <w:rsid w:val="4FDF1F0B"/>
    <w:rsid w:val="500B3614"/>
    <w:rsid w:val="502B2372"/>
    <w:rsid w:val="50726BE2"/>
    <w:rsid w:val="5073350E"/>
    <w:rsid w:val="508E21DC"/>
    <w:rsid w:val="50AA65E6"/>
    <w:rsid w:val="50D35CFB"/>
    <w:rsid w:val="50DB3076"/>
    <w:rsid w:val="514B3CFC"/>
    <w:rsid w:val="51A056CA"/>
    <w:rsid w:val="51DF2696"/>
    <w:rsid w:val="5201085F"/>
    <w:rsid w:val="521F697C"/>
    <w:rsid w:val="522D1654"/>
    <w:rsid w:val="52825965"/>
    <w:rsid w:val="52AB40E8"/>
    <w:rsid w:val="52FD5AB3"/>
    <w:rsid w:val="533C1422"/>
    <w:rsid w:val="5370419C"/>
    <w:rsid w:val="53D74912"/>
    <w:rsid w:val="53D8114B"/>
    <w:rsid w:val="53DB1B3A"/>
    <w:rsid w:val="5449029B"/>
    <w:rsid w:val="544914BD"/>
    <w:rsid w:val="54833270"/>
    <w:rsid w:val="548C28D2"/>
    <w:rsid w:val="54F2448F"/>
    <w:rsid w:val="557C1FAA"/>
    <w:rsid w:val="5588094F"/>
    <w:rsid w:val="558F1CDD"/>
    <w:rsid w:val="55AD23C0"/>
    <w:rsid w:val="55AE2AAB"/>
    <w:rsid w:val="55BD3CD6"/>
    <w:rsid w:val="561627CA"/>
    <w:rsid w:val="56BA4522"/>
    <w:rsid w:val="56F11165"/>
    <w:rsid w:val="570A1F63"/>
    <w:rsid w:val="573963A5"/>
    <w:rsid w:val="574A05B2"/>
    <w:rsid w:val="574C432A"/>
    <w:rsid w:val="575E22AF"/>
    <w:rsid w:val="57947A7F"/>
    <w:rsid w:val="57A852D8"/>
    <w:rsid w:val="585C7EB6"/>
    <w:rsid w:val="589E6E07"/>
    <w:rsid w:val="58C40B36"/>
    <w:rsid w:val="58E20DEA"/>
    <w:rsid w:val="590360D2"/>
    <w:rsid w:val="59407EBE"/>
    <w:rsid w:val="59B25F66"/>
    <w:rsid w:val="59F2707E"/>
    <w:rsid w:val="5A1D5B0A"/>
    <w:rsid w:val="5A3612C1"/>
    <w:rsid w:val="5A630FD4"/>
    <w:rsid w:val="5A845B3B"/>
    <w:rsid w:val="5AC80CC4"/>
    <w:rsid w:val="5AF54CD9"/>
    <w:rsid w:val="5B0B65EC"/>
    <w:rsid w:val="5B152C85"/>
    <w:rsid w:val="5B527A35"/>
    <w:rsid w:val="5B922527"/>
    <w:rsid w:val="5BB950FA"/>
    <w:rsid w:val="5BBA264D"/>
    <w:rsid w:val="5C3D6937"/>
    <w:rsid w:val="5C5A1297"/>
    <w:rsid w:val="5C6757ED"/>
    <w:rsid w:val="5C883065"/>
    <w:rsid w:val="5C8D77D5"/>
    <w:rsid w:val="5CB14DA2"/>
    <w:rsid w:val="5CBB2E85"/>
    <w:rsid w:val="5CC436EE"/>
    <w:rsid w:val="5CC5085F"/>
    <w:rsid w:val="5CCA32CA"/>
    <w:rsid w:val="5D1A6C78"/>
    <w:rsid w:val="5D215911"/>
    <w:rsid w:val="5D2F6C6E"/>
    <w:rsid w:val="5D6166D5"/>
    <w:rsid w:val="5D7128B0"/>
    <w:rsid w:val="5D885990"/>
    <w:rsid w:val="5D9B1260"/>
    <w:rsid w:val="5DA327CA"/>
    <w:rsid w:val="5DE30E18"/>
    <w:rsid w:val="5E007C1C"/>
    <w:rsid w:val="5E063B1A"/>
    <w:rsid w:val="5E0A2849"/>
    <w:rsid w:val="5E257683"/>
    <w:rsid w:val="5E3F64CF"/>
    <w:rsid w:val="5E4B553C"/>
    <w:rsid w:val="5E6B55B4"/>
    <w:rsid w:val="5E6D4B86"/>
    <w:rsid w:val="5EAC56AE"/>
    <w:rsid w:val="5EF808F3"/>
    <w:rsid w:val="5EFA2DD1"/>
    <w:rsid w:val="5F013C4C"/>
    <w:rsid w:val="5F155949"/>
    <w:rsid w:val="5F245B8C"/>
    <w:rsid w:val="5FF4555F"/>
    <w:rsid w:val="5FFB45A8"/>
    <w:rsid w:val="601528F9"/>
    <w:rsid w:val="606745F8"/>
    <w:rsid w:val="61017934"/>
    <w:rsid w:val="6115578D"/>
    <w:rsid w:val="612E2CF2"/>
    <w:rsid w:val="613F2044"/>
    <w:rsid w:val="615D0EE2"/>
    <w:rsid w:val="61637227"/>
    <w:rsid w:val="618378A8"/>
    <w:rsid w:val="61955B4F"/>
    <w:rsid w:val="61BE4076"/>
    <w:rsid w:val="62015D11"/>
    <w:rsid w:val="620265A6"/>
    <w:rsid w:val="620F042E"/>
    <w:rsid w:val="62612C54"/>
    <w:rsid w:val="62FF66F4"/>
    <w:rsid w:val="631A352E"/>
    <w:rsid w:val="635B6D84"/>
    <w:rsid w:val="63B23767"/>
    <w:rsid w:val="63BA6ABF"/>
    <w:rsid w:val="63C11BFC"/>
    <w:rsid w:val="63EB4ECB"/>
    <w:rsid w:val="63F26259"/>
    <w:rsid w:val="64202DC6"/>
    <w:rsid w:val="643E4FFA"/>
    <w:rsid w:val="645338D9"/>
    <w:rsid w:val="64A774AC"/>
    <w:rsid w:val="64AA3487"/>
    <w:rsid w:val="64B67287"/>
    <w:rsid w:val="6511270F"/>
    <w:rsid w:val="652341F0"/>
    <w:rsid w:val="66044022"/>
    <w:rsid w:val="662D5327"/>
    <w:rsid w:val="663E5786"/>
    <w:rsid w:val="66630D48"/>
    <w:rsid w:val="668A4527"/>
    <w:rsid w:val="6712481A"/>
    <w:rsid w:val="677671A1"/>
    <w:rsid w:val="67890C82"/>
    <w:rsid w:val="67A71109"/>
    <w:rsid w:val="67A7735B"/>
    <w:rsid w:val="67AF50BD"/>
    <w:rsid w:val="67CC3735"/>
    <w:rsid w:val="67DA14DE"/>
    <w:rsid w:val="67DB760B"/>
    <w:rsid w:val="68012F0F"/>
    <w:rsid w:val="682D5AB2"/>
    <w:rsid w:val="68C857DA"/>
    <w:rsid w:val="68CB7079"/>
    <w:rsid w:val="68FC7232"/>
    <w:rsid w:val="69811F27"/>
    <w:rsid w:val="69A72F67"/>
    <w:rsid w:val="69EC54F9"/>
    <w:rsid w:val="69FF347E"/>
    <w:rsid w:val="6A261B24"/>
    <w:rsid w:val="6A7A6FA8"/>
    <w:rsid w:val="6ACB2F21"/>
    <w:rsid w:val="6AD541DF"/>
    <w:rsid w:val="6AF44665"/>
    <w:rsid w:val="6AF64881"/>
    <w:rsid w:val="6AF9611F"/>
    <w:rsid w:val="6B4B247E"/>
    <w:rsid w:val="6B6611EA"/>
    <w:rsid w:val="6B94230F"/>
    <w:rsid w:val="6BB0410D"/>
    <w:rsid w:val="6BD46244"/>
    <w:rsid w:val="6C0703C8"/>
    <w:rsid w:val="6C111246"/>
    <w:rsid w:val="6C924135"/>
    <w:rsid w:val="6C9F2CF6"/>
    <w:rsid w:val="6CAD0F6F"/>
    <w:rsid w:val="6CD52274"/>
    <w:rsid w:val="6CFA617E"/>
    <w:rsid w:val="6D371181"/>
    <w:rsid w:val="6D3C0545"/>
    <w:rsid w:val="6D3F05F3"/>
    <w:rsid w:val="6D4D2752"/>
    <w:rsid w:val="6D5E04BB"/>
    <w:rsid w:val="6D977F9D"/>
    <w:rsid w:val="6DE94229"/>
    <w:rsid w:val="6DF60124"/>
    <w:rsid w:val="6E06698E"/>
    <w:rsid w:val="6E2214E9"/>
    <w:rsid w:val="6E31797E"/>
    <w:rsid w:val="6E580931"/>
    <w:rsid w:val="6E5A6ED5"/>
    <w:rsid w:val="6E71421E"/>
    <w:rsid w:val="6E7328C2"/>
    <w:rsid w:val="6E9A19C7"/>
    <w:rsid w:val="6F5E29F5"/>
    <w:rsid w:val="6F690D11"/>
    <w:rsid w:val="6F6D0E8A"/>
    <w:rsid w:val="6F8F7052"/>
    <w:rsid w:val="6FDC1B6B"/>
    <w:rsid w:val="6FE23626"/>
    <w:rsid w:val="6FFD220E"/>
    <w:rsid w:val="700C0C00"/>
    <w:rsid w:val="701B08E6"/>
    <w:rsid w:val="70716018"/>
    <w:rsid w:val="708E6523"/>
    <w:rsid w:val="70B86135"/>
    <w:rsid w:val="71494FDF"/>
    <w:rsid w:val="716C6BBE"/>
    <w:rsid w:val="71AC3EEB"/>
    <w:rsid w:val="71D62D16"/>
    <w:rsid w:val="72143460"/>
    <w:rsid w:val="724D5A16"/>
    <w:rsid w:val="7273394E"/>
    <w:rsid w:val="728E539F"/>
    <w:rsid w:val="72F0605A"/>
    <w:rsid w:val="730C2768"/>
    <w:rsid w:val="7327134F"/>
    <w:rsid w:val="734D0F7D"/>
    <w:rsid w:val="73610D05"/>
    <w:rsid w:val="73830C7C"/>
    <w:rsid w:val="738C5E9F"/>
    <w:rsid w:val="739369E5"/>
    <w:rsid w:val="73B335E4"/>
    <w:rsid w:val="73BE0AD5"/>
    <w:rsid w:val="740D2C3B"/>
    <w:rsid w:val="74493C73"/>
    <w:rsid w:val="74AC05CB"/>
    <w:rsid w:val="74B15375"/>
    <w:rsid w:val="74C7103C"/>
    <w:rsid w:val="752811FB"/>
    <w:rsid w:val="753E7C30"/>
    <w:rsid w:val="758807CB"/>
    <w:rsid w:val="76966F18"/>
    <w:rsid w:val="76E2215D"/>
    <w:rsid w:val="76F01A11"/>
    <w:rsid w:val="771D4F43"/>
    <w:rsid w:val="7726029C"/>
    <w:rsid w:val="7731279D"/>
    <w:rsid w:val="778154D2"/>
    <w:rsid w:val="77B07B65"/>
    <w:rsid w:val="77B92EBE"/>
    <w:rsid w:val="77BF385A"/>
    <w:rsid w:val="77C33CDE"/>
    <w:rsid w:val="77D23F80"/>
    <w:rsid w:val="78342545"/>
    <w:rsid w:val="785030F6"/>
    <w:rsid w:val="78615304"/>
    <w:rsid w:val="78B6564F"/>
    <w:rsid w:val="78C02C10"/>
    <w:rsid w:val="78C55892"/>
    <w:rsid w:val="78CE14BA"/>
    <w:rsid w:val="78D36201"/>
    <w:rsid w:val="78E14E1D"/>
    <w:rsid w:val="78F76C86"/>
    <w:rsid w:val="79110AD8"/>
    <w:rsid w:val="791B3704"/>
    <w:rsid w:val="794A5D98"/>
    <w:rsid w:val="798515F1"/>
    <w:rsid w:val="79891A1F"/>
    <w:rsid w:val="79A454A8"/>
    <w:rsid w:val="79AC4C43"/>
    <w:rsid w:val="79C30785"/>
    <w:rsid w:val="79FE72AE"/>
    <w:rsid w:val="7A3251AA"/>
    <w:rsid w:val="7A4F7B0A"/>
    <w:rsid w:val="7A5A200A"/>
    <w:rsid w:val="7A65732D"/>
    <w:rsid w:val="7AAC0EF1"/>
    <w:rsid w:val="7AB160CE"/>
    <w:rsid w:val="7AEC7106"/>
    <w:rsid w:val="7AEF4E49"/>
    <w:rsid w:val="7B67660A"/>
    <w:rsid w:val="7BB20AE8"/>
    <w:rsid w:val="7BFC5B60"/>
    <w:rsid w:val="7C211032"/>
    <w:rsid w:val="7CE7227B"/>
    <w:rsid w:val="7CED7166"/>
    <w:rsid w:val="7D7A30EF"/>
    <w:rsid w:val="7D7C5C89"/>
    <w:rsid w:val="7DE94DF5"/>
    <w:rsid w:val="7DED357C"/>
    <w:rsid w:val="7DF32EA2"/>
    <w:rsid w:val="7E035F1C"/>
    <w:rsid w:val="7E115435"/>
    <w:rsid w:val="7E5353CF"/>
    <w:rsid w:val="7E6B47E6"/>
    <w:rsid w:val="7E7318ED"/>
    <w:rsid w:val="7E786F03"/>
    <w:rsid w:val="7E9E4BBC"/>
    <w:rsid w:val="7EE0047E"/>
    <w:rsid w:val="7EEF3669"/>
    <w:rsid w:val="7F0855F9"/>
    <w:rsid w:val="7F2A7DF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Plain Text"/>
    <w:basedOn w:val="1"/>
    <w:qFormat/>
    <w:uiPriority w:val="0"/>
    <w:pPr>
      <w:ind w:firstLine="200" w:firstLineChars="200"/>
    </w:pPr>
    <w:rPr>
      <w:rFonts w:ascii="宋体" w:hAnsi="Courier New" w:eastAsia="仿宋_GB2312"/>
      <w:sz w:val="32"/>
    </w:rPr>
  </w:style>
  <w:style w:type="paragraph" w:styleId="7">
    <w:name w:val="Block Text"/>
    <w:basedOn w:val="1"/>
    <w:qFormat/>
    <w:uiPriority w:val="0"/>
    <w:pPr>
      <w:spacing w:after="120"/>
      <w:ind w:left="1440" w:leftChars="700" w:right="1440" w:rightChars="700"/>
    </w:pPr>
  </w:style>
  <w:style w:type="paragraph" w:styleId="8">
    <w:name w:val="Body Text Indent 2"/>
    <w:basedOn w:val="1"/>
    <w:qFormat/>
    <w:uiPriority w:val="0"/>
    <w:pPr>
      <w:spacing w:line="560" w:lineRule="exact"/>
      <w:ind w:firstLine="643" w:firstLineChars="200"/>
    </w:pPr>
    <w:rPr>
      <w:rFonts w:eastAsia="仿宋_GB2312"/>
      <w:b/>
      <w:bCs/>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szCs w:val="18"/>
    </w:rPr>
  </w:style>
  <w:style w:type="paragraph" w:styleId="12">
    <w:name w:val="index 9"/>
    <w:basedOn w:val="1"/>
    <w:next w:val="1"/>
    <w:qFormat/>
    <w:uiPriority w:val="0"/>
    <w:rPr>
      <w:rFonts w:ascii="仿宋_GB2312" w:hAnsi="Times New Roman" w:eastAsia="仿宋_GB2312" w:cs="仿宋_GB2312"/>
      <w:sz w:val="32"/>
      <w:szCs w:val="32"/>
    </w:rPr>
  </w:style>
  <w:style w:type="paragraph" w:styleId="13">
    <w:name w:val="Normal (Web)"/>
    <w:basedOn w:val="1"/>
    <w:next w:val="9"/>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3"/>
    <w:qFormat/>
    <w:uiPriority w:val="99"/>
    <w:pPr>
      <w:ind w:firstLine="420" w:firstLineChars="200"/>
    </w:pPr>
  </w:style>
  <w:style w:type="character" w:styleId="17">
    <w:name w:val="Strong"/>
    <w:basedOn w:val="16"/>
    <w:qFormat/>
    <w:uiPriority w:val="0"/>
    <w:rPr>
      <w:b/>
      <w:bCs/>
    </w:rPr>
  </w:style>
  <w:style w:type="paragraph" w:customStyle="1" w:styleId="18">
    <w:name w:val="p0"/>
    <w:basedOn w:val="1"/>
    <w:qFormat/>
    <w:uiPriority w:val="0"/>
    <w:pPr>
      <w:widowControl/>
    </w:pPr>
    <w:rPr>
      <w:kern w:val="0"/>
      <w:szCs w:val="21"/>
    </w:rPr>
  </w:style>
  <w:style w:type="paragraph" w:customStyle="1" w:styleId="19">
    <w:name w:val="Body text|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20">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21">
    <w:name w:val="正文-未来城"/>
    <w:basedOn w:val="1"/>
    <w:qFormat/>
    <w:uiPriority w:val="0"/>
    <w:pPr>
      <w:spacing w:line="560" w:lineRule="exact"/>
      <w:ind w:firstLine="600" w:firstLineChars="200"/>
      <w:jc w:val="left"/>
    </w:pPr>
    <w:rPr>
      <w:rFonts w:hint="eastAsia" w:ascii="仿宋_GB2312" w:hAnsi="仿宋_GB2312" w:eastAsia="仿宋_GB2312" w:cs="仿宋_GB2312"/>
      <w:bCs/>
      <w:sz w:val="32"/>
      <w:szCs w:val="32"/>
    </w:rPr>
  </w:style>
  <w:style w:type="character" w:customStyle="1" w:styleId="22">
    <w:name w:val="font11"/>
    <w:basedOn w:val="16"/>
    <w:qFormat/>
    <w:uiPriority w:val="0"/>
    <w:rPr>
      <w:rFonts w:hint="eastAsia" w:ascii="仿宋_GB2312" w:eastAsia="仿宋_GB2312" w:cs="仿宋_GB2312"/>
      <w:b/>
      <w:bCs/>
      <w:color w:val="000000"/>
      <w:sz w:val="28"/>
      <w:szCs w:val="28"/>
      <w:u w:val="none"/>
    </w:rPr>
  </w:style>
  <w:style w:type="character" w:customStyle="1" w:styleId="23">
    <w:name w:val="font21"/>
    <w:basedOn w:val="16"/>
    <w:qFormat/>
    <w:uiPriority w:val="0"/>
    <w:rPr>
      <w:rFonts w:hint="default" w:ascii="Times New Roman" w:hAnsi="Times New Roman" w:cs="Times New Roman"/>
      <w:b/>
      <w:bCs/>
      <w:color w:val="000000"/>
      <w:sz w:val="28"/>
      <w:szCs w:val="28"/>
      <w:u w:val="none"/>
    </w:rPr>
  </w:style>
  <w:style w:type="character" w:customStyle="1" w:styleId="24">
    <w:name w:val="font31"/>
    <w:basedOn w:val="16"/>
    <w:qFormat/>
    <w:uiPriority w:val="0"/>
    <w:rPr>
      <w:rFonts w:hint="eastAsia" w:ascii="仿宋_GB2312" w:eastAsia="仿宋_GB2312" w:cs="仿宋_GB2312"/>
      <w:color w:val="000000"/>
      <w:sz w:val="28"/>
      <w:szCs w:val="28"/>
      <w:u w:val="none"/>
    </w:rPr>
  </w:style>
  <w:style w:type="character" w:customStyle="1" w:styleId="25">
    <w:name w:val="font41"/>
    <w:basedOn w:val="16"/>
    <w:qFormat/>
    <w:uiPriority w:val="0"/>
    <w:rPr>
      <w:rFonts w:hint="default" w:ascii="Times New Roman" w:hAnsi="Times New Roman" w:cs="Times New Roman"/>
      <w:color w:val="000000"/>
      <w:sz w:val="28"/>
      <w:szCs w:val="28"/>
      <w:u w:val="none"/>
    </w:rPr>
  </w:style>
  <w:style w:type="paragraph" w:customStyle="1" w:styleId="26">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3195</Words>
  <Characters>3272</Characters>
  <Lines>0</Lines>
  <Paragraphs>0</Paragraphs>
  <TotalTime>44</TotalTime>
  <ScaleCrop>false</ScaleCrop>
  <LinksUpToDate>false</LinksUpToDate>
  <CharactersWithSpaces>3330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2023-10-26T07:31:00Z</dcterms:created>
  <dc:creator>happy</dc:creator>
  <cp:lastModifiedBy>Administrator</cp:lastModifiedBy>
  <cp:lastPrinted>2023-12-08T01:55:00Z</cp:lastPrinted>
  <dcterms:modified xsi:type="dcterms:W3CDTF">2025-09-05T10:59:14Z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92D98AF6E15B48F78738B0DBA8A2C9B8_13</vt:lpwstr>
  </property>
  <property fmtid="{D5CDD505-2E9C-101B-9397-08002B2CF9AE}" pid="4" name="KSOTemplateDocerSaveRecord">
    <vt:lpwstr>eyJoZGlkIjoiNjJlNDg0MmI3ZmI2ZWVhYmFmMmEzMTZmNTIwZmQ4YWEiLCJ1c2VySWQiOiIyMTU4MDQwODIifQ==</vt:lpwstr>
  </property>
</Properties>
</file>