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color="auto" w:fill="FFFFFF"/>
        </w:rPr>
      </w:pPr>
      <w:bookmarkStart w:id="0" w:name="_GoBack"/>
      <w:bookmarkEnd w:id="0"/>
      <w:r>
        <w:rPr>
          <w:rFonts w:hint="eastAsia" w:ascii="方正小标宋简体" w:hAnsi="方正小标宋简体" w:eastAsia="方正小标宋简体" w:cs="方正小标宋简体"/>
          <w:b w:val="0"/>
          <w:bCs/>
          <w:i w:val="0"/>
          <w:caps w:val="0"/>
          <w:color w:val="333333"/>
          <w:spacing w:val="0"/>
          <w:sz w:val="44"/>
          <w:szCs w:val="44"/>
          <w:shd w:val="clear" w:color="auto" w:fill="FFFFFF"/>
        </w:rPr>
        <w:t>关于做好2025年山东省科技型中小企业评价服务工作的通知</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各市科技局，各有关单位：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工业和信息化部中小企业局关于开展2025年度科技型中小企业评价工作的通知》(工企业函〔2025〕137号)，为进一步强化企业科技创新主体地位，推动科技创新和产业创新深度融合，现就做好2025年山东省科技型中小企业评价服务工作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一、企业参评要求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参评企业应满足《科技型中小企业评价办法》（国科发政〔2017〕115号）和《科技型中小企业评价服务工作指引》(国科火字〔2022〕67号)规定的基本条件，按照自愿原则登录优质中小企业梯度培育平台（https://zjtx.miit.gov.cn/）“科技型中小企业”评价系统注册并填报企业相关信息，上传加盖企业公章的相关佐证材料，并保证所填内容和提交资料准确、真实、合法、有效，不通过第三方中介机构申报。如有弄虚作假行为，取消本年度评价资格，且三年内不得参与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二、评价时间安排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2025年度科技型中小企业评价系统将于6月30日-9月30日开放，期间企业可填报信息。10月31日前完成所有批次拟入库企业公示，12月15日前完成入库企业集中随机抽查和相关处理工作。省科技厅对拟入库企业名单在评价系统进行公示，原则上每月公示一批，每批次受理截止时间为每月15日（双休和节假日顺延到下一个工作日）。企业申报集中的月份将适当增加公示批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cs="黑体"/>
          <w:sz w:val="32"/>
          <w:szCs w:val="32"/>
        </w:rPr>
        <w:t>三、评价工作有关要求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rPr>
        <w:t>（一）严格执行评价标准。</w:t>
      </w:r>
      <w:r>
        <w:rPr>
          <w:rFonts w:hint="eastAsia" w:ascii="Times New Roman" w:hAnsi="Times New Roman" w:eastAsia="仿宋_GB2312"/>
          <w:sz w:val="32"/>
          <w:szCs w:val="32"/>
        </w:rPr>
        <w:t>各市科技主管部门要组织评价机构严格执行评价标准，对企业填报资料和佐证材料进行审核，信息完整且符合条件的予以推荐。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rPr>
        <w:t>（二）加强实地核查工作。</w:t>
      </w:r>
      <w:r>
        <w:rPr>
          <w:rFonts w:hint="eastAsia" w:ascii="Times New Roman" w:hAnsi="Times New Roman" w:eastAsia="仿宋_GB2312"/>
          <w:sz w:val="32"/>
          <w:szCs w:val="32"/>
        </w:rPr>
        <w:t>本年度参评企业如有以下情况，各市科技主管部门应在完成实地核查后推荐并报送核查情况，做好核查材料留存：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1.职工总数为5人及以下的企业。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2.科技人员占比90%及以上，且职工总数50人及以上的企业。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3.过去三年曾有严重违法失信、撤销入库编号等情况的企业。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4.首次参评的企业。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rPr>
        <w:t>（三）强化日常监督管理。</w:t>
      </w:r>
      <w:r>
        <w:rPr>
          <w:rFonts w:hint="eastAsia" w:ascii="Times New Roman" w:hAnsi="Times New Roman" w:eastAsia="仿宋_GB2312"/>
          <w:sz w:val="32"/>
          <w:szCs w:val="32"/>
        </w:rPr>
        <w:t>各市科技主管部门要建立常态化监管机制，对企业评价指标信息数据进行跟踪监测，对不符合条件的入库企业，按程序提请省科技厅撤销登记编号。要主动向社会公开监督方式，自觉接受社会监督，及时核实处理拟入库企业公示异议、投诉和举报信息，探索建立企业诚信档案和联合惩戒机制，积极营造公正、公开、公平的科技型中小企业发展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rPr>
        <w:t>（四）加强评价服务总结。</w:t>
      </w:r>
      <w:r>
        <w:rPr>
          <w:rFonts w:hint="eastAsia" w:ascii="Times New Roman" w:hAnsi="Times New Roman" w:eastAsia="仿宋_GB2312"/>
          <w:sz w:val="32"/>
          <w:szCs w:val="32"/>
        </w:rPr>
        <w:t>各市科技主管部门要及时掌握科技型中小企业发展运行情况，探索建立企业培育机制，选树优秀企业典型。同时，要认真总结本年度科技型中小企业评价工作，包括评价工作开展情况、实地核查工作情况、享受研发费用加计扣除政策情况、地方出台相关政策及落实情况、主要经验和做法、存在问题和下一步工作建议等内容，于12月20日前报送年度评价工作总结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1.监督服务联系电话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2.工业和信息化部中小企业局关于开展2025年度科技型中小企业评价工作的通知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山东省科学技术厅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年6月2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日</w:t>
      </w:r>
    </w:p>
    <w:p>
      <w:pPr>
        <w:widowControl/>
        <w:kinsoku/>
        <w:topLinePunct/>
        <w:autoSpaceDE w:val="0"/>
        <w:autoSpaceDN w:val="0"/>
        <w:adjustRightInd w:val="0"/>
        <w:snapToGrid w:val="0"/>
        <w:spacing w:line="580" w:lineRule="exact"/>
        <w:jc w:val="both"/>
        <w:textAlignment w:val="baseline"/>
        <w:rPr>
          <w:rFonts w:hint="eastAsia"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附件1</w:t>
      </w:r>
    </w:p>
    <w:p>
      <w:pPr>
        <w:widowControl/>
        <w:kinsoku/>
        <w:topLinePunct/>
        <w:autoSpaceDE w:val="0"/>
        <w:autoSpaceDN w:val="0"/>
        <w:adjustRightInd w:val="0"/>
        <w:snapToGrid w:val="0"/>
        <w:spacing w:line="580" w:lineRule="exact"/>
        <w:jc w:val="center"/>
        <w:textAlignment w:val="baseline"/>
        <w:rPr>
          <w:rFonts w:ascii="方正小标宋简体" w:hAnsi="微软雅黑" w:eastAsia="方正小标宋简体" w:cs="Arial"/>
          <w:snapToGrid w:val="0"/>
          <w:color w:val="000000"/>
          <w:kern w:val="0"/>
          <w:sz w:val="44"/>
          <w:szCs w:val="44"/>
          <w:shd w:val="clear" w:color="auto" w:fill="FFFFFF"/>
        </w:rPr>
      </w:pPr>
      <w:r>
        <w:rPr>
          <w:rFonts w:hint="eastAsia" w:ascii="方正小标宋简体" w:hAnsi="微软雅黑" w:eastAsia="方正小标宋简体" w:cs="Arial"/>
          <w:snapToGrid w:val="0"/>
          <w:color w:val="000000"/>
          <w:kern w:val="0"/>
          <w:sz w:val="44"/>
          <w:szCs w:val="44"/>
          <w:shd w:val="clear" w:color="auto" w:fill="FFFFFF"/>
        </w:rPr>
        <w:t>监督服务联系电话</w:t>
      </w:r>
    </w:p>
    <w:p>
      <w:pPr>
        <w:widowControl/>
        <w:kinsoku/>
        <w:topLinePunct/>
        <w:autoSpaceDE w:val="0"/>
        <w:autoSpaceDN w:val="0"/>
        <w:adjustRightInd w:val="0"/>
        <w:snapToGrid w:val="0"/>
        <w:spacing w:line="580" w:lineRule="exact"/>
        <w:jc w:val="center"/>
        <w:textAlignment w:val="baseline"/>
        <w:rPr>
          <w:rFonts w:hint="eastAsia" w:ascii="方正小标宋简体" w:hAnsi="微软雅黑" w:eastAsia="方正小标宋简体" w:cs="Arial"/>
          <w:snapToGrid w:val="0"/>
          <w:color w:val="000000"/>
          <w:kern w:val="0"/>
          <w:sz w:val="44"/>
          <w:szCs w:val="44"/>
          <w:shd w:val="clear" w:color="auto" w:fill="FFFFFF"/>
        </w:r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3540"/>
        <w:gridCol w:w="3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仿宋_GB2312" w:hAnsi="宋体" w:eastAsia="仿宋_GB2312" w:cs="Arial"/>
                <w:b/>
                <w:snapToGrid w:val="0"/>
                <w:color w:val="000000"/>
                <w:kern w:val="0"/>
                <w:sz w:val="28"/>
                <w:szCs w:val="28"/>
              </w:rPr>
            </w:pPr>
            <w:r>
              <w:rPr>
                <w:rFonts w:hint="eastAsia" w:ascii="仿宋_GB2312" w:hAnsi="宋体" w:eastAsia="仿宋_GB2312" w:cs="Arial"/>
                <w:b/>
                <w:snapToGrid w:val="0"/>
                <w:color w:val="000000"/>
                <w:kern w:val="0"/>
                <w:sz w:val="28"/>
                <w:szCs w:val="28"/>
              </w:rPr>
              <w:t>序号</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hint="eastAsia" w:ascii="仿宋_GB2312" w:hAnsi="宋体" w:eastAsia="仿宋_GB2312" w:cs="Arial"/>
                <w:b/>
                <w:snapToGrid w:val="0"/>
                <w:color w:val="000000"/>
                <w:kern w:val="0"/>
                <w:sz w:val="28"/>
                <w:szCs w:val="28"/>
                <w:lang w:val="en-US" w:eastAsia="zh-CN"/>
              </w:rPr>
            </w:pPr>
            <w:r>
              <w:rPr>
                <w:rFonts w:hint="eastAsia" w:ascii="仿宋_GB2312" w:hAnsi="宋体" w:eastAsia="仿宋_GB2312" w:cs="Arial"/>
                <w:b/>
                <w:snapToGrid w:val="0"/>
                <w:color w:val="000000"/>
                <w:kern w:val="0"/>
                <w:sz w:val="28"/>
                <w:szCs w:val="28"/>
              </w:rPr>
              <w:t>主管</w:t>
            </w:r>
            <w:r>
              <w:rPr>
                <w:rFonts w:hint="eastAsia" w:ascii="仿宋_GB2312" w:hAnsi="宋体" w:eastAsia="仿宋_GB2312" w:cs="Arial"/>
                <w:b/>
                <w:snapToGrid w:val="0"/>
                <w:color w:val="000000"/>
                <w:kern w:val="0"/>
                <w:sz w:val="28"/>
                <w:szCs w:val="28"/>
                <w:lang w:val="en-US" w:eastAsia="zh-CN"/>
              </w:rPr>
              <w:t>部门</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仿宋_GB2312" w:hAnsi="宋体" w:eastAsia="仿宋_GB2312" w:cs="Arial"/>
                <w:b/>
                <w:snapToGrid w:val="0"/>
                <w:color w:val="000000"/>
                <w:kern w:val="0"/>
                <w:sz w:val="28"/>
                <w:szCs w:val="28"/>
              </w:rPr>
            </w:pPr>
            <w:r>
              <w:rPr>
                <w:rFonts w:hint="eastAsia" w:ascii="仿宋_GB2312" w:hAnsi="宋体" w:eastAsia="仿宋_GB2312" w:cs="Arial"/>
                <w:b/>
                <w:snapToGrid w:val="0"/>
                <w:color w:val="000000"/>
                <w:kern w:val="0"/>
                <w:sz w:val="28"/>
                <w:szCs w:val="28"/>
                <w:lang w:val="en-US" w:eastAsia="zh-CN"/>
              </w:rPr>
              <w:t>联系</w:t>
            </w:r>
            <w:r>
              <w:rPr>
                <w:rFonts w:hint="eastAsia" w:ascii="仿宋_GB2312" w:hAnsi="宋体" w:eastAsia="仿宋_GB2312" w:cs="Arial"/>
                <w:b/>
                <w:snapToGrid w:val="0"/>
                <w:color w:val="000000"/>
                <w:kern w:val="0"/>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hint="eastAsia"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1</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hint="eastAsia"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济南市科学技术局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hint="eastAsia"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0531-</w:t>
            </w:r>
            <w:r>
              <w:rPr>
                <w:rFonts w:hint="eastAsia" w:ascii="宋体" w:hAnsi="宋体" w:eastAsia="宋体" w:cs="宋体"/>
                <w:bCs/>
                <w:snapToGrid w:val="0"/>
                <w:color w:val="000000"/>
                <w:kern w:val="0"/>
                <w:sz w:val="24"/>
                <w:szCs w:val="24"/>
                <w:lang w:val="en-US" w:eastAsia="zh-CN"/>
              </w:rPr>
              <w:t>8</w:t>
            </w:r>
            <w:r>
              <w:rPr>
                <w:rFonts w:hint="eastAsia" w:ascii="宋体" w:hAnsi="宋体" w:eastAsia="宋体" w:cs="宋体"/>
                <w:bCs/>
                <w:snapToGrid w:val="0"/>
                <w:color w:val="000000"/>
                <w:kern w:val="0"/>
                <w:sz w:val="24"/>
                <w:szCs w:val="24"/>
              </w:rPr>
              <w:t>8785651 、51708805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2</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淄博市科学技术局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0533-3183548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3</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枣庄市科学技术局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0632-3311492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4</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东营市科学技术局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0546-8380282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5</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烟台市科学技术局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0535-6786633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6</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潍坊市科学技术局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0536-8091380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7</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方正仿宋_GBK"/>
                <w:bCs/>
                <w:snapToGrid w:val="0"/>
                <w:color w:val="000000"/>
                <w:kern w:val="0"/>
                <w:sz w:val="24"/>
                <w:szCs w:val="24"/>
              </w:rPr>
              <w:t>济宁市科学技术局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方正仿宋_GBK"/>
                <w:bCs/>
                <w:snapToGrid w:val="0"/>
                <w:color w:val="000000"/>
                <w:kern w:val="0"/>
                <w:sz w:val="24"/>
                <w:szCs w:val="24"/>
              </w:rPr>
              <w:t>0537-3379956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8</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泰安市科学技术局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0538-6991149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9</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威海市科学技术局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0631-5810809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10</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日照市科学技术局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0633-8776313 、8785728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11</w:t>
            </w:r>
          </w:p>
        </w:tc>
        <w:tc>
          <w:tcPr>
            <w:tcW w:w="2076" w:type="pct"/>
            <w:noWrap w:val="0"/>
            <w:vAlign w:val="top"/>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临沂市科学技术局</w:t>
            </w:r>
          </w:p>
        </w:tc>
        <w:tc>
          <w:tcPr>
            <w:tcW w:w="2113" w:type="pct"/>
            <w:noWrap w:val="0"/>
            <w:vAlign w:val="top"/>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0539-7570025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12</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德州市科学技术局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0534-2686108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13</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聊城市科学技术局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0635-8378982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14</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方正仿宋_GBK"/>
                <w:bCs/>
                <w:snapToGrid w:val="0"/>
                <w:color w:val="000000"/>
                <w:kern w:val="0"/>
                <w:sz w:val="24"/>
                <w:szCs w:val="24"/>
              </w:rPr>
            </w:pPr>
            <w:r>
              <w:rPr>
                <w:rFonts w:hint="eastAsia" w:ascii="宋体" w:hAnsi="宋体" w:eastAsia="宋体" w:cs="宋体"/>
                <w:bCs/>
                <w:snapToGrid w:val="0"/>
                <w:color w:val="000000"/>
                <w:kern w:val="0"/>
                <w:sz w:val="24"/>
                <w:szCs w:val="24"/>
              </w:rPr>
              <w:t>滨州市科学技术局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方正仿宋_GBK"/>
                <w:bCs/>
                <w:snapToGrid w:val="0"/>
                <w:color w:val="000000"/>
                <w:kern w:val="0"/>
                <w:sz w:val="24"/>
                <w:szCs w:val="24"/>
              </w:rPr>
            </w:pPr>
            <w:r>
              <w:rPr>
                <w:rFonts w:hint="eastAsia" w:ascii="宋体" w:hAnsi="宋体" w:eastAsia="宋体" w:cs="宋体"/>
                <w:bCs/>
                <w:snapToGrid w:val="0"/>
                <w:color w:val="000000"/>
                <w:kern w:val="0"/>
                <w:sz w:val="24"/>
                <w:szCs w:val="24"/>
              </w:rPr>
              <w:t>0543-3187022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r>
              <w:rPr>
                <w:rFonts w:ascii="宋体" w:hAnsi="宋体" w:eastAsia="宋体" w:cs="Arial"/>
                <w:snapToGrid w:val="0"/>
                <w:color w:val="000000"/>
                <w:kern w:val="0"/>
                <w:szCs w:val="21"/>
              </w:rPr>
              <w:t>15</w:t>
            </w: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方正仿宋_GBK"/>
                <w:bCs/>
                <w:snapToGrid w:val="0"/>
                <w:color w:val="000000"/>
                <w:kern w:val="0"/>
                <w:sz w:val="24"/>
                <w:szCs w:val="24"/>
              </w:rPr>
            </w:pPr>
            <w:r>
              <w:rPr>
                <w:rFonts w:hint="eastAsia" w:ascii="宋体" w:hAnsi="宋体" w:eastAsia="宋体" w:cs="宋体"/>
                <w:bCs/>
                <w:snapToGrid w:val="0"/>
                <w:color w:val="000000"/>
                <w:kern w:val="0"/>
                <w:sz w:val="24"/>
                <w:szCs w:val="24"/>
              </w:rPr>
              <w:t>菏泽市科学技术局</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方正仿宋_GBK"/>
                <w:bCs/>
                <w:snapToGrid w:val="0"/>
                <w:color w:val="000000"/>
                <w:kern w:val="0"/>
                <w:sz w:val="24"/>
                <w:szCs w:val="24"/>
              </w:rPr>
            </w:pPr>
            <w:r>
              <w:rPr>
                <w:rFonts w:hint="eastAsia" w:ascii="宋体" w:hAnsi="宋体" w:eastAsia="宋体" w:cs="宋体"/>
                <w:bCs/>
                <w:snapToGrid w:val="0"/>
                <w:color w:val="000000"/>
                <w:kern w:val="0"/>
                <w:sz w:val="24"/>
                <w:szCs w:val="24"/>
              </w:rPr>
              <w:t>0530-5310874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Arial"/>
                <w:snapToGrid w:val="0"/>
                <w:color w:val="000000"/>
                <w:kern w:val="0"/>
                <w:szCs w:val="21"/>
              </w:rPr>
            </w:pPr>
          </w:p>
        </w:tc>
        <w:tc>
          <w:tcPr>
            <w:tcW w:w="2076" w:type="pct"/>
            <w:noWrap w:val="0"/>
            <w:vAlign w:val="center"/>
          </w:tcPr>
          <w:p>
            <w:pPr>
              <w:widowControl/>
              <w:kinsoku/>
              <w:topLinePunct/>
              <w:autoSpaceDE w:val="0"/>
              <w:autoSpaceDN w:val="0"/>
              <w:adjustRightInd w:val="0"/>
              <w:snapToGrid w:val="0"/>
              <w:spacing w:line="580" w:lineRule="exact"/>
              <w:jc w:val="center"/>
              <w:textAlignment w:val="baseline"/>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山东省科学技术厅</w:t>
            </w:r>
          </w:p>
        </w:tc>
        <w:tc>
          <w:tcPr>
            <w:tcW w:w="2113" w:type="pct"/>
            <w:noWrap w:val="0"/>
            <w:vAlign w:val="center"/>
          </w:tcPr>
          <w:p>
            <w:pPr>
              <w:widowControl/>
              <w:kinsoku/>
              <w:topLinePunct/>
              <w:autoSpaceDE w:val="0"/>
              <w:autoSpaceDN w:val="0"/>
              <w:adjustRightInd w:val="0"/>
              <w:snapToGrid w:val="0"/>
              <w:spacing w:line="580" w:lineRule="exact"/>
              <w:jc w:val="center"/>
              <w:textAlignment w:val="baseline"/>
              <w:rPr>
                <w:rFonts w:hint="default"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rPr>
              <w:t>0531-51751263、517511</w:t>
            </w:r>
            <w:r>
              <w:rPr>
                <w:rFonts w:hint="eastAsia" w:ascii="宋体" w:hAnsi="宋体" w:eastAsia="宋体" w:cs="宋体"/>
                <w:bCs/>
                <w:snapToGrid w:val="0"/>
                <w:color w:val="000000"/>
                <w:kern w:val="0"/>
                <w:sz w:val="24"/>
                <w:szCs w:val="24"/>
                <w:lang w:val="en-US" w:eastAsia="zh-CN"/>
              </w:rPr>
              <w:t>73</w:t>
            </w:r>
          </w:p>
        </w:tc>
      </w:tr>
    </w:tbl>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sz w:val="32"/>
          <w:szCs w:val="32"/>
        </w:rPr>
        <w:sectPr>
          <w:pgSz w:w="11906" w:h="16838"/>
          <w:pgMar w:top="1440" w:right="1800" w:bottom="1440" w:left="1800" w:header="851" w:footer="992" w:gutter="0"/>
          <w:cols w:space="720" w:num="1"/>
          <w:docGrid w:type="lines" w:linePitch="312" w:charSpace="0"/>
        </w:sectPr>
      </w:pPr>
    </w:p>
    <w:p>
      <w:pPr>
        <w:kinsoku/>
        <w:topLinePunct/>
        <w:spacing w:line="580" w:lineRule="exact"/>
        <w:jc w:val="both"/>
        <w:rPr>
          <w:rFonts w:hint="eastAsia" w:ascii="黑体" w:hAnsi="黑体" w:eastAsia="黑体" w:cs="黑体"/>
          <w:sz w:val="32"/>
          <w:szCs w:val="32"/>
        </w:rPr>
      </w:pPr>
      <w:r>
        <w:rPr>
          <w:rFonts w:hint="eastAsia" w:ascii="黑体" w:hAnsi="黑体" w:eastAsia="黑体" w:cs="黑体"/>
          <w:sz w:val="32"/>
          <w:szCs w:val="32"/>
        </w:rPr>
        <w:t>附件2</w:t>
      </w:r>
    </w:p>
    <w:p>
      <w:pPr>
        <w:kinsoku/>
        <w:topLinePunct/>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工业和信息化部中小企业局关于开展</w:t>
      </w:r>
    </w:p>
    <w:p>
      <w:pPr>
        <w:kinsoku/>
        <w:topLinePunct/>
        <w:spacing w:line="580" w:lineRule="exact"/>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2025</w:t>
      </w:r>
      <w:r>
        <w:rPr>
          <w:rFonts w:hint="eastAsia" w:ascii="方正小标宋简体" w:hAnsi="方正小标宋简体" w:eastAsia="方正小标宋简体" w:cs="方正小标宋简体"/>
          <w:sz w:val="44"/>
          <w:szCs w:val="44"/>
          <w:lang w:eastAsia="zh-CN"/>
        </w:rPr>
        <w:t>年度科技型中小企业评价工作的通知</w:t>
      </w:r>
    </w:p>
    <w:p>
      <w:pPr>
        <w:kinsoku/>
        <w:topLinePunct/>
        <w:spacing w:line="580" w:lineRule="exact"/>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工企业函〔</w:t>
      </w:r>
      <w:r>
        <w:rPr>
          <w:rFonts w:hint="eastAsia" w:ascii="仿宋_GB2312" w:hAnsi="仿宋_GB2312" w:eastAsia="仿宋_GB2312" w:cs="仿宋_GB2312"/>
          <w:sz w:val="32"/>
          <w:szCs w:val="32"/>
          <w:lang w:val="en-US"/>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137</w:t>
      </w:r>
      <w:r>
        <w:rPr>
          <w:rFonts w:hint="eastAsia" w:ascii="仿宋_GB2312" w:hAnsi="仿宋_GB2312" w:eastAsia="仿宋_GB2312" w:cs="仿宋_GB2312"/>
          <w:sz w:val="32"/>
          <w:szCs w:val="32"/>
          <w:lang w:eastAsia="zh-CN"/>
        </w:rPr>
        <w:t>号</w:t>
      </w:r>
    </w:p>
    <w:p>
      <w:pPr>
        <w:kinsoku/>
        <w:topLinePunct/>
        <w:spacing w:line="580" w:lineRule="exact"/>
        <w:jc w:val="both"/>
        <w:rPr>
          <w:rFonts w:hint="eastAsia" w:ascii="仿宋_GB2312" w:hAnsi="仿宋_GB2312" w:eastAsia="仿宋_GB2312" w:cs="仿宋_GB2312"/>
          <w:sz w:val="32"/>
          <w:szCs w:val="32"/>
          <w:lang w:val="en-US"/>
        </w:rPr>
      </w:pPr>
    </w:p>
    <w:p>
      <w:pPr>
        <w:kinsoku/>
        <w:topLinePunct/>
        <w:spacing w:line="580" w:lineRule="exact"/>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各省、自治区、直辖市及计划单列市科技型中小企业工作主管部门：</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为深入贯彻落实党中央、国务院关于推动科技创新和产业创新深度融合，强化企业科技创新主体地位决策部署，促进中小企业专精特新发展，根据《科技型中小企业评价办法》（国科发政〔</w:t>
      </w:r>
      <w:r>
        <w:rPr>
          <w:rFonts w:hint="eastAsia" w:ascii="仿宋_GB2312" w:hAnsi="仿宋_GB2312" w:eastAsia="仿宋_GB2312" w:cs="仿宋_GB2312"/>
          <w:sz w:val="32"/>
          <w:szCs w:val="32"/>
          <w:lang w:val="en-US"/>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115</w:t>
      </w:r>
      <w:r>
        <w:rPr>
          <w:rFonts w:hint="eastAsia" w:ascii="仿宋_GB2312" w:hAnsi="仿宋_GB2312" w:eastAsia="仿宋_GB2312" w:cs="仿宋_GB2312"/>
          <w:sz w:val="32"/>
          <w:szCs w:val="32"/>
          <w:lang w:eastAsia="zh-CN"/>
        </w:rPr>
        <w:t>号）和《科技型中小企业评价服务工作指引》（国科火字〔</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67</w:t>
      </w:r>
      <w:r>
        <w:rPr>
          <w:rFonts w:hint="eastAsia" w:ascii="仿宋_GB2312" w:hAnsi="仿宋_GB2312" w:eastAsia="仿宋_GB2312" w:cs="仿宋_GB2312"/>
          <w:sz w:val="32"/>
          <w:szCs w:val="32"/>
          <w:lang w:eastAsia="zh-CN"/>
        </w:rPr>
        <w:t>号）有关要求，参照工业和信息化部办公厅《关于开展</w:t>
      </w:r>
      <w:r>
        <w:rPr>
          <w:rFonts w:hint="eastAsia" w:ascii="仿宋_GB2312" w:hAnsi="仿宋_GB2312" w:eastAsia="仿宋_GB2312" w:cs="仿宋_GB2312"/>
          <w:sz w:val="32"/>
          <w:szCs w:val="32"/>
          <w:lang w:val="en-US"/>
        </w:rPr>
        <w:t>2024</w:t>
      </w:r>
      <w:r>
        <w:rPr>
          <w:rFonts w:hint="eastAsia" w:ascii="仿宋_GB2312" w:hAnsi="仿宋_GB2312" w:eastAsia="仿宋_GB2312" w:cs="仿宋_GB2312"/>
          <w:sz w:val="32"/>
          <w:szCs w:val="32"/>
          <w:lang w:eastAsia="zh-CN"/>
        </w:rPr>
        <w:t>年度科技型中小企业评价工作的通知》（工信厅企业函〔</w:t>
      </w:r>
      <w:r>
        <w:rPr>
          <w:rFonts w:hint="eastAsia" w:ascii="仿宋_GB2312" w:hAnsi="仿宋_GB2312" w:eastAsia="仿宋_GB2312" w:cs="仿宋_GB2312"/>
          <w:sz w:val="32"/>
          <w:szCs w:val="32"/>
          <w:lang w:val="en-US"/>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244</w:t>
      </w:r>
      <w:r>
        <w:rPr>
          <w:rFonts w:hint="eastAsia" w:ascii="仿宋_GB2312" w:hAnsi="仿宋_GB2312" w:eastAsia="仿宋_GB2312" w:cs="仿宋_GB2312"/>
          <w:sz w:val="32"/>
          <w:szCs w:val="32"/>
          <w:lang w:eastAsia="zh-CN"/>
        </w:rPr>
        <w:t>号），现就开展</w:t>
      </w:r>
      <w:r>
        <w:rPr>
          <w:rFonts w:hint="eastAsia" w:ascii="仿宋_GB2312" w:hAnsi="仿宋_GB2312" w:eastAsia="仿宋_GB2312" w:cs="仿宋_GB2312"/>
          <w:sz w:val="32"/>
          <w:szCs w:val="32"/>
          <w:lang w:val="en-US"/>
        </w:rPr>
        <w:t>2025</w:t>
      </w:r>
      <w:r>
        <w:rPr>
          <w:rFonts w:hint="eastAsia" w:ascii="仿宋_GB2312" w:hAnsi="仿宋_GB2312" w:eastAsia="仿宋_GB2312" w:cs="仿宋_GB2312"/>
          <w:sz w:val="32"/>
          <w:szCs w:val="32"/>
          <w:lang w:eastAsia="zh-CN"/>
        </w:rPr>
        <w:t>年度科技型中小企业评价工作通知如下：</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一、企业参评要求</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符合条件的中小企业按照自愿原则，登录优质中小企业梯度培育平台（</w:t>
      </w:r>
      <w:r>
        <w:rPr>
          <w:rFonts w:hint="eastAsia" w:ascii="仿宋_GB2312" w:hAnsi="仿宋_GB2312" w:eastAsia="仿宋_GB2312" w:cs="仿宋_GB2312"/>
          <w:sz w:val="32"/>
          <w:szCs w:val="32"/>
          <w:lang w:val="en-US"/>
        </w:rPr>
        <w:t>https://zjtx.miit.gov.cn/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科技型中小企业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评价系统（以下简称评价系统）注册并填报企业相关信息，上传加盖企业公章的相关佐证材料，并保证所填内容和提交资料准确、真实、合法、有效，不通过第三方中介机构申报。如有弄虚作假行为，取消本年度评价资格，且三年内不得参与评价。</w:t>
      </w:r>
    </w:p>
    <w:p>
      <w:pPr>
        <w:kinsoku/>
        <w:topLinePunct/>
        <w:spacing w:line="580" w:lineRule="exact"/>
        <w:ind w:firstLine="640" w:firstLineChars="200"/>
        <w:jc w:val="both"/>
        <w:rPr>
          <w:rFonts w:hint="eastAsia" w:ascii="黑体" w:hAnsi="黑体" w:eastAsia="黑体" w:cs="黑体"/>
          <w:sz w:val="32"/>
          <w:szCs w:val="32"/>
          <w:lang w:val="en-US"/>
        </w:rPr>
      </w:pPr>
      <w:r>
        <w:rPr>
          <w:rFonts w:hint="eastAsia" w:ascii="黑体" w:hAnsi="黑体" w:eastAsia="黑体" w:cs="黑体"/>
          <w:sz w:val="32"/>
          <w:szCs w:val="32"/>
          <w:lang w:eastAsia="zh-CN"/>
        </w:rPr>
        <w:t>二、评价工作相关要求</w:t>
      </w:r>
    </w:p>
    <w:p>
      <w:pPr>
        <w:kinsoku/>
        <w:topLinePunct/>
        <w:spacing w:line="580" w:lineRule="exact"/>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各省、自治区、直辖市及计划单列市科技型中小企业工作主管部门（以下统称省级主管部门）要认真做好科技型中小企业评价工作：</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（一）对参评企业材料进行全面审核。</w:t>
      </w:r>
      <w:r>
        <w:rPr>
          <w:rFonts w:hint="eastAsia" w:ascii="仿宋_GB2312" w:hAnsi="仿宋_GB2312" w:eastAsia="仿宋_GB2312" w:cs="仿宋_GB2312"/>
          <w:sz w:val="32"/>
          <w:szCs w:val="32"/>
          <w:lang w:eastAsia="zh-CN"/>
        </w:rPr>
        <w:t>各省级主管部门应组织评价机构对所有企业填报资料和佐证材料进行审核。信息完整且符合条件的，由省级主管部门在评价系统公示</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个工作日。公示无异议的企业，纳入全国科技型中小企业信息库并在评价系统公告。</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（二）对部分企业进行实地核查。</w:t>
      </w:r>
      <w:r>
        <w:rPr>
          <w:rFonts w:hint="eastAsia" w:ascii="仿宋_GB2312" w:hAnsi="仿宋_GB2312" w:eastAsia="仿宋_GB2312" w:cs="仿宋_GB2312"/>
          <w:sz w:val="32"/>
          <w:szCs w:val="32"/>
          <w:lang w:eastAsia="zh-CN"/>
        </w:rPr>
        <w:t>本年度参评企业如符合以下情况之一，各省级主管部门应在公示前组织评价机构开展实地核查，并做好核查材料留存：</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职工总数为</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人及以下的企业。</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科技人员占比</w:t>
      </w:r>
      <w:r>
        <w:rPr>
          <w:rFonts w:hint="eastAsia" w:ascii="仿宋_GB2312" w:hAnsi="仿宋_GB2312" w:eastAsia="仿宋_GB2312" w:cs="仿宋_GB2312"/>
          <w:sz w:val="32"/>
          <w:szCs w:val="32"/>
          <w:lang w:val="en-US"/>
        </w:rPr>
        <w:t>90%</w:t>
      </w:r>
      <w:r>
        <w:rPr>
          <w:rFonts w:hint="eastAsia" w:ascii="仿宋_GB2312" w:hAnsi="仿宋_GB2312" w:eastAsia="仿宋_GB2312" w:cs="仿宋_GB2312"/>
          <w:sz w:val="32"/>
          <w:szCs w:val="32"/>
          <w:lang w:eastAsia="zh-CN"/>
        </w:rPr>
        <w:t>及以上，且职工总数</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lang w:eastAsia="zh-CN"/>
        </w:rPr>
        <w:t>人及以上的企业。</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过去三年曾有严重违法失信、撤销入库编号等情况的企业。</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首次参评的企业。</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（三）组织开展入库企业集中抽查工作。</w:t>
      </w:r>
      <w:r>
        <w:rPr>
          <w:rFonts w:hint="eastAsia" w:ascii="仿宋_GB2312" w:hAnsi="仿宋_GB2312" w:eastAsia="仿宋_GB2312" w:cs="仿宋_GB2312"/>
          <w:sz w:val="32"/>
          <w:szCs w:val="32"/>
          <w:lang w:eastAsia="zh-CN"/>
        </w:rPr>
        <w:t>各省级主管部门组织评价机构开展年底集中随机抽查，按照不低于</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的比例对全年入库科技型中小企业进行申请材料核验，对不符合条件的企业予以撤销编号。</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（四）强化评价工作督办机制。</w:t>
      </w:r>
      <w:r>
        <w:rPr>
          <w:rFonts w:hint="eastAsia" w:ascii="仿宋_GB2312" w:hAnsi="仿宋_GB2312" w:eastAsia="仿宋_GB2312" w:cs="仿宋_GB2312"/>
          <w:sz w:val="32"/>
          <w:szCs w:val="32"/>
          <w:lang w:eastAsia="zh-CN"/>
        </w:rPr>
        <w:t>各省级主管部门应主动向社会公开监督方式，自觉接受社会监督，及时核实处理拟入库企业公示异议、投诉和举报信息。针对评价工作中风险异议企业数量较多的地区，我部将组织有关机构开展实地监督指导，改进提高评价工作质量。</w:t>
      </w:r>
    </w:p>
    <w:p>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（五）做好年度评价工作总结。</w:t>
      </w:r>
      <w:r>
        <w:rPr>
          <w:rFonts w:hint="eastAsia" w:ascii="仿宋_GB2312" w:hAnsi="仿宋_GB2312" w:eastAsia="仿宋_GB2312" w:cs="仿宋_GB2312"/>
          <w:sz w:val="32"/>
          <w:szCs w:val="32"/>
          <w:lang w:eastAsia="zh-CN"/>
        </w:rPr>
        <w:t>各省级主管部门应及时总结本年度科技型中小企业评价工作，包括评价工作开展情况、实地核查工作情况、享受研发费用加计扣除政策情况、地方出台相关政策及落实情况、主要经验和做法、存在问题和下一步工作建议等内容。</w:t>
      </w:r>
    </w:p>
    <w:p>
      <w:pPr>
        <w:kinsoku/>
        <w:topLinePunct/>
        <w:spacing w:line="580" w:lineRule="exact"/>
        <w:ind w:firstLine="640" w:firstLineChars="200"/>
        <w:jc w:val="both"/>
        <w:rPr>
          <w:rFonts w:hint="eastAsia" w:ascii="黑体" w:hAnsi="黑体" w:eastAsia="黑体" w:cs="黑体"/>
          <w:sz w:val="32"/>
          <w:szCs w:val="32"/>
          <w:lang w:val="en-US"/>
        </w:rPr>
      </w:pPr>
      <w:r>
        <w:rPr>
          <w:rFonts w:hint="eastAsia" w:ascii="黑体" w:hAnsi="黑体" w:eastAsia="黑体" w:cs="黑体"/>
          <w:sz w:val="32"/>
          <w:szCs w:val="32"/>
          <w:lang w:eastAsia="zh-CN"/>
        </w:rPr>
        <w:t>三、时间安排</w:t>
      </w:r>
    </w:p>
    <w:p>
      <w:pPr>
        <w:kinsoku/>
        <w:topLinePunct/>
        <w:spacing w:line="580" w:lineRule="exact"/>
        <w:ind w:firstLine="640" w:firstLineChars="200"/>
        <w:jc w:val="both"/>
        <w:rPr>
          <w:rFonts w:hint="eastAsia" w:ascii="Times New Roman" w:hAnsi="Times New Roman" w:eastAsia="仿宋_GB2312"/>
          <w:sz w:val="32"/>
          <w:szCs w:val="32"/>
        </w:rPr>
      </w:pPr>
      <w:r>
        <w:rPr>
          <w:rFonts w:hint="eastAsia" w:ascii="仿宋_GB2312" w:hAnsi="仿宋_GB2312" w:eastAsia="仿宋_GB2312" w:cs="仿宋_GB2312"/>
          <w:sz w:val="32"/>
          <w:szCs w:val="32"/>
          <w:lang w:val="en-US"/>
        </w:rPr>
        <w:t>2025</w:t>
      </w:r>
      <w:r>
        <w:rPr>
          <w:rFonts w:hint="eastAsia" w:ascii="仿宋_GB2312" w:hAnsi="仿宋_GB2312" w:eastAsia="仿宋_GB2312" w:cs="仿宋_GB2312"/>
          <w:sz w:val="32"/>
          <w:szCs w:val="32"/>
          <w:lang w:eastAsia="zh-CN"/>
        </w:rPr>
        <w:t>年度，评价系统将于</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日开放，期间企业可填报信息。各省级主管部门应于</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31</w:t>
      </w:r>
      <w:r>
        <w:rPr>
          <w:rFonts w:hint="eastAsia" w:ascii="仿宋_GB2312" w:hAnsi="仿宋_GB2312" w:eastAsia="仿宋_GB2312" w:cs="仿宋_GB2312"/>
          <w:sz w:val="32"/>
          <w:szCs w:val="32"/>
          <w:lang w:eastAsia="zh-CN"/>
        </w:rPr>
        <w:t>日前完成所有批次拟入库企业公示，</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15</w:t>
      </w:r>
      <w:r>
        <w:rPr>
          <w:rFonts w:hint="eastAsia" w:ascii="仿宋_GB2312" w:hAnsi="仿宋_GB2312" w:eastAsia="仿宋_GB2312" w:cs="仿宋_GB2312"/>
          <w:sz w:val="32"/>
          <w:szCs w:val="32"/>
          <w:lang w:eastAsia="zh-CN"/>
        </w:rPr>
        <w:t>日前完成入库企业集中随机抽查和相关处理工作，</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31</w:t>
      </w:r>
      <w:r>
        <w:rPr>
          <w:rFonts w:hint="eastAsia" w:ascii="仿宋_GB2312" w:hAnsi="仿宋_GB2312" w:eastAsia="仿宋_GB2312" w:cs="仿宋_GB2312"/>
          <w:sz w:val="32"/>
          <w:szCs w:val="32"/>
          <w:lang w:eastAsia="zh-CN"/>
        </w:rPr>
        <w:t>日前完成并提交年度评价工作总结。</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00"/>
    <w:family w:val="swiss"/>
    <w:pitch w:val="default"/>
    <w:sig w:usb0="00000000" w:usb1="00000000" w:usb2="00000016" w:usb3="00000000" w:csb0="0004001F" w:csb1="00000000"/>
  </w:font>
  <w:font w:name="Arial">
    <w:altName w:val="Times New Roman"/>
    <w:panose1 w:val="020B0604020202020204"/>
    <w:charset w:val="00"/>
    <w:family w:val="swiss"/>
    <w:pitch w:val="default"/>
    <w:sig w:usb0="E0002AFF" w:usb1="C0007843" w:usb2="00000009" w:usb3="00000000" w:csb0="400001FF" w:csb1="FFFF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7774E"/>
    <w:rsid w:val="3EAB0813"/>
    <w:rsid w:val="7FBF0DFF"/>
    <w:rsid w:val="95721189"/>
    <w:rsid w:val="BD9F4211"/>
    <w:rsid w:val="C7C7C69A"/>
    <w:rsid w:val="EF7BDE18"/>
    <w:rsid w:val="EFFD198B"/>
    <w:rsid w:val="F6B6A442"/>
    <w:rsid w:val="F9E77AC0"/>
    <w:rsid w:val="FEBD17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2025-07-01T15:51:39Z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