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政策参与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渠道企业</w:t>
      </w:r>
      <w:r>
        <w:rPr>
          <w:rFonts w:hint="eastAsia" w:ascii="方正小标宋简体" w:eastAsia="方正小标宋简体"/>
          <w:color w:val="auto"/>
          <w:sz w:val="44"/>
          <w:szCs w:val="44"/>
        </w:rPr>
        <w:t>申请表</w:t>
      </w:r>
    </w:p>
    <w:bookmarkEnd w:id="0"/>
    <w:tbl>
      <w:tblPr>
        <w:tblStyle w:val="4"/>
        <w:tblpPr w:leftFromText="180" w:rightFromText="180" w:vertAnchor="text" w:horzAnchor="page" w:tblpX="1375" w:tblpY="543"/>
        <w:tblOverlap w:val="never"/>
        <w:tblW w:w="102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268"/>
        <w:gridCol w:w="3478"/>
        <w:gridCol w:w="2230"/>
        <w:gridCol w:w="2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0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                                                      填报日期：202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申报主体类别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0" w:firstLineChars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电商平台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购物中心、家居家电家装专业卖场等线下平台企业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品牌生产企业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78" w:leftChars="85" w:hanging="240" w:hangingChars="1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收单机构或支付机构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240" w:firstLineChars="100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开展自营业务的百货商场、超市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企业（总部）地址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注册地所在区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（包括主要销售的商品品类）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（包括企业基本情况及主要销售商品品牌、销售网络布局等情况）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线上平台名称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9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年企业销售额</w:t>
            </w:r>
          </w:p>
        </w:tc>
        <w:tc>
          <w:tcPr>
            <w:tcW w:w="7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工作业务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企业银行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开户行名称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企业银行帐号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adjustRightInd w:val="0"/>
        <w:snapToGrid w:val="0"/>
        <w:jc w:val="center"/>
        <w:rPr>
          <w:rFonts w:ascii="仿宋_GB2312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ind w:firstLine="628" w:firstLineChars="200"/>
      <w:jc w:val="both"/>
    </w:pPr>
    <w:rPr>
      <w:rFonts w:ascii="宋体" w:hAnsi="宋体" w:eastAsia="仿宋_GB2312" w:cs="宋体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2025-06-05T09:39:53Z</dcterms:created>
  <dc:creator>Administrator</dc:creator>
  <cp:lastModifiedBy>邱钰雯</cp:lastModifiedBy>
  <dcterms:modified xsi:type="dcterms:W3CDTF">2025-06-05T09:40:07Z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5545DDA16D9C426091118FF295BFB09F</vt:lpwstr>
  </property>
</Properties>
</file>