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0"/>
        <w:rPr>
          <w:rFonts w:hint="eastAsia" w:ascii="Times New Roman"/>
          <w:sz w:val="20"/>
          <w:highlight w:val="none"/>
        </w:rPr>
      </w:pPr>
    </w:p>
    <w:p>
      <w:pPr>
        <w:pStyle w:val="6"/>
        <w:ind w:left="0"/>
        <w:rPr>
          <w:rFonts w:ascii="Times New Roman"/>
          <w:sz w:val="20"/>
          <w:highlight w:val="none"/>
        </w:rPr>
      </w:pPr>
    </w:p>
    <w:p>
      <w:pPr>
        <w:pStyle w:val="6"/>
        <w:ind w:left="0"/>
        <w:rPr>
          <w:rFonts w:ascii="Times New Roman"/>
          <w:sz w:val="20"/>
          <w:highlight w:val="none"/>
        </w:rPr>
      </w:pPr>
    </w:p>
    <w:p>
      <w:pPr>
        <w:pStyle w:val="6"/>
        <w:ind w:left="0"/>
        <w:rPr>
          <w:rFonts w:ascii="Times New Roman"/>
          <w:sz w:val="20"/>
          <w:highlight w:val="none"/>
        </w:rPr>
      </w:pPr>
    </w:p>
    <w:p>
      <w:pPr>
        <w:pStyle w:val="6"/>
        <w:ind w:left="0"/>
        <w:rPr>
          <w:rFonts w:ascii="Times New Roman"/>
          <w:sz w:val="20"/>
          <w:highlight w:val="none"/>
        </w:rPr>
      </w:pPr>
    </w:p>
    <w:p>
      <w:pPr>
        <w:pStyle w:val="6"/>
        <w:ind w:left="0"/>
        <w:rPr>
          <w:rFonts w:ascii="Times New Roman"/>
          <w:sz w:val="20"/>
          <w:highlight w:val="none"/>
        </w:rPr>
      </w:pPr>
    </w:p>
    <w:p>
      <w:pPr>
        <w:pStyle w:val="6"/>
        <w:spacing w:before="8"/>
        <w:ind w:left="0"/>
        <w:rPr>
          <w:rFonts w:ascii="Times New Roman"/>
          <w:sz w:val="16"/>
          <w:highlight w:val="none"/>
        </w:rPr>
      </w:pPr>
    </w:p>
    <w:p>
      <w:pPr>
        <w:keepNext w:val="0"/>
        <w:keepLines w:val="0"/>
        <w:pageBreakBefore w:val="0"/>
        <w:widowControl w:val="0"/>
        <w:kinsoku/>
        <w:wordWrap/>
        <w:overflowPunct/>
        <w:topLinePunct w:val="0"/>
        <w:autoSpaceDE w:val="0"/>
        <w:autoSpaceDN w:val="0"/>
        <w:bidi w:val="0"/>
        <w:adjustRightInd/>
        <w:snapToGrid/>
        <w:spacing w:before="38" w:line="267" w:lineRule="auto"/>
        <w:ind w:right="0"/>
        <w:jc w:val="center"/>
        <w:textAlignment w:val="auto"/>
        <w:rPr>
          <w:rFonts w:ascii="方正小标宋简体" w:eastAsia="方正小标宋简体"/>
          <w:sz w:val="44"/>
          <w:highlight w:val="none"/>
        </w:rPr>
      </w:pPr>
      <w:r>
        <w:rPr>
          <w:rFonts w:hint="eastAsia" w:ascii="方正公文小标宋" w:hAnsi="方正公文小标宋" w:eastAsia="方正公文小标宋" w:cs="方正公文小标宋"/>
          <w:sz w:val="44"/>
          <w:highlight w:val="none"/>
        </w:rPr>
        <w:t>《桥梁结构监测数据接</w:t>
      </w:r>
      <w:r>
        <w:rPr>
          <w:rFonts w:hint="eastAsia" w:ascii="方正公文小标宋" w:hAnsi="方正公文小标宋" w:eastAsia="方正公文小标宋" w:cs="方正公文小标宋"/>
          <w:sz w:val="44"/>
          <w:highlight w:val="none"/>
          <w:lang w:val="en-US" w:eastAsia="zh-CN"/>
        </w:rPr>
        <w:t>口</w:t>
      </w:r>
      <w:r>
        <w:rPr>
          <w:rFonts w:hint="eastAsia" w:ascii="方正公文小标宋" w:hAnsi="方正公文小标宋" w:eastAsia="方正公文小标宋" w:cs="方正公文小标宋"/>
          <w:sz w:val="44"/>
          <w:highlight w:val="none"/>
        </w:rPr>
        <w:t>技术</w:t>
      </w:r>
      <w:r>
        <w:rPr>
          <w:rFonts w:hint="eastAsia" w:ascii="方正公文小标宋" w:hAnsi="方正公文小标宋" w:eastAsia="方正公文小标宋" w:cs="方正公文小标宋"/>
          <w:sz w:val="44"/>
          <w:highlight w:val="none"/>
          <w:lang w:val="en-US" w:eastAsia="zh-CN"/>
        </w:rPr>
        <w:t>规范</w:t>
      </w:r>
      <w:r>
        <w:rPr>
          <w:rFonts w:hint="eastAsia" w:ascii="方正公文小标宋" w:hAnsi="方正公文小标宋" w:eastAsia="方正公文小标宋" w:cs="方正公文小标宋"/>
          <w:sz w:val="44"/>
          <w:highlight w:val="none"/>
        </w:rPr>
        <w:t>》</w:t>
      </w:r>
    </w:p>
    <w:p>
      <w:pPr>
        <w:spacing w:before="38" w:line="266" w:lineRule="auto"/>
        <w:ind w:left="3728" w:right="1614" w:hanging="2201"/>
        <w:jc w:val="center"/>
        <w:rPr>
          <w:rFonts w:hint="eastAsia" w:ascii="方正小标宋简体" w:eastAsia="方正小标宋简体"/>
          <w:sz w:val="44"/>
          <w:highlight w:val="none"/>
          <w:lang w:eastAsia="zh-CN"/>
        </w:rPr>
      </w:pPr>
      <w:r>
        <w:rPr>
          <w:rFonts w:hint="eastAsia" w:ascii="方正小标宋简体" w:eastAsia="方正小标宋简体"/>
          <w:sz w:val="44"/>
          <w:highlight w:val="none"/>
        </w:rPr>
        <w:t xml:space="preserve">编 制 </w:t>
      </w:r>
      <w:r>
        <w:rPr>
          <w:rFonts w:hint="eastAsia" w:ascii="方正小标宋简体" w:eastAsia="方正小标宋简体"/>
          <w:sz w:val="44"/>
          <w:highlight w:val="none"/>
          <w:lang w:val="en-US" w:eastAsia="zh-CN"/>
        </w:rPr>
        <w:t>说 明</w:t>
      </w:r>
    </w:p>
    <w:p>
      <w:pPr>
        <w:pStyle w:val="6"/>
        <w:ind w:left="0"/>
        <w:rPr>
          <w:rFonts w:ascii="黑体"/>
          <w:sz w:val="44"/>
          <w:highlight w:val="none"/>
        </w:rPr>
      </w:pPr>
    </w:p>
    <w:p>
      <w:pPr>
        <w:pStyle w:val="6"/>
        <w:ind w:left="0"/>
        <w:rPr>
          <w:rFonts w:ascii="黑体"/>
          <w:sz w:val="44"/>
          <w:highlight w:val="none"/>
        </w:rPr>
      </w:pPr>
    </w:p>
    <w:p>
      <w:pPr>
        <w:pStyle w:val="6"/>
        <w:ind w:left="0"/>
        <w:rPr>
          <w:rFonts w:ascii="黑体"/>
          <w:sz w:val="44"/>
          <w:highlight w:val="none"/>
        </w:rPr>
      </w:pPr>
    </w:p>
    <w:p>
      <w:pPr>
        <w:pStyle w:val="6"/>
        <w:rPr>
          <w:rFonts w:ascii="黑体"/>
          <w:sz w:val="44"/>
          <w:highlight w:val="none"/>
        </w:rPr>
      </w:pPr>
    </w:p>
    <w:p>
      <w:pPr>
        <w:pStyle w:val="6"/>
        <w:rPr>
          <w:rFonts w:ascii="黑体"/>
          <w:sz w:val="44"/>
          <w:highlight w:val="none"/>
        </w:rPr>
      </w:pPr>
    </w:p>
    <w:p>
      <w:pPr>
        <w:pStyle w:val="6"/>
        <w:rPr>
          <w:rFonts w:ascii="黑体"/>
          <w:sz w:val="44"/>
          <w:highlight w:val="none"/>
        </w:rPr>
      </w:pPr>
    </w:p>
    <w:p>
      <w:pPr>
        <w:pStyle w:val="6"/>
        <w:rPr>
          <w:rFonts w:ascii="黑体"/>
          <w:sz w:val="44"/>
          <w:highlight w:val="none"/>
        </w:rPr>
      </w:pPr>
    </w:p>
    <w:p>
      <w:pPr>
        <w:pStyle w:val="6"/>
        <w:spacing w:before="120" w:beforeLines="50"/>
        <w:rPr>
          <w:rFonts w:ascii="黑体"/>
          <w:sz w:val="44"/>
          <w:highlight w:val="none"/>
        </w:rPr>
      </w:pPr>
    </w:p>
    <w:p>
      <w:pPr>
        <w:pStyle w:val="6"/>
        <w:spacing w:before="120" w:beforeLines="50"/>
        <w:rPr>
          <w:rFonts w:ascii="黑体"/>
          <w:sz w:val="44"/>
          <w:highlight w:val="none"/>
        </w:rPr>
      </w:pPr>
    </w:p>
    <w:p>
      <w:pPr>
        <w:tabs>
          <w:tab w:val="left" w:pos="3724"/>
          <w:tab w:val="left" w:pos="3884"/>
          <w:tab w:val="left" w:pos="4527"/>
          <w:tab w:val="left" w:pos="4849"/>
          <w:tab w:val="left" w:pos="8706"/>
        </w:tabs>
        <w:spacing w:line="364" w:lineRule="auto"/>
        <w:ind w:left="349" w:right="589"/>
        <w:rPr>
          <w:rFonts w:ascii="仿宋" w:eastAsia="仿宋"/>
          <w:b/>
          <w:sz w:val="32"/>
          <w:szCs w:val="32"/>
          <w:highlight w:val="none"/>
          <w:u w:val="single"/>
        </w:rPr>
      </w:pPr>
      <w:r>
        <w:rPr>
          <w:rFonts w:hint="eastAsia" w:ascii="仿宋" w:eastAsia="仿宋"/>
          <w:b/>
          <w:sz w:val="32"/>
          <w:szCs w:val="32"/>
          <w:highlight w:val="none"/>
        </w:rPr>
        <w:t>标 准 名 称：</w:t>
      </w:r>
      <w:r>
        <w:rPr>
          <w:rFonts w:hint="eastAsia" w:ascii="仿宋" w:eastAsia="仿宋"/>
          <w:b/>
          <w:sz w:val="32"/>
          <w:szCs w:val="32"/>
          <w:highlight w:val="none"/>
          <w:lang w:val="en-US" w:eastAsia="zh-CN"/>
        </w:rPr>
        <w:t xml:space="preserve"> </w:t>
      </w:r>
      <w:r>
        <w:rPr>
          <w:rFonts w:hint="eastAsia" w:ascii="仿宋" w:eastAsia="仿宋"/>
          <w:b/>
          <w:sz w:val="32"/>
          <w:szCs w:val="32"/>
          <w:highlight w:val="none"/>
          <w:u w:val="single"/>
          <w:lang w:val="en-US" w:eastAsia="zh-CN"/>
        </w:rPr>
        <w:t xml:space="preserve">     </w:t>
      </w:r>
      <w:r>
        <w:rPr>
          <w:rFonts w:hint="eastAsia" w:ascii="仿宋" w:eastAsia="仿宋"/>
          <w:b/>
          <w:sz w:val="32"/>
          <w:szCs w:val="32"/>
          <w:highlight w:val="none"/>
          <w:u w:val="single"/>
          <w:lang w:val="en-US"/>
        </w:rPr>
        <w:t>桥梁结构监测数据接口技术范</w:t>
      </w:r>
      <w:r>
        <w:rPr>
          <w:rFonts w:hint="eastAsia" w:ascii="仿宋" w:eastAsia="仿宋"/>
          <w:b/>
          <w:sz w:val="32"/>
          <w:szCs w:val="32"/>
          <w:highlight w:val="none"/>
          <w:u w:val="single"/>
        </w:rPr>
        <w:tab/>
      </w:r>
      <w:r>
        <w:rPr>
          <w:rFonts w:hint="eastAsia" w:ascii="仿宋" w:eastAsia="仿宋"/>
          <w:b/>
          <w:sz w:val="32"/>
          <w:szCs w:val="32"/>
          <w:highlight w:val="none"/>
          <w:u w:val="single"/>
        </w:rPr>
        <w:t xml:space="preserve">                               </w:t>
      </w:r>
      <w:r>
        <w:rPr>
          <w:rFonts w:hint="eastAsia" w:ascii="仿宋" w:eastAsia="仿宋"/>
          <w:b/>
          <w:sz w:val="32"/>
          <w:szCs w:val="32"/>
          <w:highlight w:val="none"/>
        </w:rPr>
        <w:t>项 目 编 号：</w:t>
      </w:r>
      <w:r>
        <w:rPr>
          <w:rFonts w:hint="eastAsia" w:ascii="仿宋" w:eastAsia="仿宋"/>
          <w:b/>
          <w:sz w:val="32"/>
          <w:szCs w:val="32"/>
          <w:highlight w:val="none"/>
          <w:u w:val="single"/>
        </w:rPr>
        <w:tab/>
      </w:r>
      <w:r>
        <w:rPr>
          <w:rFonts w:hint="eastAsia" w:ascii="仿宋" w:eastAsia="仿宋"/>
          <w:b/>
          <w:sz w:val="32"/>
          <w:szCs w:val="32"/>
          <w:highlight w:val="none"/>
          <w:u w:val="single"/>
        </w:rPr>
        <w:tab/>
      </w:r>
      <w:r>
        <w:rPr>
          <w:rFonts w:hint="eastAsia" w:ascii="仿宋" w:eastAsia="仿宋"/>
          <w:b/>
          <w:sz w:val="32"/>
          <w:szCs w:val="32"/>
          <w:highlight w:val="none"/>
          <w:u w:val="single"/>
        </w:rPr>
        <w:t xml:space="preserve">     </w:t>
      </w:r>
      <w:r>
        <w:rPr>
          <w:rFonts w:hint="eastAsia" w:ascii="仿宋" w:eastAsia="仿宋"/>
          <w:b/>
          <w:sz w:val="32"/>
          <w:szCs w:val="32"/>
          <w:highlight w:val="none"/>
          <w:u w:val="single"/>
        </w:rPr>
        <w:tab/>
      </w:r>
      <w:r>
        <w:rPr>
          <w:rFonts w:hint="eastAsia" w:ascii="仿宋" w:eastAsia="仿宋"/>
          <w:b/>
          <w:sz w:val="32"/>
          <w:szCs w:val="32"/>
          <w:highlight w:val="none"/>
          <w:u w:val="single"/>
        </w:rPr>
        <w:t xml:space="preserve"> </w:t>
      </w:r>
      <w:r>
        <w:rPr>
          <w:rFonts w:hint="eastAsia" w:ascii="仿宋" w:eastAsia="仿宋"/>
          <w:b/>
          <w:sz w:val="32"/>
          <w:szCs w:val="32"/>
          <w:highlight w:val="none"/>
          <w:u w:val="single"/>
        </w:rPr>
        <w:tab/>
      </w:r>
    </w:p>
    <w:p>
      <w:pPr>
        <w:tabs>
          <w:tab w:val="left" w:pos="3724"/>
          <w:tab w:val="left" w:pos="3884"/>
          <w:tab w:val="left" w:pos="4527"/>
          <w:tab w:val="left" w:pos="4849"/>
          <w:tab w:val="left" w:pos="8706"/>
        </w:tabs>
        <w:spacing w:line="364" w:lineRule="auto"/>
        <w:ind w:left="349" w:right="589"/>
        <w:jc w:val="both"/>
        <w:rPr>
          <w:rFonts w:ascii="仿宋" w:eastAsia="仿宋"/>
          <w:b/>
          <w:spacing w:val="-26"/>
          <w:sz w:val="32"/>
          <w:szCs w:val="32"/>
          <w:highlight w:val="none"/>
          <w:u w:val="single"/>
        </w:rPr>
      </w:pPr>
      <w:r>
        <w:rPr>
          <w:rFonts w:hint="eastAsia" w:ascii="仿宋" w:eastAsia="仿宋"/>
          <w:b/>
          <w:spacing w:val="-26"/>
          <w:sz w:val="32"/>
          <w:szCs w:val="32"/>
          <w:highlight w:val="none"/>
        </w:rPr>
        <w:t>制、修订类型：</w:t>
      </w:r>
      <w:r>
        <w:rPr>
          <w:rFonts w:hint="eastAsia" w:ascii="仿宋" w:eastAsia="仿宋"/>
          <w:b/>
          <w:spacing w:val="-26"/>
          <w:sz w:val="32"/>
          <w:szCs w:val="32"/>
          <w:highlight w:val="none"/>
          <w:u w:val="single"/>
        </w:rPr>
        <w:tab/>
      </w:r>
      <w:r>
        <w:rPr>
          <w:rFonts w:hint="eastAsia" w:ascii="仿宋" w:eastAsia="仿宋"/>
          <w:b/>
          <w:spacing w:val="-26"/>
          <w:sz w:val="32"/>
          <w:szCs w:val="32"/>
          <w:highlight w:val="none"/>
          <w:u w:val="single"/>
        </w:rPr>
        <w:t xml:space="preserve">     </w:t>
      </w:r>
      <w:r>
        <w:rPr>
          <w:rFonts w:hint="eastAsia" w:ascii="仿宋" w:eastAsia="仿宋"/>
          <w:b/>
          <w:spacing w:val="-26"/>
          <w:sz w:val="32"/>
          <w:szCs w:val="32"/>
          <w:highlight w:val="none"/>
          <w:u w:val="single"/>
          <w:lang w:val="en-US" w:eastAsia="zh-CN"/>
        </w:rPr>
        <w:t xml:space="preserve">  </w:t>
      </w:r>
      <w:r>
        <w:rPr>
          <w:rFonts w:hint="eastAsia" w:ascii="仿宋" w:eastAsia="仿宋"/>
          <w:b/>
          <w:spacing w:val="-26"/>
          <w:sz w:val="32"/>
          <w:szCs w:val="32"/>
          <w:highlight w:val="none"/>
          <w:u w:val="single"/>
        </w:rPr>
        <w:t xml:space="preserve"> </w:t>
      </w:r>
      <w:r>
        <w:rPr>
          <w:rFonts w:hint="eastAsia" w:ascii="仿宋" w:eastAsia="仿宋"/>
          <w:b/>
          <w:spacing w:val="-26"/>
          <w:sz w:val="32"/>
          <w:szCs w:val="32"/>
          <w:highlight w:val="none"/>
          <w:u w:val="single"/>
          <w:lang w:val="en-US"/>
        </w:rPr>
        <w:t>制订</w:t>
      </w:r>
      <w:r>
        <w:rPr>
          <w:rFonts w:hint="eastAsia" w:ascii="仿宋" w:eastAsia="仿宋"/>
          <w:b/>
          <w:spacing w:val="-26"/>
          <w:sz w:val="32"/>
          <w:szCs w:val="32"/>
          <w:highlight w:val="none"/>
          <w:u w:val="single"/>
        </w:rPr>
        <w:t xml:space="preserve">                </w:t>
      </w:r>
      <w:r>
        <w:rPr>
          <w:rFonts w:hint="eastAsia" w:ascii="仿宋" w:eastAsia="仿宋"/>
          <w:b/>
          <w:spacing w:val="-26"/>
          <w:sz w:val="32"/>
          <w:szCs w:val="32"/>
          <w:highlight w:val="none"/>
          <w:u w:val="single"/>
          <w:lang w:val="en-US" w:eastAsia="zh-CN"/>
        </w:rPr>
        <w:t xml:space="preserve"> </w:t>
      </w:r>
      <w:r>
        <w:rPr>
          <w:rFonts w:hint="eastAsia" w:ascii="仿宋" w:eastAsia="仿宋"/>
          <w:b/>
          <w:sz w:val="32"/>
          <w:szCs w:val="32"/>
          <w:highlight w:val="none"/>
          <w:u w:val="single"/>
        </w:rPr>
        <w:t xml:space="preserve">    </w:t>
      </w:r>
      <w:r>
        <w:rPr>
          <w:rFonts w:ascii="仿宋" w:eastAsia="仿宋"/>
          <w:b/>
          <w:sz w:val="32"/>
          <w:szCs w:val="32"/>
          <w:highlight w:val="none"/>
          <w:u w:val="single"/>
        </w:rPr>
        <w:t xml:space="preserve">  </w:t>
      </w:r>
      <w:r>
        <w:rPr>
          <w:rFonts w:hint="eastAsia" w:ascii="仿宋" w:eastAsia="仿宋"/>
          <w:b/>
          <w:sz w:val="32"/>
          <w:szCs w:val="32"/>
          <w:highlight w:val="none"/>
          <w:u w:val="single"/>
        </w:rPr>
        <w:t xml:space="preserve"> </w:t>
      </w:r>
    </w:p>
    <w:p>
      <w:pPr>
        <w:tabs>
          <w:tab w:val="left" w:pos="3724"/>
          <w:tab w:val="left" w:pos="3884"/>
          <w:tab w:val="left" w:pos="4527"/>
          <w:tab w:val="left" w:pos="4849"/>
          <w:tab w:val="left" w:pos="8706"/>
        </w:tabs>
        <w:spacing w:line="364" w:lineRule="auto"/>
        <w:ind w:left="349" w:right="589"/>
        <w:jc w:val="both"/>
        <w:rPr>
          <w:rFonts w:ascii="仿宋" w:eastAsia="仿宋"/>
          <w:b/>
          <w:spacing w:val="-26"/>
          <w:sz w:val="32"/>
          <w:szCs w:val="32"/>
          <w:highlight w:val="none"/>
          <w:u w:val="single"/>
        </w:rPr>
      </w:pPr>
      <w:r>
        <w:rPr>
          <w:rFonts w:hint="eastAsia" w:ascii="仿宋" w:eastAsia="仿宋"/>
          <w:b/>
          <w:sz w:val="32"/>
          <w:szCs w:val="32"/>
          <w:highlight w:val="none"/>
        </w:rPr>
        <w:t>起 草 单 位：</w:t>
      </w:r>
      <w:r>
        <w:rPr>
          <w:rFonts w:hint="eastAsia" w:ascii="仿宋" w:eastAsia="仿宋"/>
          <w:b/>
          <w:sz w:val="32"/>
          <w:szCs w:val="32"/>
          <w:highlight w:val="none"/>
          <w:u w:val="single"/>
        </w:rPr>
        <w:t xml:space="preserve">  甘肃省交通规划勘察设计院股份有限公司       </w:t>
      </w:r>
      <w:r>
        <w:rPr>
          <w:rFonts w:hint="eastAsia" w:ascii="仿宋" w:eastAsia="仿宋"/>
          <w:b/>
          <w:spacing w:val="-26"/>
          <w:sz w:val="32"/>
          <w:szCs w:val="32"/>
          <w:highlight w:val="none"/>
          <w:u w:val="single"/>
        </w:rPr>
        <w:t xml:space="preserve">                   </w:t>
      </w:r>
    </w:p>
    <w:p>
      <w:pPr>
        <w:tabs>
          <w:tab w:val="left" w:pos="3724"/>
          <w:tab w:val="left" w:pos="3884"/>
          <w:tab w:val="left" w:pos="4527"/>
          <w:tab w:val="left" w:pos="4849"/>
          <w:tab w:val="left" w:pos="8706"/>
        </w:tabs>
        <w:spacing w:line="364" w:lineRule="auto"/>
        <w:ind w:left="349" w:right="589"/>
        <w:jc w:val="both"/>
        <w:rPr>
          <w:rFonts w:ascii="仿宋" w:eastAsia="仿宋"/>
          <w:b/>
          <w:spacing w:val="-26"/>
          <w:sz w:val="32"/>
          <w:szCs w:val="32"/>
          <w:highlight w:val="none"/>
          <w:u w:val="single"/>
        </w:rPr>
      </w:pPr>
      <w:r>
        <w:rPr>
          <w:rFonts w:hint="eastAsia" w:ascii="仿宋" w:eastAsia="仿宋"/>
          <w:b/>
          <w:sz w:val="32"/>
          <w:szCs w:val="32"/>
          <w:highlight w:val="none"/>
        </w:rPr>
        <w:t>归 口 单 位：</w:t>
      </w:r>
      <w:r>
        <w:rPr>
          <w:rFonts w:hint="eastAsia" w:ascii="仿宋" w:eastAsia="仿宋"/>
          <w:b/>
          <w:sz w:val="32"/>
          <w:szCs w:val="32"/>
          <w:highlight w:val="none"/>
          <w:u w:val="single"/>
        </w:rPr>
        <w:t xml:space="preserve">  </w:t>
      </w:r>
      <w:r>
        <w:rPr>
          <w:rFonts w:ascii="仿宋" w:eastAsia="仿宋"/>
          <w:b/>
          <w:sz w:val="32"/>
          <w:szCs w:val="32"/>
          <w:highlight w:val="none"/>
          <w:u w:val="single"/>
        </w:rPr>
        <w:t xml:space="preserve">  </w:t>
      </w:r>
      <w:r>
        <w:rPr>
          <w:rFonts w:hint="eastAsia" w:ascii="仿宋" w:eastAsia="仿宋"/>
          <w:b/>
          <w:sz w:val="32"/>
          <w:szCs w:val="32"/>
          <w:highlight w:val="none"/>
          <w:u w:val="single"/>
        </w:rPr>
        <w:t>甘肃省交通运输标准化技术委员会</w:t>
      </w:r>
      <w:r>
        <w:rPr>
          <w:rFonts w:hint="eastAsia" w:ascii="仿宋" w:eastAsia="仿宋"/>
          <w:b/>
          <w:spacing w:val="-26"/>
          <w:sz w:val="32"/>
          <w:szCs w:val="32"/>
          <w:highlight w:val="none"/>
          <w:u w:val="single"/>
        </w:rPr>
        <w:t xml:space="preserve">                          </w:t>
      </w:r>
    </w:p>
    <w:p>
      <w:pPr>
        <w:tabs>
          <w:tab w:val="left" w:pos="3724"/>
          <w:tab w:val="left" w:pos="3884"/>
          <w:tab w:val="left" w:pos="4527"/>
          <w:tab w:val="left" w:pos="4849"/>
          <w:tab w:val="left" w:pos="8706"/>
        </w:tabs>
        <w:spacing w:line="364" w:lineRule="auto"/>
        <w:ind w:left="349" w:right="589"/>
        <w:jc w:val="both"/>
        <w:rPr>
          <w:rFonts w:ascii="仿宋" w:eastAsia="仿宋"/>
          <w:b/>
          <w:spacing w:val="-26"/>
          <w:sz w:val="32"/>
          <w:szCs w:val="32"/>
          <w:highlight w:val="none"/>
          <w:u w:val="single"/>
        </w:rPr>
      </w:pPr>
      <w:r>
        <w:rPr>
          <w:rFonts w:hint="eastAsia" w:ascii="仿宋" w:eastAsia="仿宋"/>
          <w:b/>
          <w:sz w:val="32"/>
          <w:szCs w:val="32"/>
          <w:highlight w:val="none"/>
        </w:rPr>
        <w:t>起 草 时 间：</w:t>
      </w:r>
      <w:r>
        <w:rPr>
          <w:rFonts w:hint="eastAsia" w:ascii="仿宋" w:eastAsia="仿宋"/>
          <w:b/>
          <w:spacing w:val="-26"/>
          <w:sz w:val="32"/>
          <w:szCs w:val="32"/>
          <w:highlight w:val="none"/>
          <w:u w:val="single"/>
        </w:rPr>
        <w:tab/>
      </w:r>
      <w:r>
        <w:rPr>
          <w:rFonts w:hint="eastAsia" w:ascii="仿宋" w:eastAsia="仿宋"/>
          <w:b/>
          <w:spacing w:val="-26"/>
          <w:sz w:val="32"/>
          <w:szCs w:val="32"/>
          <w:highlight w:val="none"/>
          <w:u w:val="single"/>
        </w:rPr>
        <w:tab/>
      </w:r>
      <w:r>
        <w:rPr>
          <w:rFonts w:hint="eastAsia" w:ascii="仿宋" w:eastAsia="仿宋"/>
          <w:b/>
          <w:spacing w:val="-26"/>
          <w:sz w:val="32"/>
          <w:szCs w:val="32"/>
          <w:highlight w:val="none"/>
          <w:u w:val="single"/>
        </w:rPr>
        <w:tab/>
      </w:r>
      <w:r>
        <w:rPr>
          <w:rFonts w:hint="eastAsia" w:ascii="仿宋" w:eastAsia="仿宋"/>
          <w:b/>
          <w:spacing w:val="-26"/>
          <w:sz w:val="32"/>
          <w:szCs w:val="32"/>
          <w:highlight w:val="none"/>
          <w:u w:val="single"/>
        </w:rPr>
        <w:tab/>
      </w:r>
      <w:r>
        <w:rPr>
          <w:rFonts w:hint="eastAsia" w:ascii="仿宋" w:eastAsia="仿宋"/>
          <w:b/>
          <w:spacing w:val="-26"/>
          <w:sz w:val="32"/>
          <w:szCs w:val="32"/>
          <w:highlight w:val="none"/>
          <w:u w:val="single"/>
        </w:rPr>
        <w:t xml:space="preserve">                             </w:t>
      </w:r>
    </w:p>
    <w:p>
      <w:pPr>
        <w:tabs>
          <w:tab w:val="left" w:pos="3723"/>
          <w:tab w:val="left" w:pos="4528"/>
          <w:tab w:val="left" w:pos="5008"/>
          <w:tab w:val="left" w:pos="8703"/>
        </w:tabs>
        <w:spacing w:before="214" w:line="364" w:lineRule="auto"/>
        <w:ind w:left="349" w:right="592"/>
        <w:rPr>
          <w:rFonts w:ascii="仿宋" w:eastAsia="仿宋"/>
          <w:b/>
          <w:sz w:val="32"/>
          <w:szCs w:val="32"/>
          <w:highlight w:val="none"/>
        </w:rPr>
      </w:pPr>
    </w:p>
    <w:p>
      <w:pPr>
        <w:spacing w:line="364" w:lineRule="auto"/>
        <w:jc w:val="both"/>
        <w:rPr>
          <w:rFonts w:ascii="仿宋" w:eastAsia="仿宋"/>
          <w:sz w:val="32"/>
          <w:highlight w:val="none"/>
        </w:rPr>
        <w:sectPr>
          <w:type w:val="continuous"/>
          <w:pgSz w:w="11910" w:h="16840"/>
          <w:pgMar w:top="1580" w:right="1200" w:bottom="280" w:left="1400" w:header="720" w:footer="720" w:gutter="0"/>
          <w:cols w:space="720" w:num="1"/>
        </w:sectPr>
      </w:pPr>
    </w:p>
    <w:p>
      <w:pPr>
        <w:pStyle w:val="6"/>
        <w:ind w:left="0"/>
        <w:rPr>
          <w:rFonts w:ascii="仿宋"/>
          <w:b/>
          <w:sz w:val="12"/>
          <w:highlight w:val="none"/>
        </w:rPr>
      </w:pPr>
    </w:p>
    <w:p>
      <w:pPr>
        <w:pStyle w:val="6"/>
        <w:tabs>
          <w:tab w:val="left" w:pos="640"/>
        </w:tabs>
        <w:spacing w:before="55"/>
        <w:ind w:left="0" w:right="84"/>
        <w:jc w:val="center"/>
        <w:rPr>
          <w:rFonts w:ascii="黑体" w:eastAsia="黑体"/>
          <w:highlight w:val="none"/>
        </w:rPr>
      </w:pPr>
      <w:r>
        <w:rPr>
          <w:rFonts w:hint="eastAsia" w:ascii="黑体" w:eastAsia="黑体"/>
          <w:highlight w:val="none"/>
        </w:rPr>
        <w:t>目</w:t>
      </w:r>
      <w:r>
        <w:rPr>
          <w:rFonts w:hint="eastAsia" w:ascii="黑体" w:eastAsia="黑体"/>
          <w:highlight w:val="none"/>
        </w:rPr>
        <w:tab/>
      </w:r>
      <w:r>
        <w:rPr>
          <w:rFonts w:hint="eastAsia" w:ascii="黑体" w:eastAsia="黑体"/>
          <w:highlight w:val="none"/>
        </w:rPr>
        <w:t>录</w:t>
      </w:r>
    </w:p>
    <w:sdt>
      <w:sdtPr>
        <w:rPr>
          <w:rFonts w:ascii="仿宋_GB2312" w:hAnsi="仿宋_GB2312" w:eastAsia="仿宋_GB2312" w:cs="仿宋_GB2312"/>
          <w:color w:val="auto"/>
          <w:sz w:val="22"/>
          <w:szCs w:val="22"/>
          <w:highlight w:val="none"/>
          <w:lang w:val="zh-CN" w:bidi="zh-CN"/>
        </w:rPr>
        <w:id w:val="1260950540"/>
        <w:docPartObj>
          <w:docPartGallery w:val="Table of Contents"/>
          <w:docPartUnique/>
        </w:docPartObj>
      </w:sdtPr>
      <w:sdtEndPr>
        <w:rPr>
          <w:rFonts w:ascii="仿宋_GB2312" w:hAnsi="仿宋_GB2312" w:eastAsia="仿宋_GB2312" w:cs="仿宋_GB2312"/>
          <w:b/>
          <w:bCs/>
          <w:color w:val="auto"/>
          <w:sz w:val="22"/>
          <w:szCs w:val="22"/>
          <w:highlight w:val="none"/>
          <w:lang w:val="zh-CN" w:bidi="zh-CN"/>
        </w:rPr>
      </w:sdtEndPr>
      <w:sdtContent>
        <w:p>
          <w:pPr>
            <w:pStyle w:val="34"/>
            <w:spacing w:line="360" w:lineRule="auto"/>
            <w:rPr>
              <w:sz w:val="36"/>
              <w:highlight w:val="none"/>
            </w:rPr>
          </w:pPr>
        </w:p>
        <w:p>
          <w:pPr>
            <w:pStyle w:val="12"/>
            <w:keepNext w:val="0"/>
            <w:keepLines w:val="0"/>
            <w:pageBreakBefore w:val="0"/>
            <w:widowControl w:val="0"/>
            <w:tabs>
              <w:tab w:val="right" w:leader="dot" w:pos="9310"/>
            </w:tabs>
            <w:kinsoku/>
            <w:wordWrap/>
            <w:overflowPunct/>
            <w:topLinePunct w:val="0"/>
            <w:autoSpaceDE w:val="0"/>
            <w:autoSpaceDN w:val="0"/>
            <w:bidi w:val="0"/>
            <w:adjustRightInd/>
            <w:snapToGrid/>
            <w:spacing w:line="360" w:lineRule="auto"/>
            <w:textAlignment w:val="auto"/>
            <w:rPr>
              <w:rFonts w:hint="eastAsia" w:ascii="黑体" w:hAnsi="黑体" w:eastAsia="黑体" w:cs="黑体"/>
              <w:sz w:val="28"/>
              <w:szCs w:val="28"/>
            </w:rPr>
          </w:pPr>
          <w:bookmarkStart w:id="0" w:name="OLE_LINK88"/>
          <w:r>
            <w:rPr>
              <w:rFonts w:hint="eastAsia" w:ascii="黑体" w:hAnsi="黑体" w:eastAsia="黑体" w:cs="黑体"/>
              <w:sz w:val="28"/>
              <w:szCs w:val="28"/>
              <w:highlight w:val="none"/>
            </w:rPr>
            <w:fldChar w:fldCharType="begin"/>
          </w:r>
          <w:r>
            <w:rPr>
              <w:rFonts w:hint="eastAsia" w:ascii="黑体" w:hAnsi="黑体" w:eastAsia="黑体" w:cs="黑体"/>
              <w:sz w:val="28"/>
              <w:szCs w:val="28"/>
              <w:highlight w:val="none"/>
            </w:rPr>
            <w:instrText xml:space="preserve"> TOC \o "1-3" \h \z \u </w:instrText>
          </w:r>
          <w:r>
            <w:rPr>
              <w:rFonts w:hint="eastAsia" w:ascii="黑体" w:hAnsi="黑体" w:eastAsia="黑体" w:cs="黑体"/>
              <w:sz w:val="28"/>
              <w:szCs w:val="28"/>
              <w:highlight w:val="none"/>
            </w:rPr>
            <w:fldChar w:fldCharType="separate"/>
          </w:r>
          <w:r>
            <w:rPr>
              <w:rFonts w:hint="eastAsia" w:ascii="黑体" w:hAnsi="黑体" w:eastAsia="黑体" w:cs="黑体"/>
              <w:sz w:val="28"/>
              <w:szCs w:val="28"/>
              <w:highlight w:val="none"/>
            </w:rPr>
            <w:fldChar w:fldCharType="begin"/>
          </w:r>
          <w:r>
            <w:rPr>
              <w:rFonts w:hint="eastAsia" w:ascii="黑体" w:hAnsi="黑体" w:eastAsia="黑体" w:cs="黑体"/>
              <w:sz w:val="28"/>
              <w:szCs w:val="28"/>
              <w:highlight w:val="none"/>
            </w:rPr>
            <w:instrText xml:space="preserve"> HYPERLINK \l _Toc29240 </w:instrText>
          </w:r>
          <w:r>
            <w:rPr>
              <w:rFonts w:hint="eastAsia" w:ascii="黑体" w:hAnsi="黑体" w:eastAsia="黑体" w:cs="黑体"/>
              <w:sz w:val="28"/>
              <w:szCs w:val="28"/>
              <w:highlight w:val="none"/>
            </w:rPr>
            <w:fldChar w:fldCharType="separate"/>
          </w:r>
          <w:r>
            <w:rPr>
              <w:rFonts w:hint="eastAsia" w:ascii="黑体" w:hAnsi="黑体" w:eastAsia="黑体" w:cs="黑体"/>
              <w:bCs/>
              <w:kern w:val="2"/>
              <w:sz w:val="28"/>
              <w:szCs w:val="28"/>
              <w:highlight w:val="none"/>
              <w:lang w:val="en-US" w:bidi="ar-SA"/>
            </w:rPr>
            <w:t>一、工作简况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_Toc29240 \h </w:instrText>
          </w:r>
          <w:r>
            <w:rPr>
              <w:rFonts w:hint="eastAsia" w:ascii="黑体" w:hAnsi="黑体" w:eastAsia="黑体" w:cs="黑体"/>
              <w:sz w:val="28"/>
              <w:szCs w:val="28"/>
            </w:rPr>
            <w:fldChar w:fldCharType="separate"/>
          </w:r>
          <w:r>
            <w:rPr>
              <w:rFonts w:hint="eastAsia" w:ascii="黑体" w:hAnsi="黑体" w:eastAsia="黑体" w:cs="黑体"/>
              <w:sz w:val="28"/>
              <w:szCs w:val="28"/>
            </w:rPr>
            <w:t>1</w:t>
          </w:r>
          <w:r>
            <w:rPr>
              <w:rFonts w:hint="eastAsia" w:ascii="黑体" w:hAnsi="黑体" w:eastAsia="黑体" w:cs="黑体"/>
              <w:sz w:val="28"/>
              <w:szCs w:val="28"/>
            </w:rPr>
            <w:fldChar w:fldCharType="end"/>
          </w:r>
          <w:r>
            <w:rPr>
              <w:rFonts w:hint="eastAsia" w:ascii="黑体" w:hAnsi="黑体" w:eastAsia="黑体" w:cs="黑体"/>
              <w:sz w:val="28"/>
              <w:szCs w:val="28"/>
              <w:highlight w:val="none"/>
            </w:rPr>
            <w:fldChar w:fldCharType="end"/>
          </w:r>
        </w:p>
        <w:p>
          <w:pPr>
            <w:pStyle w:val="12"/>
            <w:keepNext w:val="0"/>
            <w:keepLines w:val="0"/>
            <w:pageBreakBefore w:val="0"/>
            <w:widowControl w:val="0"/>
            <w:tabs>
              <w:tab w:val="right" w:leader="dot" w:pos="9310"/>
            </w:tabs>
            <w:kinsoku/>
            <w:wordWrap/>
            <w:overflowPunct/>
            <w:topLinePunct w:val="0"/>
            <w:autoSpaceDE w:val="0"/>
            <w:autoSpaceDN w:val="0"/>
            <w:bidi w:val="0"/>
            <w:adjustRightInd/>
            <w:snapToGrid/>
            <w:spacing w:line="360" w:lineRule="auto"/>
            <w:textAlignment w:val="auto"/>
            <w:rPr>
              <w:rFonts w:hint="eastAsia" w:ascii="黑体" w:hAnsi="黑体" w:eastAsia="黑体" w:cs="黑体"/>
              <w:sz w:val="28"/>
              <w:szCs w:val="28"/>
            </w:rPr>
          </w:pPr>
          <w:r>
            <w:rPr>
              <w:rFonts w:hint="eastAsia" w:ascii="黑体" w:hAnsi="黑体" w:eastAsia="黑体" w:cs="黑体"/>
              <w:bCs/>
              <w:sz w:val="28"/>
              <w:szCs w:val="28"/>
              <w:highlight w:val="none"/>
            </w:rPr>
            <w:fldChar w:fldCharType="begin"/>
          </w:r>
          <w:r>
            <w:rPr>
              <w:rFonts w:hint="eastAsia" w:ascii="黑体" w:hAnsi="黑体" w:eastAsia="黑体" w:cs="黑体"/>
              <w:bCs/>
              <w:sz w:val="28"/>
              <w:szCs w:val="28"/>
              <w:highlight w:val="none"/>
            </w:rPr>
            <w:instrText xml:space="preserve"> HYPERLINK \l _Toc14254 </w:instrText>
          </w:r>
          <w:r>
            <w:rPr>
              <w:rFonts w:hint="eastAsia" w:ascii="黑体" w:hAnsi="黑体" w:eastAsia="黑体" w:cs="黑体"/>
              <w:bCs/>
              <w:sz w:val="28"/>
              <w:szCs w:val="28"/>
              <w:highlight w:val="none"/>
            </w:rPr>
            <w:fldChar w:fldCharType="separate"/>
          </w:r>
          <w:r>
            <w:rPr>
              <w:rFonts w:hint="eastAsia" w:ascii="黑体" w:hAnsi="黑体" w:eastAsia="黑体" w:cs="黑体"/>
              <w:bCs/>
              <w:kern w:val="2"/>
              <w:sz w:val="28"/>
              <w:szCs w:val="28"/>
              <w:highlight w:val="none"/>
              <w:lang w:val="en-US" w:bidi="ar-SA"/>
            </w:rPr>
            <w:t>二、标准所涉及的产品、适用范围等基本情况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_Toc14254 \h </w:instrText>
          </w:r>
          <w:r>
            <w:rPr>
              <w:rFonts w:hint="eastAsia" w:ascii="黑体" w:hAnsi="黑体" w:eastAsia="黑体" w:cs="黑体"/>
              <w:sz w:val="28"/>
              <w:szCs w:val="28"/>
            </w:rPr>
            <w:fldChar w:fldCharType="separate"/>
          </w:r>
          <w:r>
            <w:rPr>
              <w:rFonts w:hint="eastAsia" w:ascii="黑体" w:hAnsi="黑体" w:eastAsia="黑体" w:cs="黑体"/>
              <w:sz w:val="28"/>
              <w:szCs w:val="28"/>
            </w:rPr>
            <w:t>5</w:t>
          </w:r>
          <w:r>
            <w:rPr>
              <w:rFonts w:hint="eastAsia" w:ascii="黑体" w:hAnsi="黑体" w:eastAsia="黑体" w:cs="黑体"/>
              <w:sz w:val="28"/>
              <w:szCs w:val="28"/>
            </w:rPr>
            <w:fldChar w:fldCharType="end"/>
          </w:r>
          <w:r>
            <w:rPr>
              <w:rFonts w:hint="eastAsia" w:ascii="黑体" w:hAnsi="黑体" w:eastAsia="黑体" w:cs="黑体"/>
              <w:bCs/>
              <w:sz w:val="28"/>
              <w:szCs w:val="28"/>
              <w:highlight w:val="none"/>
            </w:rPr>
            <w:fldChar w:fldCharType="end"/>
          </w:r>
        </w:p>
        <w:p>
          <w:pPr>
            <w:pStyle w:val="12"/>
            <w:keepNext w:val="0"/>
            <w:keepLines w:val="0"/>
            <w:pageBreakBefore w:val="0"/>
            <w:widowControl w:val="0"/>
            <w:tabs>
              <w:tab w:val="right" w:leader="dot" w:pos="9310"/>
            </w:tabs>
            <w:kinsoku/>
            <w:wordWrap/>
            <w:overflowPunct/>
            <w:topLinePunct w:val="0"/>
            <w:autoSpaceDE w:val="0"/>
            <w:autoSpaceDN w:val="0"/>
            <w:bidi w:val="0"/>
            <w:adjustRightInd/>
            <w:snapToGrid/>
            <w:spacing w:line="360" w:lineRule="auto"/>
            <w:textAlignment w:val="auto"/>
            <w:rPr>
              <w:rFonts w:hint="eastAsia" w:ascii="黑体" w:hAnsi="黑体" w:eastAsia="黑体" w:cs="黑体"/>
              <w:sz w:val="28"/>
              <w:szCs w:val="28"/>
            </w:rPr>
          </w:pPr>
          <w:r>
            <w:rPr>
              <w:rFonts w:hint="eastAsia" w:ascii="黑体" w:hAnsi="黑体" w:eastAsia="黑体" w:cs="黑体"/>
              <w:bCs/>
              <w:sz w:val="28"/>
              <w:szCs w:val="28"/>
              <w:highlight w:val="none"/>
            </w:rPr>
            <w:fldChar w:fldCharType="begin"/>
          </w:r>
          <w:r>
            <w:rPr>
              <w:rFonts w:hint="eastAsia" w:ascii="黑体" w:hAnsi="黑体" w:eastAsia="黑体" w:cs="黑体"/>
              <w:bCs/>
              <w:sz w:val="28"/>
              <w:szCs w:val="28"/>
              <w:highlight w:val="none"/>
            </w:rPr>
            <w:instrText xml:space="preserve"> HYPERLINK \l _Toc26736 </w:instrText>
          </w:r>
          <w:r>
            <w:rPr>
              <w:rFonts w:hint="eastAsia" w:ascii="黑体" w:hAnsi="黑体" w:eastAsia="黑体" w:cs="黑体"/>
              <w:bCs/>
              <w:sz w:val="28"/>
              <w:szCs w:val="28"/>
              <w:highlight w:val="none"/>
            </w:rPr>
            <w:fldChar w:fldCharType="separate"/>
          </w:r>
          <w:r>
            <w:rPr>
              <w:rFonts w:hint="eastAsia" w:ascii="黑体" w:hAnsi="黑体" w:eastAsia="黑体" w:cs="黑体"/>
              <w:bCs/>
              <w:kern w:val="2"/>
              <w:sz w:val="28"/>
              <w:szCs w:val="28"/>
              <w:highlight w:val="none"/>
              <w:lang w:val="en-US" w:bidi="ar-SA"/>
            </w:rPr>
            <w:t>三、</w:t>
          </w:r>
          <w:r>
            <w:rPr>
              <w:rFonts w:hint="eastAsia" w:ascii="黑体" w:hAnsi="黑体" w:eastAsia="黑体" w:cs="黑体"/>
              <w:bCs/>
              <w:kern w:val="2"/>
              <w:sz w:val="28"/>
              <w:szCs w:val="28"/>
              <w:highlight w:val="none"/>
              <w:lang w:val="en-US" w:eastAsia="zh-CN" w:bidi="ar-SA"/>
            </w:rPr>
            <w:t>编制原则</w:t>
          </w:r>
          <w:r>
            <w:rPr>
              <w:rFonts w:hint="eastAsia" w:ascii="黑体" w:hAnsi="黑体" w:eastAsia="黑体" w:cs="黑体"/>
              <w:bCs/>
              <w:kern w:val="2"/>
              <w:sz w:val="28"/>
              <w:szCs w:val="28"/>
              <w:highlight w:val="none"/>
              <w:lang w:val="en-US" w:bidi="ar-SA"/>
            </w:rPr>
            <w:t>与</w:t>
          </w:r>
          <w:r>
            <w:rPr>
              <w:rFonts w:hint="eastAsia" w:ascii="黑体" w:hAnsi="黑体" w:eastAsia="黑体" w:cs="黑体"/>
              <w:bCs/>
              <w:kern w:val="2"/>
              <w:sz w:val="28"/>
              <w:szCs w:val="28"/>
              <w:highlight w:val="none"/>
              <w:lang w:val="en-US" w:eastAsia="zh-CN" w:bidi="ar-SA"/>
            </w:rPr>
            <w:t>主要内容依据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_Toc26736 \h </w:instrText>
          </w:r>
          <w:r>
            <w:rPr>
              <w:rFonts w:hint="eastAsia" w:ascii="黑体" w:hAnsi="黑体" w:eastAsia="黑体" w:cs="黑体"/>
              <w:sz w:val="28"/>
              <w:szCs w:val="28"/>
            </w:rPr>
            <w:fldChar w:fldCharType="separate"/>
          </w:r>
          <w:r>
            <w:rPr>
              <w:rFonts w:hint="eastAsia" w:ascii="黑体" w:hAnsi="黑体" w:eastAsia="黑体" w:cs="黑体"/>
              <w:sz w:val="28"/>
              <w:szCs w:val="28"/>
            </w:rPr>
            <w:t>5</w:t>
          </w:r>
          <w:r>
            <w:rPr>
              <w:rFonts w:hint="eastAsia" w:ascii="黑体" w:hAnsi="黑体" w:eastAsia="黑体" w:cs="黑体"/>
              <w:sz w:val="28"/>
              <w:szCs w:val="28"/>
            </w:rPr>
            <w:fldChar w:fldCharType="end"/>
          </w:r>
          <w:r>
            <w:rPr>
              <w:rFonts w:hint="eastAsia" w:ascii="黑体" w:hAnsi="黑体" w:eastAsia="黑体" w:cs="黑体"/>
              <w:bCs/>
              <w:sz w:val="28"/>
              <w:szCs w:val="28"/>
              <w:highlight w:val="none"/>
            </w:rPr>
            <w:fldChar w:fldCharType="end"/>
          </w:r>
        </w:p>
        <w:p>
          <w:pPr>
            <w:pStyle w:val="12"/>
            <w:keepNext w:val="0"/>
            <w:keepLines w:val="0"/>
            <w:pageBreakBefore w:val="0"/>
            <w:widowControl w:val="0"/>
            <w:tabs>
              <w:tab w:val="right" w:leader="dot" w:pos="9310"/>
            </w:tabs>
            <w:kinsoku/>
            <w:wordWrap/>
            <w:overflowPunct/>
            <w:topLinePunct w:val="0"/>
            <w:autoSpaceDE w:val="0"/>
            <w:autoSpaceDN w:val="0"/>
            <w:bidi w:val="0"/>
            <w:adjustRightInd/>
            <w:snapToGrid/>
            <w:spacing w:line="360" w:lineRule="auto"/>
            <w:textAlignment w:val="auto"/>
            <w:rPr>
              <w:rFonts w:hint="eastAsia" w:ascii="黑体" w:hAnsi="黑体" w:eastAsia="黑体" w:cs="黑体"/>
              <w:sz w:val="28"/>
              <w:szCs w:val="28"/>
            </w:rPr>
          </w:pPr>
          <w:r>
            <w:rPr>
              <w:rFonts w:hint="eastAsia" w:ascii="黑体" w:hAnsi="黑体" w:eastAsia="黑体" w:cs="黑体"/>
              <w:bCs/>
              <w:sz w:val="28"/>
              <w:szCs w:val="28"/>
              <w:highlight w:val="none"/>
            </w:rPr>
            <w:fldChar w:fldCharType="begin"/>
          </w:r>
          <w:r>
            <w:rPr>
              <w:rFonts w:hint="eastAsia" w:ascii="黑体" w:hAnsi="黑体" w:eastAsia="黑体" w:cs="黑体"/>
              <w:bCs/>
              <w:sz w:val="28"/>
              <w:szCs w:val="28"/>
              <w:highlight w:val="none"/>
            </w:rPr>
            <w:instrText xml:space="preserve"> HYPERLINK \l _Toc3883 </w:instrText>
          </w:r>
          <w:r>
            <w:rPr>
              <w:rFonts w:hint="eastAsia" w:ascii="黑体" w:hAnsi="黑体" w:eastAsia="黑体" w:cs="黑体"/>
              <w:bCs/>
              <w:sz w:val="28"/>
              <w:szCs w:val="28"/>
              <w:highlight w:val="none"/>
            </w:rPr>
            <w:fldChar w:fldCharType="separate"/>
          </w:r>
          <w:r>
            <w:rPr>
              <w:rFonts w:hint="eastAsia" w:ascii="黑体" w:hAnsi="黑体" w:eastAsia="黑体" w:cs="黑体"/>
              <w:bCs/>
              <w:kern w:val="2"/>
              <w:sz w:val="28"/>
              <w:szCs w:val="28"/>
              <w:highlight w:val="none"/>
              <w:lang w:val="en-US" w:bidi="ar-SA"/>
            </w:rPr>
            <w:t>四、国际标准采用情况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_Toc3883 \h </w:instrText>
          </w:r>
          <w:r>
            <w:rPr>
              <w:rFonts w:hint="eastAsia" w:ascii="黑体" w:hAnsi="黑体" w:eastAsia="黑体" w:cs="黑体"/>
              <w:sz w:val="28"/>
              <w:szCs w:val="28"/>
            </w:rPr>
            <w:fldChar w:fldCharType="separate"/>
          </w:r>
          <w:r>
            <w:rPr>
              <w:rFonts w:hint="eastAsia" w:ascii="黑体" w:hAnsi="黑体" w:eastAsia="黑体" w:cs="黑体"/>
              <w:sz w:val="28"/>
              <w:szCs w:val="28"/>
            </w:rPr>
            <w:t>7</w:t>
          </w:r>
          <w:r>
            <w:rPr>
              <w:rFonts w:hint="eastAsia" w:ascii="黑体" w:hAnsi="黑体" w:eastAsia="黑体" w:cs="黑体"/>
              <w:sz w:val="28"/>
              <w:szCs w:val="28"/>
            </w:rPr>
            <w:fldChar w:fldCharType="end"/>
          </w:r>
          <w:r>
            <w:rPr>
              <w:rFonts w:hint="eastAsia" w:ascii="黑体" w:hAnsi="黑体" w:eastAsia="黑体" w:cs="黑体"/>
              <w:bCs/>
              <w:sz w:val="28"/>
              <w:szCs w:val="28"/>
              <w:highlight w:val="none"/>
            </w:rPr>
            <w:fldChar w:fldCharType="end"/>
          </w:r>
        </w:p>
        <w:p>
          <w:pPr>
            <w:pStyle w:val="12"/>
            <w:keepNext w:val="0"/>
            <w:keepLines w:val="0"/>
            <w:pageBreakBefore w:val="0"/>
            <w:widowControl w:val="0"/>
            <w:tabs>
              <w:tab w:val="right" w:leader="dot" w:pos="9310"/>
            </w:tabs>
            <w:kinsoku/>
            <w:wordWrap/>
            <w:overflowPunct/>
            <w:topLinePunct w:val="0"/>
            <w:autoSpaceDE w:val="0"/>
            <w:autoSpaceDN w:val="0"/>
            <w:bidi w:val="0"/>
            <w:adjustRightInd/>
            <w:snapToGrid/>
            <w:spacing w:line="360" w:lineRule="auto"/>
            <w:textAlignment w:val="auto"/>
            <w:rPr>
              <w:rFonts w:hint="eastAsia" w:ascii="黑体" w:hAnsi="黑体" w:eastAsia="黑体" w:cs="黑体"/>
              <w:sz w:val="28"/>
              <w:szCs w:val="28"/>
            </w:rPr>
          </w:pPr>
          <w:r>
            <w:rPr>
              <w:rFonts w:hint="eastAsia" w:ascii="黑体" w:hAnsi="黑体" w:eastAsia="黑体" w:cs="黑体"/>
              <w:bCs/>
              <w:sz w:val="28"/>
              <w:szCs w:val="28"/>
              <w:highlight w:val="none"/>
            </w:rPr>
            <w:fldChar w:fldCharType="begin"/>
          </w:r>
          <w:r>
            <w:rPr>
              <w:rFonts w:hint="eastAsia" w:ascii="黑体" w:hAnsi="黑体" w:eastAsia="黑体" w:cs="黑体"/>
              <w:bCs/>
              <w:sz w:val="28"/>
              <w:szCs w:val="28"/>
              <w:highlight w:val="none"/>
            </w:rPr>
            <w:instrText xml:space="preserve"> HYPERLINK \l _Toc31394 </w:instrText>
          </w:r>
          <w:r>
            <w:rPr>
              <w:rFonts w:hint="eastAsia" w:ascii="黑体" w:hAnsi="黑体" w:eastAsia="黑体" w:cs="黑体"/>
              <w:bCs/>
              <w:sz w:val="28"/>
              <w:szCs w:val="28"/>
              <w:highlight w:val="none"/>
            </w:rPr>
            <w:fldChar w:fldCharType="separate"/>
          </w:r>
          <w:r>
            <w:rPr>
              <w:rFonts w:hint="eastAsia" w:ascii="黑体" w:hAnsi="黑体" w:eastAsia="黑体" w:cs="黑体"/>
              <w:bCs/>
              <w:kern w:val="2"/>
              <w:sz w:val="28"/>
              <w:szCs w:val="28"/>
              <w:highlight w:val="none"/>
              <w:lang w:val="en-US" w:bidi="ar-SA"/>
            </w:rPr>
            <w:t>五、与现行法律、法规、国家标准和产业政策等一致情况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_Toc31394 \h </w:instrText>
          </w:r>
          <w:r>
            <w:rPr>
              <w:rFonts w:hint="eastAsia" w:ascii="黑体" w:hAnsi="黑体" w:eastAsia="黑体" w:cs="黑体"/>
              <w:sz w:val="28"/>
              <w:szCs w:val="28"/>
            </w:rPr>
            <w:fldChar w:fldCharType="separate"/>
          </w:r>
          <w:r>
            <w:rPr>
              <w:rFonts w:hint="eastAsia" w:ascii="黑体" w:hAnsi="黑体" w:eastAsia="黑体" w:cs="黑体"/>
              <w:sz w:val="28"/>
              <w:szCs w:val="28"/>
            </w:rPr>
            <w:t>7</w:t>
          </w:r>
          <w:r>
            <w:rPr>
              <w:rFonts w:hint="eastAsia" w:ascii="黑体" w:hAnsi="黑体" w:eastAsia="黑体" w:cs="黑体"/>
              <w:sz w:val="28"/>
              <w:szCs w:val="28"/>
            </w:rPr>
            <w:fldChar w:fldCharType="end"/>
          </w:r>
          <w:r>
            <w:rPr>
              <w:rFonts w:hint="eastAsia" w:ascii="黑体" w:hAnsi="黑体" w:eastAsia="黑体" w:cs="黑体"/>
              <w:bCs/>
              <w:sz w:val="28"/>
              <w:szCs w:val="28"/>
              <w:highlight w:val="none"/>
            </w:rPr>
            <w:fldChar w:fldCharType="end"/>
          </w:r>
        </w:p>
        <w:p>
          <w:pPr>
            <w:pStyle w:val="12"/>
            <w:keepNext w:val="0"/>
            <w:keepLines w:val="0"/>
            <w:pageBreakBefore w:val="0"/>
            <w:widowControl w:val="0"/>
            <w:tabs>
              <w:tab w:val="right" w:leader="dot" w:pos="9310"/>
            </w:tabs>
            <w:kinsoku/>
            <w:wordWrap/>
            <w:overflowPunct/>
            <w:topLinePunct w:val="0"/>
            <w:autoSpaceDE w:val="0"/>
            <w:autoSpaceDN w:val="0"/>
            <w:bidi w:val="0"/>
            <w:adjustRightInd/>
            <w:snapToGrid/>
            <w:spacing w:line="360" w:lineRule="auto"/>
            <w:textAlignment w:val="auto"/>
            <w:rPr>
              <w:rFonts w:hint="eastAsia" w:ascii="黑体" w:hAnsi="黑体" w:eastAsia="黑体" w:cs="黑体"/>
              <w:sz w:val="28"/>
              <w:szCs w:val="28"/>
            </w:rPr>
          </w:pPr>
          <w:r>
            <w:rPr>
              <w:rFonts w:hint="eastAsia" w:ascii="黑体" w:hAnsi="黑体" w:eastAsia="黑体" w:cs="黑体"/>
              <w:bCs/>
              <w:sz w:val="28"/>
              <w:szCs w:val="28"/>
              <w:highlight w:val="none"/>
            </w:rPr>
            <w:fldChar w:fldCharType="begin"/>
          </w:r>
          <w:r>
            <w:rPr>
              <w:rFonts w:hint="eastAsia" w:ascii="黑体" w:hAnsi="黑体" w:eastAsia="黑体" w:cs="黑体"/>
              <w:bCs/>
              <w:sz w:val="28"/>
              <w:szCs w:val="28"/>
              <w:highlight w:val="none"/>
            </w:rPr>
            <w:instrText xml:space="preserve"> HYPERLINK \l _Toc14648 </w:instrText>
          </w:r>
          <w:r>
            <w:rPr>
              <w:rFonts w:hint="eastAsia" w:ascii="黑体" w:hAnsi="黑体" w:eastAsia="黑体" w:cs="黑体"/>
              <w:bCs/>
              <w:sz w:val="28"/>
              <w:szCs w:val="28"/>
              <w:highlight w:val="none"/>
            </w:rPr>
            <w:fldChar w:fldCharType="separate"/>
          </w:r>
          <w:r>
            <w:rPr>
              <w:rFonts w:hint="eastAsia" w:ascii="黑体" w:hAnsi="黑体" w:eastAsia="黑体" w:cs="黑体"/>
              <w:bCs/>
              <w:kern w:val="2"/>
              <w:sz w:val="28"/>
              <w:szCs w:val="28"/>
              <w:highlight w:val="none"/>
              <w:lang w:val="en-US" w:bidi="ar-SA"/>
            </w:rPr>
            <w:t>六、重大分歧意见处理和依据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_Toc14648 \h </w:instrText>
          </w:r>
          <w:r>
            <w:rPr>
              <w:rFonts w:hint="eastAsia" w:ascii="黑体" w:hAnsi="黑体" w:eastAsia="黑体" w:cs="黑体"/>
              <w:sz w:val="28"/>
              <w:szCs w:val="28"/>
            </w:rPr>
            <w:fldChar w:fldCharType="separate"/>
          </w:r>
          <w:r>
            <w:rPr>
              <w:rFonts w:hint="eastAsia" w:ascii="黑体" w:hAnsi="黑体" w:eastAsia="黑体" w:cs="黑体"/>
              <w:sz w:val="28"/>
              <w:szCs w:val="28"/>
            </w:rPr>
            <w:t>7</w:t>
          </w:r>
          <w:r>
            <w:rPr>
              <w:rFonts w:hint="eastAsia" w:ascii="黑体" w:hAnsi="黑体" w:eastAsia="黑体" w:cs="黑体"/>
              <w:sz w:val="28"/>
              <w:szCs w:val="28"/>
            </w:rPr>
            <w:fldChar w:fldCharType="end"/>
          </w:r>
          <w:r>
            <w:rPr>
              <w:rFonts w:hint="eastAsia" w:ascii="黑体" w:hAnsi="黑体" w:eastAsia="黑体" w:cs="黑体"/>
              <w:bCs/>
              <w:sz w:val="28"/>
              <w:szCs w:val="28"/>
              <w:highlight w:val="none"/>
            </w:rPr>
            <w:fldChar w:fldCharType="end"/>
          </w:r>
        </w:p>
        <w:p>
          <w:pPr>
            <w:pStyle w:val="12"/>
            <w:keepNext w:val="0"/>
            <w:keepLines w:val="0"/>
            <w:pageBreakBefore w:val="0"/>
            <w:widowControl w:val="0"/>
            <w:tabs>
              <w:tab w:val="right" w:leader="dot" w:pos="9310"/>
            </w:tabs>
            <w:kinsoku/>
            <w:wordWrap/>
            <w:overflowPunct/>
            <w:topLinePunct w:val="0"/>
            <w:autoSpaceDE w:val="0"/>
            <w:autoSpaceDN w:val="0"/>
            <w:bidi w:val="0"/>
            <w:adjustRightInd/>
            <w:snapToGrid/>
            <w:spacing w:line="360" w:lineRule="auto"/>
            <w:textAlignment w:val="auto"/>
            <w:rPr>
              <w:rFonts w:hint="eastAsia" w:ascii="黑体" w:hAnsi="黑体" w:eastAsia="黑体" w:cs="黑体"/>
              <w:sz w:val="28"/>
              <w:szCs w:val="28"/>
            </w:rPr>
          </w:pPr>
          <w:r>
            <w:rPr>
              <w:rFonts w:hint="eastAsia" w:ascii="黑体" w:hAnsi="黑体" w:eastAsia="黑体" w:cs="黑体"/>
              <w:bCs/>
              <w:sz w:val="28"/>
              <w:szCs w:val="28"/>
              <w:highlight w:val="none"/>
            </w:rPr>
            <w:fldChar w:fldCharType="begin"/>
          </w:r>
          <w:r>
            <w:rPr>
              <w:rFonts w:hint="eastAsia" w:ascii="黑体" w:hAnsi="黑体" w:eastAsia="黑体" w:cs="黑体"/>
              <w:bCs/>
              <w:sz w:val="28"/>
              <w:szCs w:val="28"/>
              <w:highlight w:val="none"/>
            </w:rPr>
            <w:instrText xml:space="preserve"> HYPERLINK \l _Toc23221 </w:instrText>
          </w:r>
          <w:r>
            <w:rPr>
              <w:rFonts w:hint="eastAsia" w:ascii="黑体" w:hAnsi="黑体" w:eastAsia="黑体" w:cs="黑体"/>
              <w:bCs/>
              <w:sz w:val="28"/>
              <w:szCs w:val="28"/>
              <w:highlight w:val="none"/>
            </w:rPr>
            <w:fldChar w:fldCharType="separate"/>
          </w:r>
          <w:r>
            <w:rPr>
              <w:rFonts w:hint="eastAsia" w:ascii="黑体" w:hAnsi="黑体" w:eastAsia="黑体" w:cs="黑体"/>
              <w:bCs/>
              <w:kern w:val="2"/>
              <w:sz w:val="28"/>
              <w:szCs w:val="28"/>
              <w:highlight w:val="none"/>
              <w:lang w:val="en-US" w:bidi="ar-SA"/>
            </w:rPr>
            <w:t>七、</w:t>
          </w:r>
          <w:r>
            <w:rPr>
              <w:rFonts w:hint="eastAsia" w:ascii="黑体" w:hAnsi="黑体" w:eastAsia="黑体" w:cs="黑体"/>
              <w:bCs/>
              <w:sz w:val="28"/>
              <w:szCs w:val="28"/>
              <w:highlight w:val="none"/>
              <w:lang w:val="en-US"/>
            </w:rPr>
            <w:t>贯彻地方标准的要求和措施建议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_Toc23221 \h </w:instrText>
          </w:r>
          <w:r>
            <w:rPr>
              <w:rFonts w:hint="eastAsia" w:ascii="黑体" w:hAnsi="黑体" w:eastAsia="黑体" w:cs="黑体"/>
              <w:sz w:val="28"/>
              <w:szCs w:val="28"/>
            </w:rPr>
            <w:fldChar w:fldCharType="separate"/>
          </w:r>
          <w:r>
            <w:rPr>
              <w:rFonts w:hint="eastAsia" w:ascii="黑体" w:hAnsi="黑体" w:eastAsia="黑体" w:cs="黑体"/>
              <w:sz w:val="28"/>
              <w:szCs w:val="28"/>
            </w:rPr>
            <w:t>7</w:t>
          </w:r>
          <w:r>
            <w:rPr>
              <w:rFonts w:hint="eastAsia" w:ascii="黑体" w:hAnsi="黑体" w:eastAsia="黑体" w:cs="黑体"/>
              <w:sz w:val="28"/>
              <w:szCs w:val="28"/>
            </w:rPr>
            <w:fldChar w:fldCharType="end"/>
          </w:r>
          <w:r>
            <w:rPr>
              <w:rFonts w:hint="eastAsia" w:ascii="黑体" w:hAnsi="黑体" w:eastAsia="黑体" w:cs="黑体"/>
              <w:bCs/>
              <w:sz w:val="28"/>
              <w:szCs w:val="28"/>
              <w:highlight w:val="none"/>
            </w:rPr>
            <w:fldChar w:fldCharType="end"/>
          </w:r>
        </w:p>
        <w:p>
          <w:pPr>
            <w:pStyle w:val="12"/>
            <w:keepNext w:val="0"/>
            <w:keepLines w:val="0"/>
            <w:pageBreakBefore w:val="0"/>
            <w:widowControl w:val="0"/>
            <w:tabs>
              <w:tab w:val="right" w:leader="dot" w:pos="9310"/>
            </w:tabs>
            <w:kinsoku/>
            <w:wordWrap/>
            <w:overflowPunct/>
            <w:topLinePunct w:val="0"/>
            <w:autoSpaceDE w:val="0"/>
            <w:autoSpaceDN w:val="0"/>
            <w:bidi w:val="0"/>
            <w:adjustRightInd/>
            <w:snapToGrid/>
            <w:spacing w:line="360" w:lineRule="auto"/>
            <w:textAlignment w:val="auto"/>
            <w:rPr>
              <w:rFonts w:hint="eastAsia" w:ascii="黑体" w:hAnsi="黑体" w:eastAsia="黑体" w:cs="黑体"/>
              <w:sz w:val="28"/>
              <w:szCs w:val="28"/>
            </w:rPr>
          </w:pPr>
          <w:r>
            <w:rPr>
              <w:rFonts w:hint="eastAsia" w:ascii="黑体" w:hAnsi="黑体" w:eastAsia="黑体" w:cs="黑体"/>
              <w:bCs/>
              <w:sz w:val="28"/>
              <w:szCs w:val="28"/>
              <w:highlight w:val="none"/>
            </w:rPr>
            <w:fldChar w:fldCharType="begin"/>
          </w:r>
          <w:r>
            <w:rPr>
              <w:rFonts w:hint="eastAsia" w:ascii="黑体" w:hAnsi="黑体" w:eastAsia="黑体" w:cs="黑体"/>
              <w:bCs/>
              <w:sz w:val="28"/>
              <w:szCs w:val="28"/>
              <w:highlight w:val="none"/>
            </w:rPr>
            <w:instrText xml:space="preserve"> HYPERLINK \l _Toc32236 </w:instrText>
          </w:r>
          <w:r>
            <w:rPr>
              <w:rFonts w:hint="eastAsia" w:ascii="黑体" w:hAnsi="黑体" w:eastAsia="黑体" w:cs="黑体"/>
              <w:bCs/>
              <w:sz w:val="28"/>
              <w:szCs w:val="28"/>
              <w:highlight w:val="none"/>
            </w:rPr>
            <w:fldChar w:fldCharType="separate"/>
          </w:r>
          <w:r>
            <w:rPr>
              <w:rFonts w:hint="eastAsia" w:ascii="黑体" w:hAnsi="黑体" w:eastAsia="黑体" w:cs="黑体"/>
              <w:bCs/>
              <w:kern w:val="2"/>
              <w:sz w:val="28"/>
              <w:szCs w:val="28"/>
              <w:highlight w:val="none"/>
              <w:lang w:val="en-US" w:bidi="ar-SA"/>
            </w:rPr>
            <w:t>八、</w:t>
          </w:r>
          <w:r>
            <w:rPr>
              <w:rFonts w:hint="eastAsia" w:ascii="黑体" w:hAnsi="黑体" w:eastAsia="黑体" w:cs="黑体"/>
              <w:bCs/>
              <w:sz w:val="28"/>
              <w:szCs w:val="28"/>
              <w:highlight w:val="none"/>
              <w:lang w:val="en-US"/>
            </w:rPr>
            <w:t>废止现行有关地方标准的建议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_Toc32236 \h </w:instrText>
          </w:r>
          <w:r>
            <w:rPr>
              <w:rFonts w:hint="eastAsia" w:ascii="黑体" w:hAnsi="黑体" w:eastAsia="黑体" w:cs="黑体"/>
              <w:sz w:val="28"/>
              <w:szCs w:val="28"/>
            </w:rPr>
            <w:fldChar w:fldCharType="separate"/>
          </w:r>
          <w:r>
            <w:rPr>
              <w:rFonts w:hint="eastAsia" w:ascii="黑体" w:hAnsi="黑体" w:eastAsia="黑体" w:cs="黑体"/>
              <w:sz w:val="28"/>
              <w:szCs w:val="28"/>
            </w:rPr>
            <w:t>8</w:t>
          </w:r>
          <w:r>
            <w:rPr>
              <w:rFonts w:hint="eastAsia" w:ascii="黑体" w:hAnsi="黑体" w:eastAsia="黑体" w:cs="黑体"/>
              <w:sz w:val="28"/>
              <w:szCs w:val="28"/>
            </w:rPr>
            <w:fldChar w:fldCharType="end"/>
          </w:r>
          <w:r>
            <w:rPr>
              <w:rFonts w:hint="eastAsia" w:ascii="黑体" w:hAnsi="黑体" w:eastAsia="黑体" w:cs="黑体"/>
              <w:bCs/>
              <w:sz w:val="28"/>
              <w:szCs w:val="28"/>
              <w:highlight w:val="none"/>
            </w:rPr>
            <w:fldChar w:fldCharType="end"/>
          </w:r>
        </w:p>
        <w:p>
          <w:pPr>
            <w:pStyle w:val="12"/>
            <w:keepNext w:val="0"/>
            <w:keepLines w:val="0"/>
            <w:pageBreakBefore w:val="0"/>
            <w:widowControl w:val="0"/>
            <w:tabs>
              <w:tab w:val="right" w:leader="dot" w:pos="9310"/>
            </w:tabs>
            <w:kinsoku/>
            <w:wordWrap/>
            <w:overflowPunct/>
            <w:topLinePunct w:val="0"/>
            <w:autoSpaceDE w:val="0"/>
            <w:autoSpaceDN w:val="0"/>
            <w:bidi w:val="0"/>
            <w:adjustRightInd/>
            <w:snapToGrid/>
            <w:spacing w:line="360" w:lineRule="auto"/>
            <w:textAlignment w:val="auto"/>
          </w:pPr>
          <w:r>
            <w:rPr>
              <w:rFonts w:hint="eastAsia" w:ascii="黑体" w:hAnsi="黑体" w:eastAsia="黑体" w:cs="黑体"/>
              <w:bCs/>
              <w:sz w:val="28"/>
              <w:szCs w:val="28"/>
              <w:highlight w:val="none"/>
            </w:rPr>
            <w:fldChar w:fldCharType="begin"/>
          </w:r>
          <w:r>
            <w:rPr>
              <w:rFonts w:hint="eastAsia" w:ascii="黑体" w:hAnsi="黑体" w:eastAsia="黑体" w:cs="黑体"/>
              <w:bCs/>
              <w:sz w:val="28"/>
              <w:szCs w:val="28"/>
              <w:highlight w:val="none"/>
            </w:rPr>
            <w:instrText xml:space="preserve"> HYPERLINK \l _Toc24307 </w:instrText>
          </w:r>
          <w:r>
            <w:rPr>
              <w:rFonts w:hint="eastAsia" w:ascii="黑体" w:hAnsi="黑体" w:eastAsia="黑体" w:cs="黑体"/>
              <w:bCs/>
              <w:sz w:val="28"/>
              <w:szCs w:val="28"/>
              <w:highlight w:val="none"/>
            </w:rPr>
            <w:fldChar w:fldCharType="separate"/>
          </w:r>
          <w:r>
            <w:rPr>
              <w:rFonts w:hint="eastAsia" w:ascii="黑体" w:hAnsi="黑体" w:eastAsia="黑体" w:cs="黑体"/>
              <w:bCs/>
              <w:kern w:val="2"/>
              <w:sz w:val="28"/>
              <w:szCs w:val="28"/>
              <w:highlight w:val="none"/>
              <w:lang w:val="en-US" w:bidi="ar-SA"/>
            </w:rPr>
            <w:t>九、其他应予说明的事项</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_Toc24307 \h </w:instrText>
          </w:r>
          <w:r>
            <w:rPr>
              <w:rFonts w:hint="eastAsia" w:ascii="黑体" w:hAnsi="黑体" w:eastAsia="黑体" w:cs="黑体"/>
              <w:sz w:val="28"/>
              <w:szCs w:val="28"/>
            </w:rPr>
            <w:fldChar w:fldCharType="separate"/>
          </w:r>
          <w:r>
            <w:rPr>
              <w:rFonts w:hint="eastAsia" w:ascii="黑体" w:hAnsi="黑体" w:eastAsia="黑体" w:cs="黑体"/>
              <w:sz w:val="28"/>
              <w:szCs w:val="28"/>
            </w:rPr>
            <w:t>8</w:t>
          </w:r>
          <w:r>
            <w:rPr>
              <w:rFonts w:hint="eastAsia" w:ascii="黑体" w:hAnsi="黑体" w:eastAsia="黑体" w:cs="黑体"/>
              <w:sz w:val="28"/>
              <w:szCs w:val="28"/>
            </w:rPr>
            <w:fldChar w:fldCharType="end"/>
          </w:r>
          <w:r>
            <w:rPr>
              <w:rFonts w:hint="eastAsia" w:ascii="黑体" w:hAnsi="黑体" w:eastAsia="黑体" w:cs="黑体"/>
              <w:bCs/>
              <w:sz w:val="28"/>
              <w:szCs w:val="28"/>
              <w:highlight w:val="none"/>
            </w:rPr>
            <w:fldChar w:fldCharType="end"/>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highlight w:val="none"/>
            </w:rPr>
          </w:pPr>
          <w:r>
            <w:rPr>
              <w:rFonts w:hint="eastAsia" w:ascii="黑体" w:hAnsi="黑体" w:eastAsia="黑体" w:cs="黑体"/>
              <w:bCs/>
              <w:szCs w:val="28"/>
              <w:highlight w:val="none"/>
            </w:rPr>
            <w:fldChar w:fldCharType="end"/>
          </w:r>
          <w:bookmarkEnd w:id="0"/>
        </w:p>
      </w:sdtContent>
    </w:sdt>
    <w:p>
      <w:pPr>
        <w:tabs>
          <w:tab w:val="right" w:leader="dot" w:pos="9022"/>
        </w:tabs>
        <w:spacing w:line="520" w:lineRule="exact"/>
        <w:ind w:left="188"/>
        <w:outlineLvl w:val="0"/>
        <w:rPr>
          <w:rFonts w:ascii="仿宋" w:eastAsia="仿宋"/>
          <w:sz w:val="30"/>
          <w:highlight w:val="none"/>
        </w:rPr>
        <w:sectPr>
          <w:footerReference r:id="rId3" w:type="default"/>
          <w:pgSz w:w="11910" w:h="16840"/>
          <w:pgMar w:top="1580" w:right="1200" w:bottom="1180" w:left="1400" w:header="0" w:footer="997" w:gutter="0"/>
          <w:cols w:space="720" w:num="1"/>
          <w:docGrid w:linePitch="299" w:charSpace="0"/>
        </w:sectPr>
      </w:pPr>
    </w:p>
    <w:p>
      <w:pPr>
        <w:autoSpaceDE/>
        <w:autoSpaceDN/>
        <w:adjustRightInd w:val="0"/>
        <w:snapToGrid w:val="0"/>
        <w:spacing w:line="360" w:lineRule="auto"/>
        <w:jc w:val="both"/>
        <w:outlineLvl w:val="0"/>
        <w:rPr>
          <w:rFonts w:hint="default" w:ascii="黑体" w:hAnsi="黑体" w:eastAsia="黑体" w:cs="黑体"/>
          <w:bCs/>
          <w:kern w:val="2"/>
          <w:sz w:val="28"/>
          <w:szCs w:val="28"/>
          <w:highlight w:val="none"/>
          <w:lang w:val="en-US" w:eastAsia="zh-CN" w:bidi="ar-SA"/>
        </w:rPr>
      </w:pPr>
      <w:bookmarkStart w:id="1" w:name="_Toc103781240"/>
      <w:bookmarkStart w:id="2" w:name="_Toc29240"/>
      <w:bookmarkStart w:id="3" w:name="OLE_LINK76"/>
      <w:r>
        <w:rPr>
          <w:rFonts w:hint="eastAsia" w:ascii="黑体" w:hAnsi="黑体" w:eastAsia="黑体" w:cs="黑体"/>
          <w:bCs/>
          <w:kern w:val="2"/>
          <w:sz w:val="28"/>
          <w:szCs w:val="28"/>
          <w:highlight w:val="none"/>
          <w:lang w:val="en-US" w:bidi="ar-SA"/>
        </w:rPr>
        <w:t>一、工作简况</w:t>
      </w:r>
      <w:bookmarkEnd w:id="1"/>
      <w:bookmarkEnd w:id="2"/>
    </w:p>
    <w:bookmarkEnd w:id="3"/>
    <w:p>
      <w:pPr>
        <w:widowControl/>
        <w:autoSpaceDE/>
        <w:autoSpaceDN/>
        <w:adjustRightInd w:val="0"/>
        <w:snapToGrid w:val="0"/>
        <w:spacing w:line="360" w:lineRule="auto"/>
        <w:jc w:val="both"/>
        <w:rPr>
          <w:rFonts w:hint="eastAsia" w:ascii="黑体" w:hAnsi="黑体" w:eastAsia="黑体" w:cs="黑体"/>
          <w:b w:val="0"/>
          <w:bCs w:val="0"/>
          <w:kern w:val="2"/>
          <w:sz w:val="24"/>
          <w:szCs w:val="24"/>
          <w:highlight w:val="none"/>
          <w:lang w:val="en-US" w:bidi="ar-SA"/>
        </w:rPr>
      </w:pPr>
      <w:bookmarkStart w:id="4" w:name="_Toc18648"/>
      <w:r>
        <w:rPr>
          <w:rFonts w:hint="eastAsia" w:ascii="黑体" w:hAnsi="黑体" w:eastAsia="黑体" w:cs="黑体"/>
          <w:b w:val="0"/>
          <w:bCs w:val="0"/>
          <w:kern w:val="2"/>
          <w:sz w:val="24"/>
          <w:szCs w:val="24"/>
          <w:highlight w:val="none"/>
          <w:lang w:val="en-US" w:bidi="ar-SA"/>
        </w:rPr>
        <w:t>1</w:t>
      </w:r>
      <w:r>
        <w:rPr>
          <w:rFonts w:hint="eastAsia" w:ascii="黑体" w:hAnsi="黑体" w:eastAsia="黑体" w:cs="黑体"/>
          <w:b w:val="0"/>
          <w:bCs w:val="0"/>
          <w:kern w:val="2"/>
          <w:sz w:val="24"/>
          <w:szCs w:val="24"/>
          <w:highlight w:val="none"/>
          <w:lang w:val="en-US" w:eastAsia="zh-CN" w:bidi="ar-SA"/>
        </w:rPr>
        <w:t>.1</w:t>
      </w:r>
      <w:r>
        <w:rPr>
          <w:rFonts w:hint="eastAsia" w:ascii="黑体" w:hAnsi="黑体" w:eastAsia="黑体" w:cs="黑体"/>
          <w:b w:val="0"/>
          <w:bCs w:val="0"/>
          <w:kern w:val="2"/>
          <w:sz w:val="24"/>
          <w:szCs w:val="24"/>
          <w:highlight w:val="none"/>
          <w:lang w:val="en-US" w:bidi="ar-SA"/>
        </w:rPr>
        <w:t>任务来源</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根据甘肃省市场监督管理局《关于下达 2024 年度第2批地方标准制修订计划的函》的要求，本标准由甘肃省交通运输厅提出，由甘肃省交通运输标准化技术委员会归口，由甘肃省交通规划勘察设计院股份有限公司承担《桥梁结构监测数据接口技术规范》标准起草工作。</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主要起草单位：甘肃省交通规划勘察设计院股份有限公司</w:t>
      </w:r>
    </w:p>
    <w:p>
      <w:pPr>
        <w:widowControl/>
        <w:autoSpaceDE/>
        <w:autoSpaceDN/>
        <w:adjustRightInd w:val="0"/>
        <w:snapToGrid w:val="0"/>
        <w:spacing w:line="360" w:lineRule="auto"/>
        <w:jc w:val="both"/>
        <w:rPr>
          <w:rFonts w:hint="eastAsia" w:ascii="黑体" w:hAnsi="黑体" w:eastAsia="黑体" w:cs="黑体"/>
          <w:b w:val="0"/>
          <w:bCs w:val="0"/>
          <w:kern w:val="2"/>
          <w:sz w:val="24"/>
          <w:szCs w:val="24"/>
          <w:highlight w:val="none"/>
          <w:lang w:val="en-US" w:bidi="ar-SA"/>
        </w:rPr>
      </w:pPr>
      <w:r>
        <w:rPr>
          <w:rFonts w:hint="eastAsia" w:ascii="黑体" w:hAnsi="黑体" w:eastAsia="黑体" w:cs="黑体"/>
          <w:b w:val="0"/>
          <w:bCs w:val="0"/>
          <w:kern w:val="2"/>
          <w:sz w:val="24"/>
          <w:szCs w:val="24"/>
          <w:highlight w:val="none"/>
          <w:lang w:val="en-US" w:eastAsia="zh-CN" w:bidi="ar-SA"/>
        </w:rPr>
        <w:t>1.2</w:t>
      </w:r>
      <w:r>
        <w:rPr>
          <w:rFonts w:hint="eastAsia" w:ascii="黑体" w:hAnsi="黑体" w:eastAsia="黑体" w:cs="黑体"/>
          <w:b w:val="0"/>
          <w:bCs w:val="0"/>
          <w:kern w:val="2"/>
          <w:sz w:val="24"/>
          <w:szCs w:val="24"/>
          <w:highlight w:val="none"/>
          <w:lang w:val="en-US" w:bidi="ar-SA"/>
        </w:rPr>
        <w:t>协作单位</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本标准由兰州朗青交通科技有限公司、XXXX等协作完成。</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兰州朗青交通科技有限公司成立于2004年，注册资本6500万元，是甘肃省交通规划勘察设计院股份有限公司全资企业，是国家高新技术企业。主要业务涉及智慧交通设计咨询、公路机电施工与运维、软硬件产品开发、信息系统集成，多年来积累了大量的业务经验及服务口碑，具备设计、施工、运维、产品研发一体化集成服务能力。参与完成了多个长大桥梁结构监测系统的软件研发工作，对于桥梁结构监测过程中的数据接入、存储、上报等过程拥有丰富的项目实践经验。</w:t>
      </w:r>
    </w:p>
    <w:p>
      <w:pPr>
        <w:widowControl/>
        <w:autoSpaceDE/>
        <w:autoSpaceDN/>
        <w:adjustRightInd w:val="0"/>
        <w:snapToGrid w:val="0"/>
        <w:spacing w:line="360" w:lineRule="auto"/>
        <w:jc w:val="both"/>
        <w:rPr>
          <w:rFonts w:hint="eastAsia" w:ascii="黑体" w:hAnsi="黑体" w:eastAsia="黑体" w:cs="黑体"/>
          <w:b w:val="0"/>
          <w:bCs w:val="0"/>
          <w:kern w:val="2"/>
          <w:sz w:val="24"/>
          <w:szCs w:val="24"/>
          <w:highlight w:val="none"/>
          <w:lang w:val="en-US" w:eastAsia="zh-CN" w:bidi="ar-SA"/>
        </w:rPr>
      </w:pPr>
      <w:r>
        <w:rPr>
          <w:rFonts w:hint="eastAsia" w:ascii="黑体" w:hAnsi="黑体" w:eastAsia="黑体" w:cs="黑体"/>
          <w:b w:val="0"/>
          <w:bCs w:val="0"/>
          <w:kern w:val="2"/>
          <w:sz w:val="24"/>
          <w:szCs w:val="24"/>
          <w:highlight w:val="none"/>
          <w:lang w:val="en-US" w:eastAsia="zh-CN" w:bidi="ar-SA"/>
        </w:rPr>
        <w:t>1.3规范的必要性及意义</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目前，省内桥梁结构监测数据对接仅停留在指南阶段，主要是对系统的总体设计、系统功能及性能、数据监测内容、监测设施、监测方式进行要求，针对桥梁结构监测数据对接缺少规范标准支撑。</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当前，甘肃省内公路桥梁类型丰富，监测需求各异，不同桥梁结构监测系统架构设计差异较大，各桥梁结构健康监测系统因软硬件施工单位不同，对监测数据的理解和数据对接方式有较大差异。在数据对接方面尚未形成相关的国家标准、行业标准和地方标准，无法为省内桥梁结构监测业务提供有力指导，迫切需要对公路桥梁结构监测数据对接进行统一协调和规范。</w:t>
      </w:r>
    </w:p>
    <w:p>
      <w:pPr>
        <w:widowControl/>
        <w:numPr>
          <w:ilvl w:val="0"/>
          <w:numId w:val="4"/>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响应国家政策，支撑智慧化结构监测</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根据交通运输部印发的《公路长大桥梁结构健康监测系统建设实施方案》（交办公路〔2021〕21 号），甘肃省组织开展长大桥梁结构健康监测系统建设，依照部级《省级公路长大桥梁结构健康监测平台建设技术指南》要求，已建成甘肃省省级公路长大桥梁结构健康监测平台及西固黄河大桥、天宁沟特大桥、刘家峡大桥、孔家寺黄河特大桥、泾河特大桥、河口黄河特大桥、古益沟特大桥等多个桥梁结构监测单桥系统。部级要求桥梁结构健康监测系统建设需实现“部-省-单桥”三级节点联网贯通。通过统一的接口对接能够保障三级节点数据链路稳定高效。</w:t>
      </w:r>
    </w:p>
    <w:p>
      <w:pPr>
        <w:widowControl/>
        <w:numPr>
          <w:ilvl w:val="0"/>
          <w:numId w:val="4"/>
        </w:numPr>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填补省内空白，树立监测数据对接标杆</w:t>
      </w:r>
    </w:p>
    <w:p>
      <w:pPr>
        <w:widowControl/>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目前省内该领域的标准存在空白，本次桥梁结构监测数据接口技术规范的编写符合部级《公路长大桥梁结构健康监测系统建设实施方案》要求，解决了桥梁结构监测系统与省级监测平台数据对接无依据无标准的难题，为我省公路桥梁结构监测提供强有力的支撑。</w:t>
      </w:r>
    </w:p>
    <w:p>
      <w:pPr>
        <w:widowControl/>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（3）规范设计标准，引领技术发展方向</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各桥梁结构监测系统软件架构不同，各自侧重点不同，本规范的编制可以及时沉淀技术成果，结合甘肃省实际情况，以项目为依托，结合实施政策以及实践经验，总结形成设计标准，规范桥梁结构监测数据对接，为全省桥梁结构监测数据交换共享指明方向，推动基于数据分析的桥梁结构监测工程健康有序发展。</w:t>
      </w:r>
    </w:p>
    <w:p>
      <w:pPr>
        <w:widowControl/>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（3）降低技术成本，提升建设质量</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通过统一的接口规范，可以减少不同系统之间的对接成本和重复建设，降低桥梁健康监测系统的运维和管理成本。同时，标准化的数据接口有助于实现系统间的互操作性，提升系统的可维护性和可扩展性，降低长期运行中的技术风险和管理难度，提升整体经济效益，提高桥梁结构监测工程的建设质量。</w:t>
      </w:r>
    </w:p>
    <w:p>
      <w:pPr>
        <w:widowControl/>
        <w:autoSpaceDE/>
        <w:autoSpaceDN/>
        <w:adjustRightInd w:val="0"/>
        <w:snapToGrid w:val="0"/>
        <w:spacing w:line="360" w:lineRule="auto"/>
        <w:jc w:val="both"/>
        <w:rPr>
          <w:rFonts w:hint="eastAsia" w:ascii="黑体" w:hAnsi="黑体" w:eastAsia="黑体" w:cs="黑体"/>
          <w:b w:val="0"/>
          <w:bCs w:val="0"/>
          <w:kern w:val="2"/>
          <w:sz w:val="24"/>
          <w:szCs w:val="24"/>
          <w:highlight w:val="none"/>
          <w:lang w:val="en-US" w:eastAsia="zh-CN" w:bidi="ar-SA"/>
        </w:rPr>
      </w:pPr>
      <w:r>
        <w:rPr>
          <w:rFonts w:hint="eastAsia" w:ascii="黑体" w:hAnsi="黑体" w:eastAsia="黑体" w:cs="黑体"/>
          <w:b w:val="0"/>
          <w:bCs w:val="0"/>
          <w:kern w:val="2"/>
          <w:sz w:val="24"/>
          <w:szCs w:val="24"/>
          <w:highlight w:val="none"/>
          <w:lang w:val="en-US" w:eastAsia="zh-CN" w:bidi="ar-SA"/>
        </w:rPr>
        <w:t>1.4</w:t>
      </w:r>
      <w:r>
        <w:rPr>
          <w:rFonts w:hint="eastAsia" w:ascii="黑体" w:hAnsi="黑体" w:eastAsia="黑体" w:cs="黑体"/>
          <w:b w:val="0"/>
          <w:bCs w:val="0"/>
          <w:kern w:val="2"/>
          <w:sz w:val="24"/>
          <w:szCs w:val="24"/>
          <w:highlight w:val="none"/>
          <w:lang w:val="en-US" w:bidi="ar-SA"/>
        </w:rPr>
        <w:t>主要工作过程</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2024年8月，根据甘肃省市场监督管理局《关于下达 2024 年度第2批地方标准制修订计划的函》的文件要求，成立了标准编制组。商议讨论了本标准编制的基本思路，制定了标准编制的具体方案。</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为保证标准的适用性，标准编制组针对桥梁结构监测过程进行了深入研究，调研了浙江、安徽、江苏、青海等省份的桥梁结构监测数据应用情况及省内桑园子黄河大桥、刘家峡大桥、靖远黄河大桥等多个长大桥梁结构监测系统的数据应用情况、系统架构、数据库设计、数据协议、数据接口字段等内容进行分析和研究。</w:t>
      </w:r>
    </w:p>
    <w:p>
      <w:pPr>
        <w:widowControl/>
        <w:autoSpaceDE/>
        <w:autoSpaceDN/>
        <w:adjustRightInd w:val="0"/>
        <w:snapToGrid w:val="0"/>
        <w:spacing w:line="360" w:lineRule="auto"/>
        <w:jc w:val="both"/>
        <w:rPr>
          <w:rFonts w:hint="eastAsia" w:ascii="黑体" w:hAnsi="黑体" w:eastAsia="黑体" w:cs="黑体"/>
          <w:kern w:val="2"/>
          <w:sz w:val="24"/>
          <w:szCs w:val="24"/>
          <w:lang w:val="en-US" w:bidi="ar-SA"/>
        </w:rPr>
      </w:pPr>
      <w:r>
        <w:rPr>
          <w:rFonts w:hint="eastAsia" w:ascii="黑体" w:hAnsi="黑体" w:eastAsia="黑体" w:cs="黑体"/>
          <w:kern w:val="2"/>
          <w:sz w:val="24"/>
          <w:szCs w:val="24"/>
          <w:lang w:val="en-US" w:bidi="ar-SA"/>
        </w:rPr>
        <w:t>1.4.1项目调研情况</w:t>
      </w:r>
    </w:p>
    <w:p>
      <w:pPr>
        <w:widowControl/>
        <w:numPr>
          <w:ilvl w:val="0"/>
          <w:numId w:val="5"/>
        </w:numPr>
        <w:autoSpaceDE/>
        <w:autoSpaceDN/>
        <w:adjustRightInd w:val="0"/>
        <w:snapToGrid w:val="0"/>
        <w:spacing w:line="360" w:lineRule="auto"/>
        <w:jc w:val="both"/>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省外调研情况</w:t>
      </w:r>
    </w:p>
    <w:p>
      <w:pPr>
        <w:widowControl/>
        <w:autoSpaceDE/>
        <w:autoSpaceDN/>
        <w:adjustRightInd w:val="0"/>
        <w:snapToGrid w:val="0"/>
        <w:spacing w:line="360" w:lineRule="auto"/>
        <w:ind w:firstLine="480" w:firstLineChars="200"/>
        <w:jc w:val="both"/>
        <w:rPr>
          <w:rFonts w:hint="default" w:ascii="宋体" w:hAnsi="宋体" w:eastAsia="宋体" w:cs="宋体"/>
          <w:i w:val="0"/>
          <w:iCs w:val="0"/>
          <w:caps w:val="0"/>
          <w:color w:val="333333"/>
          <w:spacing w:val="0"/>
          <w:sz w:val="24"/>
          <w:szCs w:val="24"/>
          <w:shd w:val="clear" w:fill="FFFFFF"/>
          <w:lang w:val="en-US" w:eastAsia="zh-CN"/>
        </w:rPr>
      </w:pPr>
      <w:r>
        <w:rPr>
          <w:rFonts w:hint="eastAsia" w:ascii="Times New Roman" w:hAnsi="Times New Roman" w:eastAsia="宋体" w:cs="Times New Roman"/>
          <w:kern w:val="2"/>
          <w:sz w:val="24"/>
          <w:szCs w:val="24"/>
          <w:highlight w:val="none"/>
          <w:lang w:val="en-US" w:eastAsia="zh-CN" w:bidi="ar-SA"/>
        </w:rPr>
        <w:t>2025年4月，调研了浙江、安徽、江苏、青海等省份的桥梁结构监测数据应用情况。浙江省在长下坡、大件运输等方面结合桥梁结构监测数据开展了一些探索性的智慧化应用；江苏省建立了养护综合管理平台，对各类养护数据进行统筹管理，并实现了对监测设备区域化管理，监测数据共享共用；安徽省充分利用桥梁结构监测数据，在</w:t>
      </w:r>
      <w:r>
        <w:rPr>
          <w:rFonts w:hint="eastAsia" w:ascii="宋体" w:hAnsi="宋体" w:eastAsia="宋体" w:cs="宋体"/>
          <w:i w:val="0"/>
          <w:iCs w:val="0"/>
          <w:caps w:val="0"/>
          <w:color w:val="333333"/>
          <w:spacing w:val="0"/>
          <w:sz w:val="24"/>
          <w:szCs w:val="24"/>
          <w:shd w:val="clear" w:fill="FFFFFF"/>
        </w:rPr>
        <w:t>数据智能感知与解释、损伤模拟与数字孪生、大数据诊断与评估、桥梁智慧管控与性能提升等</w:t>
      </w:r>
      <w:r>
        <w:rPr>
          <w:rFonts w:hint="eastAsia" w:ascii="宋体" w:hAnsi="宋体" w:eastAsia="宋体" w:cs="宋体"/>
          <w:i w:val="0"/>
          <w:iCs w:val="0"/>
          <w:caps w:val="0"/>
          <w:color w:val="333333"/>
          <w:spacing w:val="0"/>
          <w:sz w:val="24"/>
          <w:szCs w:val="24"/>
          <w:shd w:val="clear" w:fill="FFFFFF"/>
          <w:lang w:val="en-US" w:eastAsia="zh-CN"/>
        </w:rPr>
        <w:t>应用场景中有很大程度提升；青海省重点在传感器布设、监测内容等方面细化了监测内容。</w:t>
      </w:r>
    </w:p>
    <w:p>
      <w:pPr>
        <w:widowControl/>
        <w:numPr>
          <w:ilvl w:val="0"/>
          <w:numId w:val="0"/>
        </w:numPr>
        <w:autoSpaceDE/>
        <w:autoSpaceDN/>
        <w:adjustRightInd w:val="0"/>
        <w:snapToGrid w:val="0"/>
        <w:spacing w:line="360" w:lineRule="auto"/>
        <w:jc w:val="center"/>
        <w:rPr>
          <w:rFonts w:hint="eastAsia" w:ascii="黑体" w:hAnsi="黑体" w:eastAsia="仿宋_GB2312" w:cs="黑体"/>
          <w:kern w:val="2"/>
          <w:sz w:val="24"/>
          <w:szCs w:val="24"/>
          <w:lang w:val="en-US" w:eastAsia="zh-CN" w:bidi="ar-SA"/>
        </w:rPr>
      </w:pPr>
      <w:r>
        <w:drawing>
          <wp:inline distT="0" distB="0" distL="114300" distR="114300">
            <wp:extent cx="2097405" cy="1115695"/>
            <wp:effectExtent l="0" t="0" r="17145" b="8255"/>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pic:cNvPicPr>
                  </pic:nvPicPr>
                  <pic:blipFill>
                    <a:blip r:embed="rId6"/>
                    <a:stretch>
                      <a:fillRect/>
                    </a:stretch>
                  </pic:blipFill>
                  <pic:spPr>
                    <a:xfrm>
                      <a:off x="0" y="0"/>
                      <a:ext cx="2097405" cy="1115695"/>
                    </a:xfrm>
                    <a:prstGeom prst="rect">
                      <a:avLst/>
                    </a:prstGeom>
                    <a:noFill/>
                    <a:ln>
                      <a:noFill/>
                    </a:ln>
                  </pic:spPr>
                </pic:pic>
              </a:graphicData>
            </a:graphic>
          </wp:inline>
        </w:drawing>
      </w:r>
      <w:r>
        <w:rPr>
          <w:rFonts w:hint="eastAsia" w:ascii="黑体" w:hAnsi="黑体" w:eastAsia="仿宋_GB2312" w:cs="黑体"/>
          <w:kern w:val="2"/>
          <w:sz w:val="24"/>
          <w:szCs w:val="24"/>
          <w:lang w:val="en-US" w:eastAsia="zh-CN" w:bidi="ar-SA"/>
        </w:rPr>
        <w:drawing>
          <wp:inline distT="0" distB="0" distL="114300" distR="114300">
            <wp:extent cx="1490980" cy="1119505"/>
            <wp:effectExtent l="0" t="0" r="13970" b="4445"/>
            <wp:docPr id="2" name="图片 2" descr="552eb0fd321499886deb0812a97a17b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552eb0fd321499886deb0812a97a17b8"/>
                    <pic:cNvPicPr>
                      <a:picLocks noChangeAspect="true"/>
                    </pic:cNvPicPr>
                  </pic:nvPicPr>
                  <pic:blipFill>
                    <a:blip r:embed="rId7"/>
                    <a:stretch>
                      <a:fillRect/>
                    </a:stretch>
                  </pic:blipFill>
                  <pic:spPr>
                    <a:xfrm>
                      <a:off x="0" y="0"/>
                      <a:ext cx="1490980" cy="1119505"/>
                    </a:xfrm>
                    <a:prstGeom prst="rect">
                      <a:avLst/>
                    </a:prstGeom>
                  </pic:spPr>
                </pic:pic>
              </a:graphicData>
            </a:graphic>
          </wp:inline>
        </w:drawing>
      </w:r>
      <w:r>
        <w:drawing>
          <wp:inline distT="0" distB="0" distL="114300" distR="114300">
            <wp:extent cx="1656715" cy="1107440"/>
            <wp:effectExtent l="0" t="0" r="635" b="16510"/>
            <wp:docPr id="4"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true"/>
                    </pic:cNvPicPr>
                  </pic:nvPicPr>
                  <pic:blipFill>
                    <a:blip r:embed="rId8"/>
                    <a:stretch>
                      <a:fillRect/>
                    </a:stretch>
                  </pic:blipFill>
                  <pic:spPr>
                    <a:xfrm>
                      <a:off x="0" y="0"/>
                      <a:ext cx="1656715" cy="1107440"/>
                    </a:xfrm>
                    <a:prstGeom prst="rect">
                      <a:avLst/>
                    </a:prstGeom>
                    <a:noFill/>
                    <a:ln>
                      <a:noFill/>
                    </a:ln>
                  </pic:spPr>
                </pic:pic>
              </a:graphicData>
            </a:graphic>
          </wp:inline>
        </w:drawing>
      </w:r>
    </w:p>
    <w:p>
      <w:pPr>
        <w:spacing w:line="360" w:lineRule="auto"/>
        <w:jc w:val="center"/>
        <w:rPr>
          <w:rFonts w:hint="eastAsia" w:ascii="黑体" w:hAnsi="黑体" w:eastAsia="仿宋_GB2312" w:cs="黑体"/>
          <w:kern w:val="2"/>
          <w:sz w:val="24"/>
          <w:szCs w:val="24"/>
          <w:lang w:val="en-US" w:eastAsia="zh-CN" w:bidi="ar-SA"/>
        </w:rPr>
      </w:pPr>
      <w:r>
        <w:rPr>
          <w:rFonts w:hint="eastAsia" w:ascii="Times New Roman" w:hAnsi="Times New Roman" w:eastAsia="仿宋" w:cs="Times New Roman"/>
          <w:b/>
          <w:bCs/>
          <w:color w:val="000000"/>
          <w:sz w:val="21"/>
          <w:szCs w:val="21"/>
          <w:lang w:val="en-US"/>
        </w:rPr>
        <w:t xml:space="preserve">图1  </w:t>
      </w:r>
      <w:r>
        <w:rPr>
          <w:rFonts w:hint="eastAsia" w:ascii="Times New Roman" w:hAnsi="Times New Roman" w:eastAsia="仿宋" w:cs="Times New Roman"/>
          <w:b/>
          <w:bCs/>
          <w:color w:val="000000"/>
          <w:sz w:val="21"/>
          <w:szCs w:val="21"/>
          <w:lang w:val="en-US" w:eastAsia="zh-CN"/>
        </w:rPr>
        <w:t>对外省桥梁结构监测数据应用方面的调研</w:t>
      </w:r>
    </w:p>
    <w:p>
      <w:pPr>
        <w:widowControl/>
        <w:numPr>
          <w:ilvl w:val="0"/>
          <w:numId w:val="5"/>
        </w:numPr>
        <w:autoSpaceDE/>
        <w:autoSpaceDN/>
        <w:adjustRightInd w:val="0"/>
        <w:snapToGrid w:val="0"/>
        <w:spacing w:line="360" w:lineRule="auto"/>
        <w:jc w:val="both"/>
        <w:rPr>
          <w:rFonts w:hint="default"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省内调研情况</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2024年12月，对省内刘家峡黄河大桥、桑园子黄河大桥、西固黄河大桥、靖远黄河大桥等多座具有代表性的桥梁结构监测系统数据应用情况进行了调研，刘家峡黄河大桥将桥梁结构监测数据与治超联网相结合，通过桥梁结构监测中的重载交通数据构建了“预警+现场”联合治超的新模式；桑园子黄河大桥传感器规模庞大，高频传感器数量较多，数据量极大，对数据传输及处置的即时性要求较高。各桥的桥梁结构监测系统在数据的处理和传输方式上有较大差异，在与省级平台对接数据过程中发现了一些数据字段、参数等方面的问题。</w:t>
      </w:r>
    </w:p>
    <w:p>
      <w:pPr>
        <w:widowControl/>
        <w:autoSpaceDE/>
        <w:autoSpaceDN/>
        <w:adjustRightInd w:val="0"/>
        <w:snapToGrid w:val="0"/>
        <w:spacing w:line="360" w:lineRule="auto"/>
        <w:ind w:firstLine="440" w:firstLineChars="200"/>
        <w:jc w:val="left"/>
      </w:pPr>
      <w:r>
        <w:drawing>
          <wp:inline distT="0" distB="0" distL="114300" distR="114300">
            <wp:extent cx="1651635" cy="966470"/>
            <wp:effectExtent l="0" t="0" r="5715" b="5080"/>
            <wp:docPr id="8"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true"/>
                    </pic:cNvPicPr>
                  </pic:nvPicPr>
                  <pic:blipFill>
                    <a:blip r:embed="rId9"/>
                    <a:stretch>
                      <a:fillRect/>
                    </a:stretch>
                  </pic:blipFill>
                  <pic:spPr>
                    <a:xfrm>
                      <a:off x="0" y="0"/>
                      <a:ext cx="1651635" cy="966470"/>
                    </a:xfrm>
                    <a:prstGeom prst="rect">
                      <a:avLst/>
                    </a:prstGeom>
                    <a:noFill/>
                    <a:ln>
                      <a:noFill/>
                    </a:ln>
                  </pic:spPr>
                </pic:pic>
              </a:graphicData>
            </a:graphic>
          </wp:inline>
        </w:drawing>
      </w:r>
      <w:r>
        <w:drawing>
          <wp:inline distT="0" distB="0" distL="114300" distR="114300">
            <wp:extent cx="1499235" cy="969010"/>
            <wp:effectExtent l="0" t="0" r="5715" b="2540"/>
            <wp:docPr id="6"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true"/>
                    </pic:cNvPicPr>
                  </pic:nvPicPr>
                  <pic:blipFill>
                    <a:blip r:embed="rId10"/>
                    <a:stretch>
                      <a:fillRect/>
                    </a:stretch>
                  </pic:blipFill>
                  <pic:spPr>
                    <a:xfrm>
                      <a:off x="0" y="0"/>
                      <a:ext cx="1499235" cy="969010"/>
                    </a:xfrm>
                    <a:prstGeom prst="rect">
                      <a:avLst/>
                    </a:prstGeom>
                    <a:noFill/>
                    <a:ln>
                      <a:noFill/>
                    </a:ln>
                  </pic:spPr>
                </pic:pic>
              </a:graphicData>
            </a:graphic>
          </wp:inline>
        </w:drawing>
      </w:r>
      <w:r>
        <w:drawing>
          <wp:inline distT="0" distB="0" distL="114300" distR="114300">
            <wp:extent cx="2220595" cy="959485"/>
            <wp:effectExtent l="0" t="0" r="8255" b="12065"/>
            <wp:docPr id="10"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true"/>
                    </pic:cNvPicPr>
                  </pic:nvPicPr>
                  <pic:blipFill>
                    <a:blip r:embed="rId11"/>
                    <a:stretch>
                      <a:fillRect/>
                    </a:stretch>
                  </pic:blipFill>
                  <pic:spPr>
                    <a:xfrm>
                      <a:off x="0" y="0"/>
                      <a:ext cx="2220595" cy="959485"/>
                    </a:xfrm>
                    <a:prstGeom prst="rect">
                      <a:avLst/>
                    </a:prstGeom>
                    <a:noFill/>
                    <a:ln>
                      <a:noFill/>
                    </a:ln>
                  </pic:spPr>
                </pic:pic>
              </a:graphicData>
            </a:graphic>
          </wp:inline>
        </w:drawing>
      </w:r>
    </w:p>
    <w:p>
      <w:pPr>
        <w:spacing w:line="360" w:lineRule="auto"/>
        <w:jc w:val="center"/>
        <w:rPr>
          <w:rFonts w:hint="eastAsia" w:ascii="黑体" w:hAnsi="黑体" w:eastAsia="黑体" w:cs="黑体"/>
          <w:kern w:val="2"/>
          <w:sz w:val="24"/>
          <w:szCs w:val="24"/>
          <w:lang w:val="en-US" w:bidi="ar-SA"/>
        </w:rPr>
      </w:pPr>
      <w:r>
        <w:rPr>
          <w:rFonts w:hint="eastAsia" w:ascii="Times New Roman" w:hAnsi="Times New Roman" w:eastAsia="仿宋" w:cs="Times New Roman"/>
          <w:b/>
          <w:bCs/>
          <w:color w:val="000000"/>
          <w:sz w:val="21"/>
          <w:szCs w:val="21"/>
          <w:lang w:val="en-US"/>
        </w:rPr>
        <w:t>图</w:t>
      </w:r>
      <w:r>
        <w:rPr>
          <w:rFonts w:hint="eastAsia" w:ascii="Times New Roman" w:hAnsi="Times New Roman" w:eastAsia="仿宋" w:cs="Times New Roman"/>
          <w:b/>
          <w:bCs/>
          <w:color w:val="000000"/>
          <w:sz w:val="21"/>
          <w:szCs w:val="21"/>
          <w:lang w:val="en-US" w:eastAsia="zh-CN"/>
        </w:rPr>
        <w:t>2</w:t>
      </w:r>
      <w:r>
        <w:rPr>
          <w:rFonts w:hint="eastAsia" w:ascii="Times New Roman" w:hAnsi="Times New Roman" w:eastAsia="仿宋" w:cs="Times New Roman"/>
          <w:b/>
          <w:bCs/>
          <w:color w:val="000000"/>
          <w:sz w:val="21"/>
          <w:szCs w:val="21"/>
          <w:lang w:val="en-US"/>
        </w:rPr>
        <w:t xml:space="preserve">  </w:t>
      </w:r>
      <w:r>
        <w:rPr>
          <w:rFonts w:hint="eastAsia" w:ascii="Times New Roman" w:hAnsi="Times New Roman" w:eastAsia="仿宋" w:cs="Times New Roman"/>
          <w:b/>
          <w:bCs/>
          <w:color w:val="000000"/>
          <w:sz w:val="21"/>
          <w:szCs w:val="21"/>
          <w:lang w:val="en-US" w:eastAsia="zh-CN"/>
        </w:rPr>
        <w:t>对省内桥梁结构监测数据应用方面的调研</w:t>
      </w:r>
    </w:p>
    <w:p>
      <w:pPr>
        <w:widowControl/>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综合调研情况，不同桥梁结构监测系统建设侧重点不同，系统建设缺少对应的规范及标准支撑，已建成的桥梁结构监测系统在数据处理、上报方面数据形式差异较大，随着桥梁结构监测项目的</w:t>
      </w:r>
      <w:r>
        <w:rPr>
          <w:rFonts w:hint="default" w:ascii="Times New Roman" w:hAnsi="Times New Roman" w:eastAsia="宋体" w:cs="Times New Roman"/>
          <w:kern w:val="2"/>
          <w:sz w:val="24"/>
          <w:szCs w:val="24"/>
          <w:highlight w:val="none"/>
          <w:lang w:val="en-US" w:eastAsia="zh-CN" w:bidi="ar-SA"/>
        </w:rPr>
        <w:t>逐渐增多，迫切需要</w:t>
      </w:r>
      <w:r>
        <w:rPr>
          <w:rFonts w:hint="eastAsia" w:ascii="Times New Roman" w:hAnsi="Times New Roman" w:eastAsia="宋体" w:cs="Times New Roman"/>
          <w:kern w:val="2"/>
          <w:sz w:val="24"/>
          <w:szCs w:val="24"/>
          <w:highlight w:val="none"/>
          <w:lang w:val="en-US" w:eastAsia="zh-CN" w:bidi="ar-SA"/>
        </w:rPr>
        <w:t>对桥梁结构监测系统在数据交换方面的数据接口做</w:t>
      </w:r>
      <w:r>
        <w:rPr>
          <w:rFonts w:hint="default" w:ascii="Times New Roman" w:hAnsi="Times New Roman" w:eastAsia="宋体" w:cs="Times New Roman"/>
          <w:kern w:val="2"/>
          <w:sz w:val="24"/>
          <w:szCs w:val="24"/>
          <w:highlight w:val="none"/>
          <w:lang w:val="en-US" w:eastAsia="zh-CN" w:bidi="ar-SA"/>
        </w:rPr>
        <w:t>统一的协调和规范。</w:t>
      </w:r>
    </w:p>
    <w:p>
      <w:pPr>
        <w:widowControl/>
        <w:autoSpaceDE/>
        <w:autoSpaceDN/>
        <w:adjustRightInd w:val="0"/>
        <w:snapToGrid w:val="0"/>
        <w:spacing w:line="360" w:lineRule="auto"/>
        <w:jc w:val="both"/>
        <w:rPr>
          <w:rFonts w:hint="default" w:ascii="Times New Roman" w:hAnsi="Times New Roman" w:eastAsia="宋体" w:cs="Times New Roman"/>
          <w:kern w:val="2"/>
          <w:sz w:val="24"/>
          <w:szCs w:val="24"/>
          <w:highlight w:val="none"/>
          <w:lang w:val="en-US" w:eastAsia="zh-CN" w:bidi="ar-SA"/>
        </w:rPr>
      </w:pPr>
      <w:r>
        <w:rPr>
          <w:rFonts w:hint="eastAsia" w:ascii="黑体" w:hAnsi="黑体" w:eastAsia="黑体" w:cs="黑体"/>
          <w:b w:val="0"/>
          <w:bCs w:val="0"/>
          <w:kern w:val="2"/>
          <w:sz w:val="24"/>
          <w:szCs w:val="24"/>
          <w:highlight w:val="none"/>
          <w:lang w:val="en-US" w:eastAsia="zh-CN" w:bidi="ar-SA"/>
        </w:rPr>
        <w:t>1.4.2</w:t>
      </w:r>
      <w:r>
        <w:rPr>
          <w:rFonts w:hint="eastAsia" w:ascii="黑体" w:hAnsi="黑体" w:eastAsia="黑体" w:cs="黑体"/>
          <w:b w:val="0"/>
          <w:bCs w:val="0"/>
          <w:kern w:val="2"/>
          <w:sz w:val="24"/>
          <w:szCs w:val="24"/>
          <w:highlight w:val="none"/>
          <w:lang w:val="en-US" w:bidi="ar-SA"/>
        </w:rPr>
        <w:t>主要工作过程</w:t>
      </w:r>
    </w:p>
    <w:p>
      <w:pPr>
        <w:widowControl/>
        <w:autoSpaceDE/>
        <w:autoSpaceDN/>
        <w:adjustRightInd w:val="0"/>
        <w:snapToGrid w:val="0"/>
        <w:spacing w:line="360" w:lineRule="auto"/>
        <w:ind w:firstLine="480" w:firstLineChars="200"/>
        <w:jc w:val="both"/>
        <w:rPr>
          <w:rFonts w:ascii="Times New Roman" w:hAnsi="Times New Roman" w:eastAsia="宋体" w:cs="Times New Roman"/>
          <w:kern w:val="2"/>
          <w:sz w:val="24"/>
          <w:szCs w:val="24"/>
          <w:lang w:val="en-US" w:bidi="ar-SA"/>
        </w:rPr>
      </w:pPr>
      <w:r>
        <w:rPr>
          <w:rFonts w:ascii="Times New Roman" w:hAnsi="Times New Roman" w:eastAsia="宋体" w:cs="Times New Roman"/>
          <w:kern w:val="2"/>
          <w:sz w:val="24"/>
          <w:szCs w:val="24"/>
          <w:lang w:val="en-US" w:bidi="ar-SA"/>
        </w:rPr>
        <w:t>编制组充分考虑</w:t>
      </w:r>
      <w:r>
        <w:rPr>
          <w:rFonts w:hint="eastAsia" w:ascii="Times New Roman" w:hAnsi="Times New Roman" w:eastAsia="宋体" w:cs="Times New Roman"/>
          <w:kern w:val="2"/>
          <w:sz w:val="24"/>
          <w:szCs w:val="24"/>
          <w:lang w:val="en-US" w:eastAsia="zh-CN" w:bidi="ar-SA"/>
        </w:rPr>
        <w:t>数据的稳定性、安全性、可靠谱等要求，结合部级《</w:t>
      </w:r>
      <w:r>
        <w:rPr>
          <w:rFonts w:hint="eastAsia" w:ascii="Times New Roman" w:hAnsi="Times New Roman" w:eastAsia="宋体" w:cs="Times New Roman"/>
          <w:kern w:val="2"/>
          <w:sz w:val="24"/>
          <w:szCs w:val="24"/>
          <w:highlight w:val="none"/>
          <w:lang w:val="en-US" w:eastAsia="zh-CN" w:bidi="ar-SA"/>
        </w:rPr>
        <w:t>省级公路长大桥梁结构健康监测平台建设技术指南</w:t>
      </w:r>
      <w:r>
        <w:rPr>
          <w:rFonts w:hint="eastAsia" w:ascii="Times New Roman" w:hAnsi="Times New Roman" w:eastAsia="宋体" w:cs="Times New Roman"/>
          <w:kern w:val="2"/>
          <w:sz w:val="24"/>
          <w:szCs w:val="24"/>
          <w:lang w:val="en-US" w:eastAsia="zh-CN" w:bidi="ar-SA"/>
        </w:rPr>
        <w:t>》中对省级平台的建设要求，综合考虑不同结构的桥梁对应的不同监测内容，针对“部级平台—省级平台—单桥系统”数据链路特点，</w:t>
      </w:r>
      <w:r>
        <w:rPr>
          <w:rFonts w:ascii="Times New Roman" w:hAnsi="Times New Roman" w:eastAsia="宋体" w:cs="Times New Roman"/>
          <w:kern w:val="2"/>
          <w:sz w:val="24"/>
          <w:szCs w:val="24"/>
          <w:lang w:val="en-US" w:bidi="ar-SA"/>
        </w:rPr>
        <w:t>确定了标准</w:t>
      </w:r>
      <w:r>
        <w:rPr>
          <w:rFonts w:hint="eastAsia" w:ascii="Times New Roman" w:hAnsi="Times New Roman" w:eastAsia="宋体" w:cs="Times New Roman"/>
          <w:kern w:val="2"/>
          <w:sz w:val="24"/>
          <w:szCs w:val="24"/>
          <w:lang w:val="en-US" w:bidi="ar-SA"/>
        </w:rPr>
        <w:t>的主要内容。大纲审批通过</w:t>
      </w:r>
      <w:r>
        <w:rPr>
          <w:rFonts w:hint="eastAsia" w:ascii="Times New Roman" w:hAnsi="Times New Roman" w:eastAsia="宋体" w:cs="Times New Roman"/>
          <w:kern w:val="2"/>
          <w:sz w:val="24"/>
          <w:szCs w:val="24"/>
          <w:lang w:val="en-US" w:eastAsia="zh-CN" w:bidi="ar-SA"/>
        </w:rPr>
        <w:t>后</w:t>
      </w:r>
      <w:r>
        <w:rPr>
          <w:rFonts w:hint="eastAsia" w:ascii="Times New Roman" w:hAnsi="Times New Roman" w:eastAsia="宋体" w:cs="Times New Roman"/>
          <w:kern w:val="2"/>
          <w:sz w:val="24"/>
          <w:szCs w:val="24"/>
          <w:lang w:val="en-US" w:bidi="ar-SA"/>
        </w:rPr>
        <w:t>，</w:t>
      </w:r>
      <w:r>
        <w:rPr>
          <w:rFonts w:hint="eastAsia" w:ascii="Times New Roman" w:hAnsi="Times New Roman" w:eastAsia="宋体" w:cs="Times New Roman"/>
          <w:kern w:val="2"/>
          <w:sz w:val="24"/>
          <w:szCs w:val="24"/>
          <w:lang w:val="en-US" w:eastAsia="zh-CN" w:bidi="ar-SA"/>
        </w:rPr>
        <w:t>编制组根据省内外调研情况，对桥梁结构监测数据中不同监测类型的传感器监测数据以及结构报警等业务处置过程数据的数据交换共享思路及方案组织了多次组内讨论会，重点针对规范的章节布置、数据对接范围、数据传输内容、数据接口协议、数据安全性等方面进行了讨论，同时结合</w:t>
      </w:r>
      <w:r>
        <w:rPr>
          <w:rFonts w:hint="eastAsia" w:ascii="Times New Roman" w:hAnsi="Times New Roman" w:eastAsia="宋体" w:cs="Times New Roman"/>
          <w:kern w:val="2"/>
          <w:sz w:val="24"/>
          <w:szCs w:val="24"/>
          <w:lang w:val="en-US" w:bidi="ar-SA"/>
        </w:rPr>
        <w:t>评审会专家意见，形成征求意见稿。根据征集到的意见和建议，编制组对标准做了进一步修改和完善，最终形成标准送审稿。</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lang w:val="en-US" w:bidi="ar-SA"/>
        </w:rPr>
      </w:pPr>
      <w:r>
        <w:rPr>
          <w:rFonts w:hint="eastAsia" w:ascii="Times New Roman" w:hAnsi="Times New Roman" w:eastAsia="宋体" w:cs="Times New Roman"/>
          <w:kern w:val="2"/>
          <w:sz w:val="24"/>
          <w:szCs w:val="24"/>
          <w:lang w:val="en-US" w:bidi="ar-SA"/>
        </w:rPr>
        <w:t>项目立项：202</w:t>
      </w:r>
      <w:r>
        <w:rPr>
          <w:rFonts w:hint="eastAsia" w:ascii="Times New Roman" w:hAnsi="Times New Roman" w:eastAsia="宋体" w:cs="Times New Roman"/>
          <w:kern w:val="2"/>
          <w:sz w:val="24"/>
          <w:szCs w:val="24"/>
          <w:lang w:val="en-US" w:eastAsia="zh-CN" w:bidi="ar-SA"/>
        </w:rPr>
        <w:t>4</w:t>
      </w:r>
      <w:r>
        <w:rPr>
          <w:rFonts w:hint="eastAsia" w:ascii="Times New Roman" w:hAnsi="Times New Roman" w:eastAsia="宋体" w:cs="Times New Roman"/>
          <w:kern w:val="2"/>
          <w:sz w:val="24"/>
          <w:szCs w:val="24"/>
          <w:lang w:val="en-US" w:bidi="ar-SA"/>
        </w:rPr>
        <w:t>年</w:t>
      </w:r>
      <w:r>
        <w:rPr>
          <w:rFonts w:hint="eastAsia" w:ascii="Times New Roman" w:hAnsi="Times New Roman" w:eastAsia="宋体" w:cs="Times New Roman"/>
          <w:kern w:val="2"/>
          <w:sz w:val="24"/>
          <w:szCs w:val="24"/>
          <w:lang w:val="en-US" w:eastAsia="zh-CN" w:bidi="ar-SA"/>
        </w:rPr>
        <w:t>7</w:t>
      </w:r>
      <w:r>
        <w:rPr>
          <w:rFonts w:hint="eastAsia" w:ascii="Times New Roman" w:hAnsi="Times New Roman" w:eastAsia="宋体" w:cs="Times New Roman"/>
          <w:kern w:val="2"/>
          <w:sz w:val="24"/>
          <w:szCs w:val="24"/>
          <w:lang w:val="en-US" w:bidi="ar-SA"/>
        </w:rPr>
        <w:t>月</w:t>
      </w:r>
      <w:r>
        <w:rPr>
          <w:rFonts w:hint="eastAsia" w:ascii="Times New Roman" w:hAnsi="Times New Roman" w:eastAsia="宋体" w:cs="Times New Roman"/>
          <w:kern w:val="2"/>
          <w:sz w:val="24"/>
          <w:szCs w:val="24"/>
          <w:lang w:val="en-US" w:eastAsia="zh-CN" w:bidi="ar-SA"/>
        </w:rPr>
        <w:t>22</w:t>
      </w:r>
      <w:r>
        <w:rPr>
          <w:rFonts w:hint="eastAsia" w:ascii="Times New Roman" w:hAnsi="Times New Roman" w:eastAsia="宋体" w:cs="Times New Roman"/>
          <w:kern w:val="2"/>
          <w:sz w:val="24"/>
          <w:szCs w:val="24"/>
          <w:lang w:val="en-US" w:bidi="ar-SA"/>
        </w:rPr>
        <w:t>日，甘肃省市场监督管理局印发了《</w:t>
      </w:r>
      <w:r>
        <w:rPr>
          <w:rFonts w:hint="eastAsia" w:ascii="Times New Roman" w:hAnsi="Times New Roman" w:eastAsia="宋体" w:cs="Times New Roman"/>
          <w:kern w:val="2"/>
          <w:sz w:val="24"/>
          <w:szCs w:val="24"/>
          <w:lang w:val="en-US" w:eastAsia="zh-CN" w:bidi="ar-SA"/>
        </w:rPr>
        <w:t xml:space="preserve">关于下达 </w:t>
      </w:r>
      <w:r>
        <w:rPr>
          <w:rFonts w:hint="default" w:ascii="Times New Roman" w:hAnsi="Times New Roman" w:eastAsia="宋体" w:cs="Times New Roman"/>
          <w:kern w:val="2"/>
          <w:sz w:val="24"/>
          <w:szCs w:val="24"/>
          <w:lang w:val="en-US" w:eastAsia="zh-CN" w:bidi="ar-SA"/>
        </w:rPr>
        <w:t xml:space="preserve">2024 </w:t>
      </w:r>
      <w:r>
        <w:rPr>
          <w:rFonts w:hint="eastAsia" w:ascii="Times New Roman" w:hAnsi="Times New Roman" w:eastAsia="宋体" w:cs="Times New Roman"/>
          <w:kern w:val="2"/>
          <w:sz w:val="24"/>
          <w:szCs w:val="24"/>
          <w:lang w:val="en-US" w:eastAsia="zh-CN" w:bidi="ar-SA"/>
        </w:rPr>
        <w:t>年度第</w:t>
      </w:r>
      <w:r>
        <w:rPr>
          <w:rFonts w:hint="default" w:ascii="Times New Roman" w:hAnsi="Times New Roman" w:eastAsia="宋体" w:cs="Times New Roman"/>
          <w:kern w:val="2"/>
          <w:sz w:val="24"/>
          <w:szCs w:val="24"/>
          <w:lang w:val="en-US" w:eastAsia="zh-CN" w:bidi="ar-SA"/>
        </w:rPr>
        <w:t>2</w:t>
      </w:r>
      <w:r>
        <w:rPr>
          <w:rFonts w:hint="eastAsia" w:ascii="Times New Roman" w:hAnsi="Times New Roman" w:eastAsia="宋体" w:cs="Times New Roman"/>
          <w:kern w:val="2"/>
          <w:sz w:val="24"/>
          <w:szCs w:val="24"/>
          <w:lang w:val="en-US" w:eastAsia="zh-CN" w:bidi="ar-SA"/>
        </w:rPr>
        <w:t>批地方标准制修订计划的函</w:t>
      </w:r>
      <w:r>
        <w:rPr>
          <w:rFonts w:hint="eastAsia" w:ascii="Times New Roman" w:hAnsi="Times New Roman" w:eastAsia="宋体" w:cs="Times New Roman"/>
          <w:kern w:val="2"/>
          <w:sz w:val="24"/>
          <w:szCs w:val="24"/>
          <w:lang w:val="en-US" w:bidi="ar-SA"/>
        </w:rPr>
        <w:t>》文件，地方标准《桥梁结构监测数据接</w:t>
      </w:r>
      <w:r>
        <w:rPr>
          <w:rFonts w:hint="eastAsia" w:ascii="Times New Roman" w:hAnsi="Times New Roman" w:eastAsia="宋体" w:cs="Times New Roman"/>
          <w:kern w:val="2"/>
          <w:sz w:val="24"/>
          <w:szCs w:val="24"/>
          <w:lang w:val="en-US" w:eastAsia="zh-CN" w:bidi="ar-SA"/>
        </w:rPr>
        <w:t>口</w:t>
      </w:r>
      <w:r>
        <w:rPr>
          <w:rFonts w:hint="eastAsia" w:ascii="Times New Roman" w:hAnsi="Times New Roman" w:eastAsia="宋体" w:cs="Times New Roman"/>
          <w:kern w:val="2"/>
          <w:sz w:val="24"/>
          <w:szCs w:val="24"/>
          <w:lang w:val="en-US" w:bidi="ar-SA"/>
        </w:rPr>
        <w:t>技术规范》正式立项成立。</w:t>
      </w:r>
    </w:p>
    <w:p>
      <w:pPr>
        <w:widowControl/>
        <w:autoSpaceDE/>
        <w:autoSpaceDN/>
        <w:adjustRightInd w:val="0"/>
        <w:snapToGrid w:val="0"/>
        <w:spacing w:line="360" w:lineRule="auto"/>
        <w:ind w:firstLine="480" w:firstLineChars="200"/>
        <w:jc w:val="both"/>
        <w:rPr>
          <w:rFonts w:ascii="Times New Roman" w:hAnsi="Times New Roman" w:eastAsia="宋体" w:cs="Times New Roman"/>
          <w:kern w:val="2"/>
          <w:sz w:val="24"/>
          <w:szCs w:val="24"/>
          <w:lang w:val="en-US" w:bidi="ar-SA"/>
        </w:rPr>
      </w:pPr>
      <w:r>
        <w:rPr>
          <w:rFonts w:hint="eastAsia" w:ascii="Times New Roman" w:hAnsi="Times New Roman" w:eastAsia="宋体" w:cs="Times New Roman"/>
          <w:kern w:val="2"/>
          <w:sz w:val="24"/>
          <w:szCs w:val="24"/>
          <w:lang w:val="en-US" w:bidi="ar-SA"/>
        </w:rPr>
        <w:t>标准启动会：202</w:t>
      </w:r>
      <w:r>
        <w:rPr>
          <w:rFonts w:ascii="Times New Roman" w:hAnsi="Times New Roman" w:eastAsia="宋体" w:cs="Times New Roman"/>
          <w:kern w:val="2"/>
          <w:sz w:val="24"/>
          <w:szCs w:val="24"/>
          <w:lang w:val="en-US" w:bidi="ar-SA"/>
        </w:rPr>
        <w:t>4</w:t>
      </w:r>
      <w:r>
        <w:rPr>
          <w:rFonts w:hint="eastAsia" w:ascii="Times New Roman" w:hAnsi="Times New Roman" w:eastAsia="宋体" w:cs="Times New Roman"/>
          <w:kern w:val="2"/>
          <w:sz w:val="24"/>
          <w:szCs w:val="24"/>
          <w:lang w:val="en-US" w:bidi="ar-SA"/>
        </w:rPr>
        <w:t>年</w:t>
      </w:r>
      <w:r>
        <w:rPr>
          <w:rFonts w:hint="eastAsia" w:ascii="Times New Roman" w:hAnsi="Times New Roman" w:eastAsia="宋体" w:cs="Times New Roman"/>
          <w:kern w:val="2"/>
          <w:sz w:val="24"/>
          <w:szCs w:val="24"/>
          <w:lang w:val="en-US" w:eastAsia="zh-CN" w:bidi="ar-SA"/>
        </w:rPr>
        <w:t>10</w:t>
      </w:r>
      <w:r>
        <w:rPr>
          <w:rFonts w:hint="eastAsia" w:ascii="Times New Roman" w:hAnsi="Times New Roman" w:eastAsia="宋体" w:cs="Times New Roman"/>
          <w:kern w:val="2"/>
          <w:sz w:val="24"/>
          <w:szCs w:val="24"/>
          <w:lang w:val="en-US" w:bidi="ar-SA"/>
        </w:rPr>
        <w:t>月</w:t>
      </w:r>
      <w:r>
        <w:rPr>
          <w:rFonts w:hint="eastAsia" w:ascii="Times New Roman" w:hAnsi="Times New Roman" w:eastAsia="宋体" w:cs="Times New Roman"/>
          <w:kern w:val="2"/>
          <w:sz w:val="24"/>
          <w:szCs w:val="24"/>
          <w:lang w:val="en-US" w:eastAsia="zh-CN" w:bidi="ar-SA"/>
        </w:rPr>
        <w:t>21</w:t>
      </w:r>
      <w:r>
        <w:rPr>
          <w:rFonts w:hint="eastAsia" w:ascii="Times New Roman" w:hAnsi="Times New Roman" w:eastAsia="宋体" w:cs="Times New Roman"/>
          <w:kern w:val="2"/>
          <w:sz w:val="24"/>
          <w:szCs w:val="24"/>
          <w:lang w:val="en-US" w:bidi="ar-SA"/>
        </w:rPr>
        <w:t>日，标准编制组讨论了编制大纲和任务分工，对规范编制注意事项做了相关要求。</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lang w:val="en-US" w:bidi="ar-SA"/>
        </w:rPr>
      </w:pPr>
      <w:r>
        <w:rPr>
          <w:rFonts w:hint="eastAsia" w:ascii="Times New Roman" w:hAnsi="Times New Roman" w:eastAsia="宋体" w:cs="Times New Roman"/>
          <w:kern w:val="2"/>
          <w:sz w:val="24"/>
          <w:szCs w:val="24"/>
          <w:lang w:val="en-US" w:bidi="ar-SA"/>
        </w:rPr>
        <w:t>编制大纲评审会：2024年</w:t>
      </w:r>
      <w:r>
        <w:rPr>
          <w:rFonts w:hint="eastAsia" w:ascii="Times New Roman" w:hAnsi="Times New Roman" w:eastAsia="宋体" w:cs="Times New Roman"/>
          <w:kern w:val="2"/>
          <w:sz w:val="24"/>
          <w:szCs w:val="24"/>
          <w:lang w:val="en-US" w:eastAsia="zh-CN" w:bidi="ar-SA"/>
        </w:rPr>
        <w:t>12</w:t>
      </w:r>
      <w:r>
        <w:rPr>
          <w:rFonts w:hint="eastAsia" w:ascii="Times New Roman" w:hAnsi="Times New Roman" w:eastAsia="宋体" w:cs="Times New Roman"/>
          <w:kern w:val="2"/>
          <w:sz w:val="24"/>
          <w:szCs w:val="24"/>
          <w:lang w:val="en-US" w:bidi="ar-SA"/>
        </w:rPr>
        <w:t>月</w:t>
      </w:r>
      <w:r>
        <w:rPr>
          <w:rFonts w:hint="eastAsia" w:ascii="Times New Roman" w:hAnsi="Times New Roman" w:eastAsia="宋体" w:cs="Times New Roman"/>
          <w:kern w:val="2"/>
          <w:sz w:val="24"/>
          <w:szCs w:val="24"/>
          <w:lang w:val="en-US" w:eastAsia="zh-CN" w:bidi="ar-SA"/>
        </w:rPr>
        <w:t>13</w:t>
      </w:r>
      <w:r>
        <w:rPr>
          <w:rFonts w:hint="eastAsia" w:ascii="Times New Roman" w:hAnsi="Times New Roman" w:eastAsia="宋体" w:cs="Times New Roman"/>
          <w:kern w:val="2"/>
          <w:sz w:val="24"/>
          <w:szCs w:val="24"/>
          <w:lang w:val="en-US" w:bidi="ar-SA"/>
        </w:rPr>
        <w:t>日，甘肃省交通运输标准化技术委员会组织召开了编制大纲评审会，经专家评审组质询讨论后，同意编制大纲通过审查。</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lang w:val="en-US" w:bidi="ar-SA"/>
        </w:rPr>
      </w:pPr>
      <w:r>
        <w:rPr>
          <w:rFonts w:hint="eastAsia" w:ascii="Times New Roman" w:hAnsi="Times New Roman" w:eastAsia="宋体" w:cs="Times New Roman"/>
          <w:kern w:val="2"/>
          <w:sz w:val="24"/>
          <w:szCs w:val="24"/>
          <w:lang w:val="en-US" w:bidi="ar-SA"/>
        </w:rPr>
        <w:t>第一次讨论会：202</w:t>
      </w:r>
      <w:r>
        <w:rPr>
          <w:rFonts w:hint="eastAsia" w:ascii="Times New Roman" w:hAnsi="Times New Roman" w:eastAsia="宋体" w:cs="Times New Roman"/>
          <w:kern w:val="2"/>
          <w:sz w:val="24"/>
          <w:szCs w:val="24"/>
          <w:lang w:val="en-US" w:eastAsia="zh-CN" w:bidi="ar-SA"/>
        </w:rPr>
        <w:t>5</w:t>
      </w:r>
      <w:r>
        <w:rPr>
          <w:rFonts w:hint="eastAsia" w:ascii="Times New Roman" w:hAnsi="Times New Roman" w:eastAsia="宋体" w:cs="Times New Roman"/>
          <w:kern w:val="2"/>
          <w:sz w:val="24"/>
          <w:szCs w:val="24"/>
          <w:lang w:val="en-US" w:bidi="ar-SA"/>
        </w:rPr>
        <w:t>年</w:t>
      </w:r>
      <w:r>
        <w:rPr>
          <w:rFonts w:hint="eastAsia" w:ascii="Times New Roman" w:hAnsi="Times New Roman" w:eastAsia="宋体" w:cs="Times New Roman"/>
          <w:kern w:val="2"/>
          <w:sz w:val="24"/>
          <w:szCs w:val="24"/>
          <w:lang w:val="en-US" w:eastAsia="zh-CN" w:bidi="ar-SA"/>
        </w:rPr>
        <w:t>1</w:t>
      </w:r>
      <w:r>
        <w:rPr>
          <w:rFonts w:hint="eastAsia" w:ascii="Times New Roman" w:hAnsi="Times New Roman" w:eastAsia="宋体" w:cs="Times New Roman"/>
          <w:kern w:val="2"/>
          <w:sz w:val="24"/>
          <w:szCs w:val="24"/>
          <w:lang w:val="en-US" w:bidi="ar-SA"/>
        </w:rPr>
        <w:t>月</w:t>
      </w:r>
      <w:r>
        <w:rPr>
          <w:rFonts w:hint="eastAsia" w:ascii="Times New Roman" w:hAnsi="Times New Roman" w:eastAsia="宋体" w:cs="Times New Roman"/>
          <w:kern w:val="2"/>
          <w:sz w:val="24"/>
          <w:szCs w:val="24"/>
          <w:lang w:val="en-US" w:eastAsia="zh-CN" w:bidi="ar-SA"/>
        </w:rPr>
        <w:t>14</w:t>
      </w:r>
      <w:r>
        <w:rPr>
          <w:rFonts w:hint="eastAsia" w:ascii="Times New Roman" w:hAnsi="Times New Roman" w:eastAsia="宋体" w:cs="Times New Roman"/>
          <w:kern w:val="2"/>
          <w:sz w:val="24"/>
          <w:szCs w:val="24"/>
          <w:lang w:val="en-US" w:bidi="ar-SA"/>
        </w:rPr>
        <w:t>日，编制组对规范的章节目录进行了讨论，</w:t>
      </w:r>
      <w:r>
        <w:rPr>
          <w:rFonts w:hint="eastAsia" w:ascii="Times New Roman" w:hAnsi="Times New Roman" w:eastAsia="宋体" w:cs="Times New Roman"/>
          <w:kern w:val="2"/>
          <w:sz w:val="24"/>
          <w:szCs w:val="24"/>
          <w:lang w:val="en-US" w:eastAsia="zh-CN" w:bidi="ar-SA"/>
        </w:rPr>
        <w:t>进一步明确了各章节的具体编写内容</w:t>
      </w:r>
      <w:r>
        <w:rPr>
          <w:rFonts w:hint="eastAsia" w:ascii="Times New Roman" w:hAnsi="Times New Roman" w:eastAsia="宋体" w:cs="Times New Roman"/>
          <w:kern w:val="2"/>
          <w:sz w:val="24"/>
          <w:szCs w:val="24"/>
          <w:lang w:val="en-US" w:bidi="ar-SA"/>
        </w:rPr>
        <w:t>。</w:t>
      </w:r>
    </w:p>
    <w:p>
      <w:pPr>
        <w:widowControl/>
        <w:autoSpaceDE/>
        <w:autoSpaceDN/>
        <w:adjustRightInd w:val="0"/>
        <w:snapToGrid w:val="0"/>
        <w:spacing w:line="360" w:lineRule="auto"/>
        <w:ind w:firstLine="480" w:firstLineChars="200"/>
        <w:jc w:val="both"/>
        <w:rPr>
          <w:rFonts w:ascii="Times New Roman" w:hAnsi="Times New Roman" w:eastAsia="宋体" w:cs="Times New Roman"/>
          <w:kern w:val="2"/>
          <w:sz w:val="24"/>
          <w:szCs w:val="24"/>
          <w:lang w:val="en-US" w:bidi="ar-SA"/>
        </w:rPr>
      </w:pPr>
      <w:r>
        <w:rPr>
          <w:rFonts w:hint="eastAsia" w:ascii="Times New Roman" w:hAnsi="Times New Roman" w:eastAsia="宋体" w:cs="Times New Roman"/>
          <w:kern w:val="2"/>
          <w:sz w:val="24"/>
          <w:szCs w:val="24"/>
          <w:lang w:val="en-US" w:bidi="ar-SA"/>
        </w:rPr>
        <w:t>第二次讨论会：202</w:t>
      </w:r>
      <w:r>
        <w:rPr>
          <w:rFonts w:hint="default" w:ascii="Times New Roman" w:hAnsi="Times New Roman" w:eastAsia="宋体" w:cs="Times New Roman"/>
          <w:kern w:val="2"/>
          <w:sz w:val="24"/>
          <w:szCs w:val="24"/>
          <w:lang w:bidi="ar-SA"/>
        </w:rPr>
        <w:t>5</w:t>
      </w:r>
      <w:r>
        <w:rPr>
          <w:rFonts w:hint="eastAsia" w:ascii="Times New Roman" w:hAnsi="Times New Roman" w:eastAsia="宋体" w:cs="Times New Roman"/>
          <w:kern w:val="2"/>
          <w:sz w:val="24"/>
          <w:szCs w:val="24"/>
          <w:lang w:val="en-US" w:bidi="ar-SA"/>
        </w:rPr>
        <w:t>年</w:t>
      </w:r>
      <w:r>
        <w:rPr>
          <w:rFonts w:hint="eastAsia" w:ascii="Times New Roman" w:hAnsi="Times New Roman" w:eastAsia="宋体" w:cs="Times New Roman"/>
          <w:kern w:val="2"/>
          <w:sz w:val="24"/>
          <w:szCs w:val="24"/>
          <w:lang w:val="en-US" w:eastAsia="zh-CN" w:bidi="ar-SA"/>
        </w:rPr>
        <w:t>2</w:t>
      </w:r>
      <w:r>
        <w:rPr>
          <w:rFonts w:hint="eastAsia" w:ascii="Times New Roman" w:hAnsi="Times New Roman" w:eastAsia="宋体" w:cs="Times New Roman"/>
          <w:kern w:val="2"/>
          <w:sz w:val="24"/>
          <w:szCs w:val="24"/>
          <w:lang w:val="en-US" w:bidi="ar-SA"/>
        </w:rPr>
        <w:t>月</w:t>
      </w:r>
      <w:r>
        <w:rPr>
          <w:rFonts w:hint="eastAsia" w:ascii="Times New Roman" w:hAnsi="Times New Roman" w:eastAsia="宋体" w:cs="Times New Roman"/>
          <w:kern w:val="2"/>
          <w:sz w:val="24"/>
          <w:szCs w:val="24"/>
          <w:lang w:val="en-US" w:eastAsia="zh-CN" w:bidi="ar-SA"/>
        </w:rPr>
        <w:t>18</w:t>
      </w:r>
      <w:r>
        <w:rPr>
          <w:rFonts w:hint="eastAsia" w:ascii="Times New Roman" w:hAnsi="Times New Roman" w:eastAsia="宋体" w:cs="Times New Roman"/>
          <w:kern w:val="2"/>
          <w:sz w:val="24"/>
          <w:szCs w:val="24"/>
          <w:lang w:val="en-US" w:bidi="ar-SA"/>
        </w:rPr>
        <w:t>日，编制组对</w:t>
      </w:r>
      <w:r>
        <w:rPr>
          <w:rFonts w:hint="eastAsia" w:ascii="Times New Roman" w:hAnsi="Times New Roman" w:eastAsia="宋体" w:cs="Times New Roman"/>
          <w:kern w:val="2"/>
          <w:sz w:val="24"/>
          <w:szCs w:val="24"/>
          <w:lang w:val="en-US" w:eastAsia="zh-CN" w:bidi="ar-SA"/>
        </w:rPr>
        <w:t>数据的对接范围和传输内容进行了讨论，明确了数据接口对接范围及传输内容</w:t>
      </w:r>
      <w:r>
        <w:rPr>
          <w:rFonts w:hint="eastAsia" w:ascii="Times New Roman" w:hAnsi="Times New Roman" w:eastAsia="宋体" w:cs="Times New Roman"/>
          <w:kern w:val="2"/>
          <w:sz w:val="24"/>
          <w:szCs w:val="24"/>
          <w:lang w:val="en-US" w:bidi="ar-SA"/>
        </w:rPr>
        <w:t>。</w:t>
      </w:r>
    </w:p>
    <w:p>
      <w:pPr>
        <w:widowControl/>
        <w:autoSpaceDE/>
        <w:autoSpaceDN/>
        <w:adjustRightInd w:val="0"/>
        <w:snapToGrid w:val="0"/>
        <w:spacing w:line="360" w:lineRule="auto"/>
        <w:ind w:firstLine="480" w:firstLineChars="200"/>
        <w:jc w:val="both"/>
        <w:rPr>
          <w:rFonts w:ascii="Times New Roman" w:hAnsi="Times New Roman" w:eastAsia="宋体" w:cs="Times New Roman"/>
          <w:kern w:val="2"/>
          <w:sz w:val="24"/>
          <w:szCs w:val="24"/>
          <w:lang w:val="en-US" w:bidi="ar-SA"/>
        </w:rPr>
      </w:pPr>
      <w:r>
        <w:rPr>
          <w:rFonts w:hint="eastAsia" w:ascii="Times New Roman" w:hAnsi="Times New Roman" w:eastAsia="宋体" w:cs="Times New Roman"/>
          <w:kern w:val="2"/>
          <w:sz w:val="24"/>
          <w:szCs w:val="24"/>
          <w:lang w:val="en-US" w:bidi="ar-SA"/>
        </w:rPr>
        <w:t>第三次讨论会：202</w:t>
      </w:r>
      <w:r>
        <w:rPr>
          <w:rFonts w:hint="default" w:ascii="Times New Roman" w:hAnsi="Times New Roman" w:eastAsia="宋体" w:cs="Times New Roman"/>
          <w:kern w:val="2"/>
          <w:sz w:val="24"/>
          <w:szCs w:val="24"/>
          <w:lang w:bidi="ar-SA"/>
        </w:rPr>
        <w:t>5</w:t>
      </w:r>
      <w:r>
        <w:rPr>
          <w:rFonts w:hint="eastAsia" w:ascii="Times New Roman" w:hAnsi="Times New Roman" w:eastAsia="宋体" w:cs="Times New Roman"/>
          <w:kern w:val="2"/>
          <w:sz w:val="24"/>
          <w:szCs w:val="24"/>
          <w:lang w:val="en-US" w:bidi="ar-SA"/>
        </w:rPr>
        <w:t>年</w:t>
      </w:r>
      <w:r>
        <w:rPr>
          <w:rFonts w:hint="eastAsia" w:ascii="Times New Roman" w:hAnsi="Times New Roman" w:eastAsia="宋体" w:cs="Times New Roman"/>
          <w:kern w:val="2"/>
          <w:sz w:val="24"/>
          <w:szCs w:val="24"/>
          <w:lang w:val="en-US" w:eastAsia="zh-CN" w:bidi="ar-SA"/>
        </w:rPr>
        <w:t>3</w:t>
      </w:r>
      <w:r>
        <w:rPr>
          <w:rFonts w:hint="eastAsia" w:ascii="Times New Roman" w:hAnsi="Times New Roman" w:eastAsia="宋体" w:cs="Times New Roman"/>
          <w:kern w:val="2"/>
          <w:sz w:val="24"/>
          <w:szCs w:val="24"/>
          <w:lang w:val="en-US" w:bidi="ar-SA"/>
        </w:rPr>
        <w:t>月</w:t>
      </w:r>
      <w:r>
        <w:rPr>
          <w:rFonts w:hint="eastAsia" w:ascii="Times New Roman" w:hAnsi="Times New Roman" w:eastAsia="宋体" w:cs="Times New Roman"/>
          <w:kern w:val="2"/>
          <w:sz w:val="24"/>
          <w:szCs w:val="24"/>
          <w:lang w:val="en-US" w:eastAsia="zh-CN" w:bidi="ar-SA"/>
        </w:rPr>
        <w:t>12</w:t>
      </w:r>
      <w:r>
        <w:rPr>
          <w:rFonts w:hint="eastAsia" w:ascii="Times New Roman" w:hAnsi="Times New Roman" w:eastAsia="宋体" w:cs="Times New Roman"/>
          <w:kern w:val="2"/>
          <w:sz w:val="24"/>
          <w:szCs w:val="24"/>
          <w:lang w:val="en-US" w:bidi="ar-SA"/>
        </w:rPr>
        <w:t>日，编制组对第</w:t>
      </w:r>
      <w:r>
        <w:rPr>
          <w:rFonts w:hint="eastAsia" w:ascii="Times New Roman" w:hAnsi="Times New Roman" w:eastAsia="宋体" w:cs="Times New Roman"/>
          <w:kern w:val="2"/>
          <w:sz w:val="24"/>
          <w:szCs w:val="24"/>
          <w:lang w:val="en-US" w:eastAsia="zh-CN" w:bidi="ar-SA"/>
        </w:rPr>
        <w:t>4</w:t>
      </w:r>
      <w:r>
        <w:rPr>
          <w:rFonts w:hint="eastAsia" w:ascii="Times New Roman" w:hAnsi="Times New Roman" w:eastAsia="宋体" w:cs="Times New Roman"/>
          <w:kern w:val="2"/>
          <w:sz w:val="24"/>
          <w:szCs w:val="24"/>
          <w:lang w:val="en-US" w:bidi="ar-SA"/>
        </w:rPr>
        <w:t>-</w:t>
      </w:r>
      <w:r>
        <w:rPr>
          <w:rFonts w:hint="eastAsia" w:ascii="Times New Roman" w:hAnsi="Times New Roman" w:eastAsia="宋体" w:cs="Times New Roman"/>
          <w:kern w:val="2"/>
          <w:sz w:val="24"/>
          <w:szCs w:val="24"/>
          <w:lang w:val="en-US" w:eastAsia="zh-CN" w:bidi="ar-SA"/>
        </w:rPr>
        <w:t>7</w:t>
      </w:r>
      <w:r>
        <w:rPr>
          <w:rFonts w:hint="eastAsia" w:ascii="Times New Roman" w:hAnsi="Times New Roman" w:eastAsia="宋体" w:cs="Times New Roman"/>
          <w:kern w:val="2"/>
          <w:sz w:val="24"/>
          <w:szCs w:val="24"/>
          <w:lang w:val="en-US" w:bidi="ar-SA"/>
        </w:rPr>
        <w:t>章具体编写</w:t>
      </w:r>
      <w:r>
        <w:rPr>
          <w:rFonts w:hint="eastAsia" w:ascii="Times New Roman" w:hAnsi="Times New Roman" w:eastAsia="宋体" w:cs="Times New Roman"/>
          <w:kern w:val="2"/>
          <w:sz w:val="24"/>
          <w:szCs w:val="24"/>
          <w:lang w:val="en-US" w:eastAsia="zh-CN" w:bidi="ar-SA"/>
        </w:rPr>
        <w:t>内容进行了讨论，重点对业务数据接口、监测数据接口的数据传输内容进行分析，明确数据对接内容需满足的实际数据分析需要。。</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lang w:val="en-US" w:bidi="ar-SA"/>
        </w:rPr>
      </w:pPr>
      <w:r>
        <w:rPr>
          <w:rFonts w:hint="eastAsia" w:ascii="Times New Roman" w:hAnsi="Times New Roman" w:eastAsia="宋体" w:cs="Times New Roman"/>
          <w:kern w:val="2"/>
          <w:sz w:val="24"/>
          <w:szCs w:val="24"/>
          <w:lang w:val="en-US" w:bidi="ar-SA"/>
        </w:rPr>
        <w:t>第四次讨论会：202</w:t>
      </w:r>
      <w:r>
        <w:rPr>
          <w:rFonts w:hint="default" w:ascii="Times New Roman" w:hAnsi="Times New Roman" w:eastAsia="宋体" w:cs="Times New Roman"/>
          <w:kern w:val="2"/>
          <w:sz w:val="24"/>
          <w:szCs w:val="24"/>
          <w:lang w:bidi="ar-SA"/>
        </w:rPr>
        <w:t>5</w:t>
      </w:r>
      <w:r>
        <w:rPr>
          <w:rFonts w:hint="eastAsia" w:ascii="Times New Roman" w:hAnsi="Times New Roman" w:eastAsia="宋体" w:cs="Times New Roman"/>
          <w:kern w:val="2"/>
          <w:sz w:val="24"/>
          <w:szCs w:val="24"/>
          <w:lang w:val="en-US" w:bidi="ar-SA"/>
        </w:rPr>
        <w:t>年</w:t>
      </w:r>
      <w:r>
        <w:rPr>
          <w:rFonts w:hint="eastAsia" w:ascii="Times New Roman" w:hAnsi="Times New Roman" w:eastAsia="宋体" w:cs="Times New Roman"/>
          <w:kern w:val="2"/>
          <w:sz w:val="24"/>
          <w:szCs w:val="24"/>
          <w:lang w:val="en-US" w:eastAsia="zh-CN" w:bidi="ar-SA"/>
        </w:rPr>
        <w:t>4</w:t>
      </w:r>
      <w:r>
        <w:rPr>
          <w:rFonts w:hint="eastAsia" w:ascii="Times New Roman" w:hAnsi="Times New Roman" w:eastAsia="宋体" w:cs="Times New Roman"/>
          <w:kern w:val="2"/>
          <w:sz w:val="24"/>
          <w:szCs w:val="24"/>
          <w:lang w:val="en-US" w:bidi="ar-SA"/>
        </w:rPr>
        <w:t>月1</w:t>
      </w:r>
      <w:r>
        <w:rPr>
          <w:rFonts w:hint="eastAsia" w:ascii="Times New Roman" w:hAnsi="Times New Roman" w:eastAsia="宋体" w:cs="Times New Roman"/>
          <w:kern w:val="2"/>
          <w:sz w:val="24"/>
          <w:szCs w:val="24"/>
          <w:lang w:val="en-US" w:eastAsia="zh-CN" w:bidi="ar-SA"/>
        </w:rPr>
        <w:t>7</w:t>
      </w:r>
      <w:r>
        <w:rPr>
          <w:rFonts w:hint="eastAsia" w:ascii="Times New Roman" w:hAnsi="Times New Roman" w:eastAsia="宋体" w:cs="Times New Roman"/>
          <w:kern w:val="2"/>
          <w:sz w:val="24"/>
          <w:szCs w:val="24"/>
          <w:lang w:val="en-US" w:bidi="ar-SA"/>
        </w:rPr>
        <w:t>日，编制组对</w:t>
      </w:r>
      <w:r>
        <w:rPr>
          <w:rFonts w:hint="eastAsia" w:ascii="Times New Roman" w:hAnsi="Times New Roman" w:eastAsia="宋体" w:cs="Times New Roman"/>
          <w:kern w:val="2"/>
          <w:sz w:val="24"/>
          <w:szCs w:val="24"/>
          <w:lang w:val="en-US" w:eastAsia="zh-CN" w:bidi="ar-SA"/>
        </w:rPr>
        <w:t>数据字段内容进行了讨论，增加了附录A、B、C对数据字段的详细说明。对</w:t>
      </w:r>
      <w:r>
        <w:rPr>
          <w:rFonts w:hint="eastAsia" w:ascii="Times New Roman" w:hAnsi="Times New Roman" w:eastAsia="宋体" w:cs="Times New Roman"/>
          <w:kern w:val="2"/>
          <w:sz w:val="24"/>
          <w:szCs w:val="24"/>
          <w:lang w:val="en-US" w:bidi="ar-SA"/>
        </w:rPr>
        <w:t>第</w:t>
      </w:r>
      <w:r>
        <w:rPr>
          <w:rFonts w:hint="eastAsia" w:ascii="Times New Roman" w:hAnsi="Times New Roman" w:eastAsia="宋体" w:cs="Times New Roman"/>
          <w:kern w:val="2"/>
          <w:sz w:val="24"/>
          <w:szCs w:val="24"/>
          <w:lang w:val="en-US" w:eastAsia="zh-CN" w:bidi="ar-SA"/>
        </w:rPr>
        <w:t>8</w:t>
      </w:r>
      <w:r>
        <w:rPr>
          <w:rFonts w:hint="eastAsia" w:ascii="Times New Roman" w:hAnsi="Times New Roman" w:eastAsia="宋体" w:cs="Times New Roman"/>
          <w:kern w:val="2"/>
          <w:sz w:val="24"/>
          <w:szCs w:val="24"/>
          <w:lang w:val="en-US" w:bidi="ar-SA"/>
        </w:rPr>
        <w:t>章</w:t>
      </w:r>
      <w:r>
        <w:rPr>
          <w:rFonts w:hint="eastAsia" w:ascii="Times New Roman" w:hAnsi="Times New Roman" w:eastAsia="宋体" w:cs="Times New Roman"/>
          <w:kern w:val="2"/>
          <w:sz w:val="24"/>
          <w:szCs w:val="24"/>
          <w:lang w:val="en-US" w:eastAsia="zh-CN" w:bidi="ar-SA"/>
        </w:rPr>
        <w:t>数据安全</w:t>
      </w:r>
      <w:r>
        <w:rPr>
          <w:rFonts w:hint="eastAsia" w:ascii="Times New Roman" w:hAnsi="Times New Roman" w:eastAsia="宋体" w:cs="Times New Roman"/>
          <w:kern w:val="2"/>
          <w:sz w:val="24"/>
          <w:szCs w:val="24"/>
          <w:lang w:val="en-US" w:bidi="ar-SA"/>
        </w:rPr>
        <w:t>具体编写</w:t>
      </w:r>
      <w:r>
        <w:rPr>
          <w:rFonts w:hint="eastAsia" w:ascii="Times New Roman" w:hAnsi="Times New Roman" w:eastAsia="宋体" w:cs="Times New Roman"/>
          <w:kern w:val="2"/>
          <w:sz w:val="24"/>
          <w:szCs w:val="24"/>
          <w:lang w:val="en-US" w:eastAsia="zh-CN" w:bidi="ar-SA"/>
        </w:rPr>
        <w:t>内容进行了讨论，明确了数据传输过程中的数据加密</w:t>
      </w:r>
      <w:r>
        <w:rPr>
          <w:rFonts w:hint="eastAsia" w:ascii="Times New Roman" w:hAnsi="Times New Roman" w:eastAsia="宋体" w:cs="Times New Roman"/>
          <w:kern w:val="2"/>
          <w:sz w:val="24"/>
          <w:szCs w:val="24"/>
          <w:highlight w:val="none"/>
          <w:lang w:val="en-US" w:eastAsia="zh-CN" w:bidi="ar-SA"/>
        </w:rPr>
        <w:t>要求</w:t>
      </w:r>
      <w:r>
        <w:rPr>
          <w:rFonts w:hint="eastAsia" w:ascii="Times New Roman" w:hAnsi="Times New Roman" w:eastAsia="宋体" w:cs="Times New Roman"/>
          <w:kern w:val="2"/>
          <w:sz w:val="24"/>
          <w:szCs w:val="24"/>
          <w:lang w:val="en-US" w:bidi="ar-SA"/>
        </w:rPr>
        <w:t>。</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lang w:val="en-US" w:bidi="ar-SA"/>
        </w:rPr>
      </w:pPr>
      <w:r>
        <w:rPr>
          <w:rFonts w:hint="eastAsia" w:ascii="Times New Roman" w:hAnsi="Times New Roman" w:eastAsia="宋体" w:cs="Times New Roman"/>
          <w:kern w:val="2"/>
          <w:sz w:val="24"/>
          <w:szCs w:val="24"/>
          <w:lang w:val="en-US" w:bidi="ar-SA"/>
        </w:rPr>
        <w:t>第</w:t>
      </w:r>
      <w:r>
        <w:rPr>
          <w:rFonts w:hint="eastAsia" w:ascii="Times New Roman" w:hAnsi="Times New Roman" w:eastAsia="宋体" w:cs="Times New Roman"/>
          <w:kern w:val="2"/>
          <w:sz w:val="24"/>
          <w:szCs w:val="24"/>
          <w:lang w:val="en-US" w:eastAsia="zh-CN" w:bidi="ar-SA"/>
        </w:rPr>
        <w:t>五</w:t>
      </w:r>
      <w:r>
        <w:rPr>
          <w:rFonts w:hint="eastAsia" w:ascii="Times New Roman" w:hAnsi="Times New Roman" w:eastAsia="宋体" w:cs="Times New Roman"/>
          <w:kern w:val="2"/>
          <w:sz w:val="24"/>
          <w:szCs w:val="24"/>
          <w:lang w:val="en-US" w:bidi="ar-SA"/>
        </w:rPr>
        <w:t>次讨论会：202</w:t>
      </w:r>
      <w:r>
        <w:rPr>
          <w:rFonts w:hint="eastAsia" w:ascii="Times New Roman" w:hAnsi="Times New Roman" w:eastAsia="宋体" w:cs="Times New Roman"/>
          <w:kern w:val="2"/>
          <w:sz w:val="24"/>
          <w:szCs w:val="24"/>
          <w:lang w:val="en-US" w:eastAsia="zh-CN" w:bidi="ar-SA"/>
        </w:rPr>
        <w:t>5</w:t>
      </w:r>
      <w:r>
        <w:rPr>
          <w:rFonts w:hint="eastAsia" w:ascii="Times New Roman" w:hAnsi="Times New Roman" w:eastAsia="宋体" w:cs="Times New Roman"/>
          <w:kern w:val="2"/>
          <w:sz w:val="24"/>
          <w:szCs w:val="24"/>
          <w:lang w:val="en-US" w:bidi="ar-SA"/>
        </w:rPr>
        <w:t>年</w:t>
      </w:r>
      <w:r>
        <w:rPr>
          <w:rFonts w:hint="eastAsia" w:ascii="Times New Roman" w:hAnsi="Times New Roman" w:eastAsia="宋体" w:cs="Times New Roman"/>
          <w:kern w:val="2"/>
          <w:sz w:val="24"/>
          <w:szCs w:val="24"/>
          <w:lang w:val="en-US" w:eastAsia="zh-CN" w:bidi="ar-SA"/>
        </w:rPr>
        <w:t>5</w:t>
      </w:r>
      <w:r>
        <w:rPr>
          <w:rFonts w:hint="eastAsia" w:ascii="Times New Roman" w:hAnsi="Times New Roman" w:eastAsia="宋体" w:cs="Times New Roman"/>
          <w:kern w:val="2"/>
          <w:sz w:val="24"/>
          <w:szCs w:val="24"/>
          <w:lang w:val="en-US" w:bidi="ar-SA"/>
        </w:rPr>
        <w:t>月</w:t>
      </w:r>
      <w:r>
        <w:rPr>
          <w:rFonts w:hint="eastAsia" w:ascii="Times New Roman" w:hAnsi="Times New Roman" w:eastAsia="宋体" w:cs="Times New Roman"/>
          <w:kern w:val="2"/>
          <w:sz w:val="24"/>
          <w:szCs w:val="24"/>
          <w:lang w:val="en-US" w:eastAsia="zh-CN" w:bidi="ar-SA"/>
        </w:rPr>
        <w:t>21</w:t>
      </w:r>
      <w:r>
        <w:rPr>
          <w:rFonts w:hint="eastAsia" w:ascii="Times New Roman" w:hAnsi="Times New Roman" w:eastAsia="宋体" w:cs="Times New Roman"/>
          <w:kern w:val="2"/>
          <w:sz w:val="24"/>
          <w:szCs w:val="24"/>
          <w:lang w:val="en-US" w:bidi="ar-SA"/>
        </w:rPr>
        <w:t>日，编制组对规范内容进行了全面讨论，规范了用词用语，</w:t>
      </w:r>
      <w:r>
        <w:rPr>
          <w:rFonts w:hint="eastAsia" w:ascii="Times New Roman" w:hAnsi="Times New Roman" w:eastAsia="宋体" w:cs="Times New Roman"/>
          <w:kern w:val="2"/>
          <w:sz w:val="24"/>
          <w:szCs w:val="24"/>
          <w:lang w:val="en-US" w:eastAsia="zh-CN" w:bidi="ar-SA"/>
        </w:rPr>
        <w:t>对附录中的参数约束进行了进一步优化调整</w:t>
      </w:r>
      <w:r>
        <w:rPr>
          <w:rFonts w:hint="eastAsia" w:ascii="Times New Roman" w:hAnsi="Times New Roman" w:eastAsia="宋体" w:cs="Times New Roman"/>
          <w:kern w:val="2"/>
          <w:sz w:val="24"/>
          <w:szCs w:val="24"/>
          <w:lang w:val="en-US" w:bidi="ar-SA"/>
        </w:rPr>
        <w:t xml:space="preserve">。 </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lang w:val="en-US" w:bidi="ar-SA"/>
        </w:rPr>
        <w:t>征求意见：202</w:t>
      </w:r>
      <w:r>
        <w:rPr>
          <w:rFonts w:hint="eastAsia" w:ascii="Times New Roman" w:hAnsi="Times New Roman" w:eastAsia="宋体" w:cs="Times New Roman"/>
          <w:kern w:val="2"/>
          <w:sz w:val="24"/>
          <w:szCs w:val="24"/>
          <w:lang w:val="en-US" w:eastAsia="zh-CN" w:bidi="ar-SA"/>
        </w:rPr>
        <w:t>5</w:t>
      </w:r>
      <w:r>
        <w:rPr>
          <w:rFonts w:hint="eastAsia" w:ascii="Times New Roman" w:hAnsi="Times New Roman" w:eastAsia="宋体" w:cs="Times New Roman"/>
          <w:kern w:val="2"/>
          <w:sz w:val="24"/>
          <w:szCs w:val="24"/>
          <w:lang w:val="en-US" w:bidi="ar-SA"/>
        </w:rPr>
        <w:t>年</w:t>
      </w:r>
      <w:r>
        <w:rPr>
          <w:rFonts w:hint="eastAsia" w:ascii="Times New Roman" w:hAnsi="Times New Roman" w:eastAsia="宋体" w:cs="Times New Roman"/>
          <w:kern w:val="2"/>
          <w:sz w:val="24"/>
          <w:szCs w:val="24"/>
          <w:lang w:val="en-US" w:eastAsia="zh-CN" w:bidi="ar-SA"/>
        </w:rPr>
        <w:t>xx-xx</w:t>
      </w:r>
      <w:r>
        <w:rPr>
          <w:rFonts w:hint="eastAsia" w:ascii="Times New Roman" w:hAnsi="Times New Roman" w:eastAsia="宋体" w:cs="Times New Roman"/>
          <w:kern w:val="2"/>
          <w:sz w:val="24"/>
          <w:szCs w:val="24"/>
          <w:lang w:val="en-US" w:bidi="ar-SA"/>
        </w:rPr>
        <w:t>月共向相关单位发出《</w:t>
      </w:r>
      <w:r>
        <w:rPr>
          <w:rFonts w:hint="eastAsia" w:ascii="Times New Roman" w:hAnsi="Times New Roman" w:eastAsia="宋体" w:cs="Times New Roman"/>
          <w:kern w:val="2"/>
          <w:sz w:val="24"/>
          <w:szCs w:val="24"/>
          <w:lang w:val="en-US" w:eastAsia="zh-CN" w:bidi="ar-SA"/>
        </w:rPr>
        <w:t>桥梁结构监测数据接口技术规范</w:t>
      </w:r>
      <w:r>
        <w:rPr>
          <w:rFonts w:hint="eastAsia" w:ascii="Times New Roman" w:hAnsi="Times New Roman" w:eastAsia="宋体" w:cs="Times New Roman"/>
          <w:kern w:val="2"/>
          <w:sz w:val="24"/>
          <w:szCs w:val="24"/>
          <w:lang w:val="en-US" w:bidi="ar-SA"/>
        </w:rPr>
        <w:t>》标准征求意见稿</w:t>
      </w:r>
      <w:r>
        <w:rPr>
          <w:rFonts w:ascii="Times New Roman" w:hAnsi="Times New Roman" w:eastAsia="宋体" w:cs="Times New Roman"/>
          <w:kern w:val="2"/>
          <w:sz w:val="24"/>
          <w:szCs w:val="24"/>
          <w:lang w:val="en-US" w:bidi="ar-SA"/>
        </w:rPr>
        <w:t>x</w:t>
      </w:r>
      <w:r>
        <w:rPr>
          <w:rFonts w:hint="eastAsia" w:ascii="Times New Roman" w:hAnsi="Times New Roman" w:eastAsia="宋体" w:cs="Times New Roman"/>
          <w:kern w:val="2"/>
          <w:sz w:val="24"/>
          <w:szCs w:val="24"/>
          <w:lang w:val="en-US" w:bidi="ar-SA"/>
        </w:rPr>
        <w:t>份，收到回复</w:t>
      </w:r>
      <w:r>
        <w:rPr>
          <w:rFonts w:ascii="Times New Roman" w:hAnsi="Times New Roman" w:eastAsia="宋体" w:cs="Times New Roman"/>
          <w:kern w:val="2"/>
          <w:sz w:val="24"/>
          <w:szCs w:val="24"/>
          <w:lang w:val="en-US" w:bidi="ar-SA"/>
        </w:rPr>
        <w:t>x</w:t>
      </w:r>
      <w:r>
        <w:rPr>
          <w:rFonts w:hint="eastAsia" w:ascii="Times New Roman" w:hAnsi="Times New Roman" w:eastAsia="宋体" w:cs="Times New Roman"/>
          <w:kern w:val="2"/>
          <w:sz w:val="24"/>
          <w:szCs w:val="24"/>
          <w:lang w:val="en-US" w:bidi="ar-SA"/>
        </w:rPr>
        <w:t>份。征集到意见</w:t>
      </w:r>
      <w:r>
        <w:rPr>
          <w:rFonts w:ascii="Times New Roman" w:hAnsi="Times New Roman" w:eastAsia="宋体" w:cs="Times New Roman"/>
          <w:kern w:val="2"/>
          <w:sz w:val="24"/>
          <w:szCs w:val="24"/>
          <w:lang w:val="en-US" w:bidi="ar-SA"/>
        </w:rPr>
        <w:t>x</w:t>
      </w:r>
      <w:r>
        <w:rPr>
          <w:rFonts w:hint="eastAsia" w:ascii="Times New Roman" w:hAnsi="Times New Roman" w:eastAsia="宋体" w:cs="Times New Roman"/>
          <w:kern w:val="2"/>
          <w:sz w:val="24"/>
          <w:szCs w:val="24"/>
          <w:lang w:val="en-US" w:bidi="ar-SA"/>
        </w:rPr>
        <w:t>条，采纳</w:t>
      </w:r>
      <w:r>
        <w:rPr>
          <w:rFonts w:ascii="Times New Roman" w:hAnsi="Times New Roman" w:eastAsia="宋体" w:cs="Times New Roman"/>
          <w:kern w:val="2"/>
          <w:sz w:val="24"/>
          <w:szCs w:val="24"/>
          <w:lang w:val="en-US" w:bidi="ar-SA"/>
        </w:rPr>
        <w:t>x</w:t>
      </w:r>
      <w:r>
        <w:rPr>
          <w:rFonts w:hint="eastAsia" w:ascii="Times New Roman" w:hAnsi="Times New Roman" w:eastAsia="宋体" w:cs="Times New Roman"/>
          <w:kern w:val="2"/>
          <w:sz w:val="24"/>
          <w:szCs w:val="24"/>
          <w:lang w:val="en-US" w:bidi="ar-SA"/>
        </w:rPr>
        <w:t>条，部分采纳</w:t>
      </w:r>
      <w:r>
        <w:rPr>
          <w:rFonts w:ascii="Times New Roman" w:hAnsi="Times New Roman" w:eastAsia="宋体" w:cs="Times New Roman"/>
          <w:kern w:val="2"/>
          <w:sz w:val="24"/>
          <w:szCs w:val="24"/>
          <w:lang w:val="en-US" w:bidi="ar-SA"/>
        </w:rPr>
        <w:t>x</w:t>
      </w:r>
      <w:r>
        <w:rPr>
          <w:rFonts w:hint="eastAsia" w:ascii="Times New Roman" w:hAnsi="Times New Roman" w:eastAsia="宋体" w:cs="Times New Roman"/>
          <w:kern w:val="2"/>
          <w:sz w:val="24"/>
          <w:szCs w:val="24"/>
          <w:lang w:val="en-US" w:bidi="ar-SA"/>
        </w:rPr>
        <w:t>条，未采纳</w:t>
      </w:r>
      <w:r>
        <w:rPr>
          <w:rFonts w:ascii="Times New Roman" w:hAnsi="Times New Roman" w:eastAsia="宋体" w:cs="Times New Roman"/>
          <w:kern w:val="2"/>
          <w:sz w:val="24"/>
          <w:szCs w:val="24"/>
          <w:lang w:val="en-US" w:bidi="ar-SA"/>
        </w:rPr>
        <w:t>x</w:t>
      </w:r>
      <w:r>
        <w:rPr>
          <w:rFonts w:hint="eastAsia" w:ascii="Times New Roman" w:hAnsi="Times New Roman" w:eastAsia="宋体" w:cs="Times New Roman"/>
          <w:kern w:val="2"/>
          <w:sz w:val="24"/>
          <w:szCs w:val="24"/>
          <w:lang w:val="en-US" w:bidi="ar-SA"/>
        </w:rPr>
        <w:t>条</w:t>
      </w:r>
      <w:r>
        <w:rPr>
          <w:rFonts w:hint="eastAsia" w:ascii="Times New Roman" w:hAnsi="Times New Roman" w:eastAsia="宋体" w:cs="Times New Roman"/>
          <w:kern w:val="2"/>
          <w:sz w:val="24"/>
          <w:szCs w:val="24"/>
          <w:highlight w:val="none"/>
          <w:lang w:val="en-US" w:eastAsia="zh-CN" w:bidi="ar-SA"/>
        </w:rPr>
        <w:t>。</w:t>
      </w:r>
    </w:p>
    <w:tbl>
      <w:tblPr>
        <w:tblStyle w:val="16"/>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000" w:type="pct"/>
            <w:gridSpan w:val="2"/>
            <w:tcBorders>
              <w:top w:val="nil"/>
              <w:left w:val="nil"/>
              <w:right w:val="nil"/>
            </w:tcBorders>
            <w:vAlign w:val="center"/>
          </w:tcPr>
          <w:p>
            <w:pPr>
              <w:spacing w:line="288" w:lineRule="auto"/>
              <w:jc w:val="center"/>
              <w:rPr>
                <w:rFonts w:ascii="Times New Roman" w:hAnsi="Times New Roman" w:eastAsia="仿宋" w:cs="Times New Roman"/>
                <w:color w:val="000000"/>
                <w:kern w:val="2"/>
                <w:sz w:val="24"/>
                <w:szCs w:val="24"/>
                <w:highlight w:val="none"/>
              </w:rPr>
            </w:pPr>
            <w:r>
              <w:rPr>
                <w:rFonts w:hint="eastAsia" w:ascii="Times New Roman" w:hAnsi="Times New Roman" w:eastAsia="仿宋" w:cs="Times New Roman"/>
                <w:b/>
                <w:bCs/>
                <w:color w:val="000000"/>
                <w:kern w:val="2"/>
                <w:sz w:val="24"/>
                <w:szCs w:val="24"/>
                <w:highlight w:val="none"/>
              </w:rPr>
              <w:t>表1</w:t>
            </w:r>
            <w:r>
              <w:rPr>
                <w:rFonts w:ascii="Times New Roman" w:hAnsi="Times New Roman" w:eastAsia="仿宋" w:cs="Times New Roman"/>
                <w:b/>
                <w:bCs/>
                <w:color w:val="000000"/>
                <w:kern w:val="2"/>
                <w:sz w:val="24"/>
                <w:szCs w:val="24"/>
                <w:highlight w:val="none"/>
              </w:rPr>
              <w:t xml:space="preserve"> </w:t>
            </w:r>
            <w:r>
              <w:rPr>
                <w:rFonts w:hint="eastAsia" w:ascii="Times New Roman" w:hAnsi="Times New Roman" w:eastAsia="仿宋" w:cs="Times New Roman"/>
                <w:b/>
                <w:bCs/>
                <w:color w:val="000000"/>
                <w:kern w:val="2"/>
                <w:sz w:val="24"/>
                <w:szCs w:val="24"/>
                <w:highlight w:val="none"/>
              </w:rPr>
              <w:t>征求意见单位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649" w:type="pct"/>
            <w:vAlign w:val="center"/>
          </w:tcPr>
          <w:p>
            <w:pPr>
              <w:spacing w:line="288" w:lineRule="auto"/>
              <w:jc w:val="center"/>
              <w:rPr>
                <w:rFonts w:ascii="Times New Roman" w:hAnsi="Times New Roman" w:eastAsia="仿宋" w:cs="Times New Roman"/>
                <w:color w:val="000000"/>
                <w:kern w:val="2"/>
                <w:sz w:val="24"/>
                <w:szCs w:val="24"/>
                <w:highlight w:val="none"/>
              </w:rPr>
            </w:pPr>
            <w:r>
              <w:rPr>
                <w:rFonts w:hint="eastAsia" w:ascii="Times New Roman" w:hAnsi="Times New Roman" w:eastAsia="仿宋" w:cs="Times New Roman"/>
                <w:color w:val="000000"/>
                <w:kern w:val="2"/>
                <w:sz w:val="24"/>
                <w:szCs w:val="24"/>
                <w:highlight w:val="none"/>
              </w:rPr>
              <w:t>序号</w:t>
            </w:r>
          </w:p>
        </w:tc>
        <w:tc>
          <w:tcPr>
            <w:tcW w:w="4350" w:type="pct"/>
            <w:vAlign w:val="center"/>
          </w:tcPr>
          <w:p>
            <w:pPr>
              <w:spacing w:line="288" w:lineRule="auto"/>
              <w:jc w:val="center"/>
              <w:rPr>
                <w:rFonts w:ascii="Times New Roman" w:hAnsi="Times New Roman" w:eastAsia="仿宋" w:cs="Times New Roman"/>
                <w:color w:val="000000"/>
                <w:kern w:val="2"/>
                <w:sz w:val="24"/>
                <w:szCs w:val="24"/>
                <w:highlight w:val="none"/>
              </w:rPr>
            </w:pPr>
            <w:r>
              <w:rPr>
                <w:rFonts w:hint="eastAsia" w:ascii="Times New Roman" w:hAnsi="Times New Roman" w:eastAsia="仿宋" w:cs="Times New Roman"/>
                <w:color w:val="000000"/>
                <w:kern w:val="2"/>
                <w:sz w:val="24"/>
                <w:szCs w:val="24"/>
                <w:highlight w:val="none"/>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649" w:type="pct"/>
            <w:vAlign w:val="center"/>
          </w:tcPr>
          <w:p>
            <w:pPr>
              <w:spacing w:line="288" w:lineRule="auto"/>
              <w:jc w:val="center"/>
              <w:rPr>
                <w:rFonts w:ascii="Times New Roman" w:hAnsi="Times New Roman" w:eastAsia="仿宋" w:cs="Times New Roman"/>
                <w:color w:val="000000"/>
                <w:kern w:val="2"/>
                <w:sz w:val="24"/>
                <w:szCs w:val="24"/>
                <w:highlight w:val="none"/>
              </w:rPr>
            </w:pPr>
            <w:r>
              <w:rPr>
                <w:rFonts w:hint="eastAsia" w:ascii="Times New Roman" w:hAnsi="Times New Roman" w:eastAsia="仿宋" w:cs="Times New Roman"/>
                <w:color w:val="000000"/>
                <w:kern w:val="2"/>
                <w:sz w:val="24"/>
                <w:szCs w:val="24"/>
                <w:highlight w:val="none"/>
              </w:rPr>
              <w:t>1</w:t>
            </w:r>
          </w:p>
        </w:tc>
        <w:tc>
          <w:tcPr>
            <w:tcW w:w="4350" w:type="pct"/>
            <w:vAlign w:val="center"/>
          </w:tcPr>
          <w:p>
            <w:pPr>
              <w:spacing w:line="288" w:lineRule="auto"/>
              <w:jc w:val="center"/>
              <w:rPr>
                <w:rFonts w:hint="default" w:ascii="Times New Roman" w:hAnsi="Times New Roman" w:eastAsia="仿宋"/>
                <w:color w:val="000000"/>
                <w:kern w:val="2"/>
                <w:highlight w:val="none"/>
                <w:lang w:val="en-US" w:eastAsia="zh-CN"/>
              </w:rPr>
            </w:pPr>
            <w:r>
              <w:rPr>
                <w:rFonts w:hint="default" w:ascii="Times New Roman" w:hAnsi="Times New Roman" w:eastAsia="仿宋"/>
                <w:color w:val="000000"/>
                <w:kern w:val="2"/>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3" w:hRule="atLeast"/>
        </w:trPr>
        <w:tc>
          <w:tcPr>
            <w:tcW w:w="649" w:type="pct"/>
            <w:vAlign w:val="center"/>
          </w:tcPr>
          <w:p>
            <w:pPr>
              <w:spacing w:line="288" w:lineRule="auto"/>
              <w:jc w:val="center"/>
              <w:rPr>
                <w:rFonts w:hint="eastAsia" w:ascii="Times New Roman" w:hAnsi="Times New Roman" w:eastAsia="仿宋" w:cs="Times New Roman"/>
                <w:color w:val="000000"/>
                <w:kern w:val="2"/>
                <w:sz w:val="24"/>
                <w:szCs w:val="24"/>
                <w:highlight w:val="none"/>
                <w:lang w:val="en-US" w:eastAsia="zh-CN"/>
              </w:rPr>
            </w:pPr>
            <w:r>
              <w:rPr>
                <w:rFonts w:hint="eastAsia" w:ascii="Times New Roman" w:hAnsi="Times New Roman" w:eastAsia="仿宋" w:cs="Times New Roman"/>
                <w:color w:val="000000"/>
                <w:kern w:val="2"/>
                <w:sz w:val="24"/>
                <w:szCs w:val="24"/>
                <w:highlight w:val="none"/>
                <w:lang w:val="en-US" w:eastAsia="zh-CN"/>
              </w:rPr>
              <w:t>2</w:t>
            </w:r>
          </w:p>
        </w:tc>
        <w:tc>
          <w:tcPr>
            <w:tcW w:w="4350" w:type="pct"/>
            <w:vAlign w:val="center"/>
          </w:tcPr>
          <w:p>
            <w:pPr>
              <w:spacing w:line="288" w:lineRule="auto"/>
              <w:jc w:val="center"/>
              <w:rPr>
                <w:rFonts w:hint="default" w:ascii="Times New Roman" w:hAnsi="Times New Roman" w:eastAsia="仿宋"/>
                <w:color w:val="000000"/>
                <w:kern w:val="2"/>
                <w:highlight w:val="none"/>
                <w:lang w:val="en-US" w:eastAsia="zh-CN"/>
              </w:rPr>
            </w:pPr>
            <w:r>
              <w:rPr>
                <w:rFonts w:hint="default" w:ascii="Times New Roman" w:hAnsi="Times New Roman" w:eastAsia="仿宋"/>
                <w:color w:val="000000"/>
                <w:kern w:val="2"/>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649" w:type="pct"/>
            <w:vAlign w:val="center"/>
          </w:tcPr>
          <w:p>
            <w:pPr>
              <w:spacing w:line="288" w:lineRule="auto"/>
              <w:jc w:val="center"/>
              <w:rPr>
                <w:rFonts w:hint="default" w:ascii="Times New Roman" w:hAnsi="Times New Roman" w:eastAsia="仿宋" w:cs="Times New Roman"/>
                <w:color w:val="000000"/>
                <w:kern w:val="2"/>
                <w:sz w:val="24"/>
                <w:szCs w:val="24"/>
                <w:highlight w:val="none"/>
                <w:lang w:val="en-US" w:eastAsia="zh-CN"/>
              </w:rPr>
            </w:pPr>
            <w:r>
              <w:rPr>
                <w:rFonts w:hint="eastAsia" w:ascii="Times New Roman" w:hAnsi="Times New Roman" w:eastAsia="仿宋" w:cs="Times New Roman"/>
                <w:color w:val="000000"/>
                <w:kern w:val="2"/>
                <w:sz w:val="24"/>
                <w:szCs w:val="24"/>
                <w:highlight w:val="none"/>
                <w:lang w:val="en-US" w:eastAsia="zh-CN"/>
              </w:rPr>
              <w:t>3</w:t>
            </w:r>
          </w:p>
        </w:tc>
        <w:tc>
          <w:tcPr>
            <w:tcW w:w="4350" w:type="pct"/>
            <w:vAlign w:val="center"/>
          </w:tcPr>
          <w:p>
            <w:pPr>
              <w:spacing w:line="288" w:lineRule="auto"/>
              <w:jc w:val="center"/>
              <w:rPr>
                <w:rFonts w:hint="default" w:ascii="Times New Roman" w:hAnsi="Times New Roman" w:eastAsia="仿宋"/>
                <w:color w:val="000000"/>
                <w:kern w:val="2"/>
                <w:highlight w:val="none"/>
                <w:lang w:val="en-US" w:eastAsia="zh-CN"/>
              </w:rPr>
            </w:pPr>
            <w:r>
              <w:rPr>
                <w:rFonts w:hint="default" w:ascii="Times New Roman" w:hAnsi="Times New Roman" w:eastAsia="仿宋"/>
                <w:color w:val="000000"/>
                <w:kern w:val="2"/>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3" w:hRule="atLeast"/>
        </w:trPr>
        <w:tc>
          <w:tcPr>
            <w:tcW w:w="649" w:type="pct"/>
            <w:vAlign w:val="center"/>
          </w:tcPr>
          <w:p>
            <w:pPr>
              <w:spacing w:line="288" w:lineRule="auto"/>
              <w:jc w:val="center"/>
              <w:rPr>
                <w:rFonts w:hint="eastAsia" w:ascii="Times New Roman" w:hAnsi="Times New Roman" w:eastAsia="仿宋" w:cs="Times New Roman"/>
                <w:color w:val="000000"/>
                <w:kern w:val="2"/>
                <w:sz w:val="24"/>
                <w:szCs w:val="24"/>
                <w:highlight w:val="none"/>
                <w:lang w:eastAsia="zh-CN"/>
              </w:rPr>
            </w:pPr>
            <w:r>
              <w:rPr>
                <w:rFonts w:hint="eastAsia" w:ascii="Times New Roman" w:hAnsi="Times New Roman" w:eastAsia="仿宋" w:cs="Times New Roman"/>
                <w:color w:val="000000"/>
                <w:kern w:val="2"/>
                <w:sz w:val="24"/>
                <w:szCs w:val="24"/>
                <w:highlight w:val="none"/>
                <w:lang w:val="en-US" w:eastAsia="zh-CN"/>
              </w:rPr>
              <w:t>4</w:t>
            </w:r>
          </w:p>
        </w:tc>
        <w:tc>
          <w:tcPr>
            <w:tcW w:w="4350" w:type="pct"/>
            <w:vAlign w:val="center"/>
          </w:tcPr>
          <w:p>
            <w:pPr>
              <w:spacing w:line="288" w:lineRule="auto"/>
              <w:jc w:val="center"/>
              <w:rPr>
                <w:rFonts w:hint="default" w:ascii="Times New Roman" w:hAnsi="Times New Roman" w:eastAsia="仿宋"/>
                <w:color w:val="000000"/>
                <w:kern w:val="2"/>
                <w:highlight w:val="none"/>
                <w:lang w:val="en-US" w:eastAsia="zh-CN"/>
              </w:rPr>
            </w:pPr>
            <w:r>
              <w:rPr>
                <w:rFonts w:hint="default" w:ascii="Times New Roman" w:hAnsi="Times New Roman" w:eastAsia="仿宋"/>
                <w:color w:val="000000"/>
                <w:kern w:val="2"/>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649" w:type="pct"/>
            <w:vAlign w:val="center"/>
          </w:tcPr>
          <w:p>
            <w:pPr>
              <w:spacing w:line="288" w:lineRule="auto"/>
              <w:jc w:val="center"/>
              <w:rPr>
                <w:rFonts w:hint="eastAsia" w:ascii="Times New Roman" w:hAnsi="Times New Roman" w:eastAsia="仿宋" w:cs="Times New Roman"/>
                <w:color w:val="000000"/>
                <w:kern w:val="2"/>
                <w:sz w:val="24"/>
                <w:szCs w:val="24"/>
                <w:highlight w:val="none"/>
                <w:lang w:eastAsia="zh-CN"/>
              </w:rPr>
            </w:pPr>
            <w:r>
              <w:rPr>
                <w:rFonts w:hint="eastAsia" w:ascii="Times New Roman" w:hAnsi="Times New Roman" w:eastAsia="仿宋" w:cs="Times New Roman"/>
                <w:color w:val="000000"/>
                <w:kern w:val="2"/>
                <w:sz w:val="24"/>
                <w:szCs w:val="24"/>
                <w:highlight w:val="none"/>
                <w:lang w:val="en-US" w:eastAsia="zh-CN"/>
              </w:rPr>
              <w:t>5</w:t>
            </w:r>
          </w:p>
        </w:tc>
        <w:tc>
          <w:tcPr>
            <w:tcW w:w="4350" w:type="pct"/>
            <w:vAlign w:val="center"/>
          </w:tcPr>
          <w:p>
            <w:pPr>
              <w:spacing w:line="288" w:lineRule="auto"/>
              <w:jc w:val="center"/>
              <w:rPr>
                <w:rFonts w:hint="default" w:ascii="Times New Roman" w:hAnsi="Times New Roman" w:eastAsia="仿宋"/>
                <w:color w:val="000000"/>
                <w:kern w:val="2"/>
                <w:highlight w:val="none"/>
                <w:lang w:val="en-US" w:eastAsia="zh-CN"/>
              </w:rPr>
            </w:pPr>
            <w:r>
              <w:rPr>
                <w:rFonts w:hint="default" w:ascii="Times New Roman" w:hAnsi="Times New Roman" w:eastAsia="仿宋"/>
                <w:color w:val="000000"/>
                <w:kern w:val="2"/>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3" w:hRule="atLeast"/>
        </w:trPr>
        <w:tc>
          <w:tcPr>
            <w:tcW w:w="649" w:type="pct"/>
            <w:vAlign w:val="center"/>
          </w:tcPr>
          <w:p>
            <w:pPr>
              <w:spacing w:line="288" w:lineRule="auto"/>
              <w:jc w:val="center"/>
              <w:rPr>
                <w:rFonts w:hint="eastAsia" w:ascii="Times New Roman" w:hAnsi="Times New Roman" w:eastAsia="仿宋" w:cs="Times New Roman"/>
                <w:color w:val="000000"/>
                <w:kern w:val="2"/>
                <w:sz w:val="24"/>
                <w:szCs w:val="24"/>
                <w:highlight w:val="none"/>
                <w:lang w:eastAsia="zh-CN"/>
              </w:rPr>
            </w:pPr>
            <w:r>
              <w:rPr>
                <w:rFonts w:hint="eastAsia" w:ascii="Times New Roman" w:hAnsi="Times New Roman" w:eastAsia="仿宋" w:cs="Times New Roman"/>
                <w:color w:val="000000"/>
                <w:kern w:val="2"/>
                <w:sz w:val="24"/>
                <w:szCs w:val="24"/>
                <w:highlight w:val="none"/>
                <w:lang w:val="en-US" w:eastAsia="zh-CN"/>
              </w:rPr>
              <w:t>6</w:t>
            </w:r>
          </w:p>
        </w:tc>
        <w:tc>
          <w:tcPr>
            <w:tcW w:w="4350" w:type="pct"/>
            <w:vAlign w:val="center"/>
          </w:tcPr>
          <w:p>
            <w:pPr>
              <w:spacing w:line="288" w:lineRule="auto"/>
              <w:jc w:val="center"/>
              <w:rPr>
                <w:rFonts w:hint="eastAsia" w:ascii="Times New Roman" w:hAnsi="Times New Roman" w:eastAsia="仿宋"/>
                <w:color w:val="000000"/>
                <w:kern w:val="2"/>
                <w:highlight w:val="none"/>
                <w:lang w:val="en-US" w:eastAsia="zh-CN"/>
              </w:rPr>
            </w:pPr>
            <w:r>
              <w:rPr>
                <w:rFonts w:hint="default" w:ascii="Times New Roman" w:hAnsi="Times New Roman" w:eastAsia="仿宋"/>
                <w:color w:val="000000"/>
                <w:kern w:val="2"/>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49" w:type="pct"/>
            <w:vAlign w:val="center"/>
          </w:tcPr>
          <w:p>
            <w:pPr>
              <w:spacing w:line="288" w:lineRule="auto"/>
              <w:jc w:val="center"/>
              <w:rPr>
                <w:rFonts w:hint="eastAsia" w:ascii="Times New Roman" w:hAnsi="Times New Roman" w:eastAsia="仿宋" w:cs="Times New Roman"/>
                <w:color w:val="000000"/>
                <w:kern w:val="2"/>
                <w:sz w:val="24"/>
                <w:szCs w:val="24"/>
                <w:highlight w:val="none"/>
                <w:lang w:eastAsia="zh-CN"/>
              </w:rPr>
            </w:pPr>
            <w:r>
              <w:rPr>
                <w:rFonts w:hint="eastAsia" w:ascii="Times New Roman" w:hAnsi="Times New Roman" w:eastAsia="仿宋" w:cs="Times New Roman"/>
                <w:color w:val="000000"/>
                <w:kern w:val="2"/>
                <w:sz w:val="24"/>
                <w:szCs w:val="24"/>
                <w:highlight w:val="none"/>
                <w:lang w:val="en-US" w:eastAsia="zh-CN"/>
              </w:rPr>
              <w:t>7</w:t>
            </w:r>
          </w:p>
        </w:tc>
        <w:tc>
          <w:tcPr>
            <w:tcW w:w="4350" w:type="pct"/>
            <w:vAlign w:val="center"/>
          </w:tcPr>
          <w:p>
            <w:pPr>
              <w:spacing w:line="288" w:lineRule="auto"/>
              <w:jc w:val="center"/>
              <w:rPr>
                <w:rFonts w:hint="default" w:ascii="Times New Roman" w:hAnsi="Times New Roman" w:eastAsia="仿宋" w:cs="Times New Roman"/>
                <w:color w:val="000000"/>
                <w:kern w:val="2"/>
                <w:sz w:val="24"/>
                <w:szCs w:val="24"/>
                <w:highlight w:val="none"/>
                <w:lang w:val="en-US" w:eastAsia="zh-CN"/>
              </w:rPr>
            </w:pPr>
            <w:r>
              <w:rPr>
                <w:rFonts w:hint="default" w:ascii="Times New Roman" w:hAnsi="Times New Roman" w:eastAsia="仿宋"/>
                <w:color w:val="000000"/>
                <w:kern w:val="2"/>
                <w:highlight w:val="no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4" w:hRule="atLeast"/>
        </w:trPr>
        <w:tc>
          <w:tcPr>
            <w:tcW w:w="649" w:type="pct"/>
            <w:vAlign w:val="center"/>
          </w:tcPr>
          <w:p>
            <w:pPr>
              <w:spacing w:line="288" w:lineRule="auto"/>
              <w:jc w:val="center"/>
              <w:rPr>
                <w:rFonts w:hint="eastAsia" w:ascii="Times New Roman" w:hAnsi="Times New Roman" w:eastAsia="仿宋" w:cs="Times New Roman"/>
                <w:color w:val="000000"/>
                <w:kern w:val="2"/>
                <w:sz w:val="24"/>
                <w:szCs w:val="24"/>
                <w:highlight w:val="none"/>
                <w:lang w:eastAsia="zh-CN"/>
              </w:rPr>
            </w:pPr>
            <w:r>
              <w:rPr>
                <w:rFonts w:hint="eastAsia" w:ascii="Times New Roman" w:hAnsi="Times New Roman" w:eastAsia="仿宋" w:cs="Times New Roman"/>
                <w:color w:val="000000"/>
                <w:kern w:val="2"/>
                <w:sz w:val="24"/>
                <w:szCs w:val="24"/>
                <w:highlight w:val="none"/>
                <w:lang w:val="en-US" w:eastAsia="zh-CN"/>
              </w:rPr>
              <w:t>8</w:t>
            </w:r>
          </w:p>
        </w:tc>
        <w:tc>
          <w:tcPr>
            <w:tcW w:w="4350" w:type="pct"/>
            <w:vAlign w:val="center"/>
          </w:tcPr>
          <w:p>
            <w:pPr>
              <w:widowControl/>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仿宋"/>
                <w:color w:val="000000"/>
                <w:kern w:val="2"/>
                <w:highlight w:val="none"/>
                <w:lang w:val="en-US" w:eastAsia="zh-CN"/>
              </w:rPr>
              <w:t>xxx</w:t>
            </w:r>
          </w:p>
        </w:tc>
      </w:tr>
    </w:tbl>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lang w:val="en-US" w:bidi="ar-SA"/>
        </w:rPr>
      </w:pPr>
      <w:r>
        <w:rPr>
          <w:rFonts w:hint="eastAsia" w:ascii="Times New Roman" w:hAnsi="Times New Roman" w:eastAsia="宋体" w:cs="Times New Roman"/>
          <w:kern w:val="2"/>
          <w:sz w:val="24"/>
          <w:szCs w:val="24"/>
          <w:lang w:val="en-US" w:eastAsia="zh-CN" w:bidi="ar-SA"/>
        </w:rPr>
        <w:t>编制过程中，根据工作需求，编制组继续邀请了兰州朗青交通科技有限公司、XXX等单位参与该地标的编制工作，吸取相关成功案例的经验，提供更丰富的技术支撑，通过线上、线下相结合的方式，召开多次会议，讨论、修改、完善地标内容。</w:t>
      </w:r>
    </w:p>
    <w:p>
      <w:pPr>
        <w:autoSpaceDE/>
        <w:autoSpaceDN/>
        <w:adjustRightInd w:val="0"/>
        <w:snapToGrid w:val="0"/>
        <w:spacing w:line="360" w:lineRule="auto"/>
        <w:jc w:val="both"/>
        <w:outlineLvl w:val="0"/>
        <w:rPr>
          <w:rFonts w:hint="eastAsia" w:ascii="黑体" w:hAnsi="黑体" w:eastAsia="黑体" w:cs="黑体"/>
          <w:bCs/>
          <w:kern w:val="2"/>
          <w:sz w:val="28"/>
          <w:szCs w:val="28"/>
          <w:highlight w:val="none"/>
          <w:lang w:val="en-US" w:bidi="ar-SA"/>
        </w:rPr>
      </w:pPr>
      <w:bookmarkStart w:id="5" w:name="_Toc14254"/>
      <w:bookmarkStart w:id="48" w:name="_GoBack"/>
      <w:bookmarkEnd w:id="48"/>
      <w:r>
        <w:rPr>
          <w:rFonts w:hint="eastAsia" w:ascii="黑体" w:hAnsi="黑体" w:eastAsia="黑体" w:cs="黑体"/>
          <w:bCs/>
          <w:kern w:val="2"/>
          <w:sz w:val="28"/>
          <w:szCs w:val="28"/>
          <w:highlight w:val="none"/>
          <w:lang w:val="en-US" w:bidi="ar-SA"/>
        </w:rPr>
        <w:t>二、标准所涉及的产品、适用范围等基本情况</w:t>
      </w:r>
      <w:bookmarkEnd w:id="4"/>
      <w:bookmarkEnd w:id="5"/>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lang w:val="en-US" w:eastAsia="zh-CN" w:bidi="ar-SA"/>
        </w:rPr>
      </w:pPr>
      <w:bookmarkStart w:id="6" w:name="OLE_LINK45"/>
      <w:r>
        <w:rPr>
          <w:rFonts w:hint="eastAsia" w:ascii="Times New Roman" w:hAnsi="Times New Roman" w:eastAsia="宋体" w:cs="Times New Roman"/>
          <w:kern w:val="2"/>
          <w:sz w:val="24"/>
          <w:szCs w:val="24"/>
          <w:lang w:val="en-US" w:eastAsia="zh-CN" w:bidi="ar-SA"/>
        </w:rPr>
        <w:t>考虑甘肃省桥梁类型和交通信息化状况等因素，制定符合省内实际情况的接口技术规范，确保其适用性和有效性。通过对比和借鉴国内的先进经验和标准，结合甘肃省省内实际情况和需求，制定出的桥梁结构监测数据接口技术规范能够更好地服务于全省范围内的桥梁结构监测工作，提升监测数据的质量和利用效率，保障桥梁设施的安全运行。</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基于此，桥梁结构监测数据接口技术规范地方标准的适用于新建、在役公路桥梁结构监测数据对接。此外，该标准也适用于相关监管部门对桥梁结构监测数据应用的监督和管理，确保系统的安全、稳定和可靠运行，推动本地区桥梁结构监测向更加智能化、高效化、稳定化的方向发展。</w:t>
      </w:r>
    </w:p>
    <w:bookmarkEnd w:id="6"/>
    <w:p>
      <w:pPr>
        <w:autoSpaceDE/>
        <w:autoSpaceDN/>
        <w:adjustRightInd w:val="0"/>
        <w:snapToGrid w:val="0"/>
        <w:spacing w:line="360" w:lineRule="auto"/>
        <w:jc w:val="both"/>
        <w:outlineLvl w:val="0"/>
        <w:rPr>
          <w:rFonts w:hint="default" w:ascii="黑体" w:hAnsi="黑体" w:eastAsia="黑体" w:cs="黑体"/>
          <w:bCs/>
          <w:kern w:val="2"/>
          <w:sz w:val="28"/>
          <w:szCs w:val="28"/>
          <w:highlight w:val="none"/>
          <w:lang w:val="en-US" w:eastAsia="zh-CN" w:bidi="ar-SA"/>
        </w:rPr>
      </w:pPr>
      <w:bookmarkStart w:id="7" w:name="_Toc26736"/>
      <w:bookmarkStart w:id="8" w:name="OLE_LINK40"/>
      <w:r>
        <w:rPr>
          <w:rFonts w:hint="eastAsia" w:ascii="黑体" w:hAnsi="黑体" w:eastAsia="黑体" w:cs="黑体"/>
          <w:bCs/>
          <w:kern w:val="2"/>
          <w:sz w:val="28"/>
          <w:szCs w:val="28"/>
          <w:highlight w:val="none"/>
          <w:lang w:val="en-US" w:bidi="ar-SA"/>
        </w:rPr>
        <w:t>三、</w:t>
      </w:r>
      <w:r>
        <w:rPr>
          <w:rFonts w:hint="eastAsia" w:ascii="黑体" w:hAnsi="黑体" w:eastAsia="黑体" w:cs="黑体"/>
          <w:bCs/>
          <w:kern w:val="2"/>
          <w:sz w:val="28"/>
          <w:szCs w:val="28"/>
          <w:highlight w:val="none"/>
          <w:lang w:val="en-US" w:eastAsia="zh-CN" w:bidi="ar-SA"/>
        </w:rPr>
        <w:t>编制原则</w:t>
      </w:r>
      <w:r>
        <w:rPr>
          <w:rFonts w:hint="eastAsia" w:ascii="黑体" w:hAnsi="黑体" w:eastAsia="黑体" w:cs="黑体"/>
          <w:bCs/>
          <w:kern w:val="2"/>
          <w:sz w:val="28"/>
          <w:szCs w:val="28"/>
          <w:highlight w:val="none"/>
          <w:lang w:val="en-US" w:bidi="ar-SA"/>
        </w:rPr>
        <w:t>与</w:t>
      </w:r>
      <w:r>
        <w:rPr>
          <w:rFonts w:hint="eastAsia" w:ascii="黑体" w:hAnsi="黑体" w:eastAsia="黑体" w:cs="黑体"/>
          <w:bCs/>
          <w:kern w:val="2"/>
          <w:sz w:val="28"/>
          <w:szCs w:val="28"/>
          <w:highlight w:val="none"/>
          <w:lang w:val="en-US" w:eastAsia="zh-CN" w:bidi="ar-SA"/>
        </w:rPr>
        <w:t>主要内容依据</w:t>
      </w:r>
      <w:bookmarkEnd w:id="7"/>
    </w:p>
    <w:bookmarkEnd w:id="8"/>
    <w:p>
      <w:pPr>
        <w:widowControl/>
        <w:autoSpaceDE/>
        <w:autoSpaceDN/>
        <w:adjustRightInd w:val="0"/>
        <w:snapToGrid w:val="0"/>
        <w:spacing w:line="360" w:lineRule="auto"/>
        <w:jc w:val="both"/>
        <w:rPr>
          <w:rFonts w:hint="eastAsia" w:ascii="黑体" w:hAnsi="黑体" w:eastAsia="黑体" w:cs="黑体"/>
          <w:b w:val="0"/>
          <w:bCs w:val="0"/>
          <w:kern w:val="2"/>
          <w:sz w:val="24"/>
          <w:szCs w:val="24"/>
          <w:highlight w:val="none"/>
          <w:lang w:val="en-US" w:eastAsia="zh-CN" w:bidi="ar-SA"/>
        </w:rPr>
      </w:pPr>
      <w:bookmarkStart w:id="9" w:name="OLE_LINK72"/>
      <w:r>
        <w:rPr>
          <w:rFonts w:hint="eastAsia" w:ascii="黑体" w:hAnsi="黑体" w:eastAsia="黑体" w:cs="黑体"/>
          <w:b w:val="0"/>
          <w:bCs w:val="0"/>
          <w:kern w:val="2"/>
          <w:sz w:val="24"/>
          <w:szCs w:val="24"/>
          <w:highlight w:val="none"/>
          <w:lang w:val="en-US" w:bidi="ar-SA"/>
        </w:rPr>
        <w:t>3.1</w:t>
      </w:r>
      <w:r>
        <w:rPr>
          <w:rFonts w:hint="eastAsia" w:ascii="黑体" w:hAnsi="黑体" w:eastAsia="黑体" w:cs="黑体"/>
          <w:b w:val="0"/>
          <w:bCs w:val="0"/>
          <w:kern w:val="2"/>
          <w:sz w:val="24"/>
          <w:szCs w:val="24"/>
          <w:highlight w:val="none"/>
          <w:lang w:val="en-US" w:eastAsia="zh-CN" w:bidi="ar-SA"/>
        </w:rPr>
        <w:t>编制原则</w:t>
      </w:r>
    </w:p>
    <w:bookmarkEnd w:id="9"/>
    <w:p>
      <w:pPr>
        <w:widowControl/>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zh-CN" w:bidi="ar-SA"/>
        </w:rPr>
      </w:pPr>
      <w:r>
        <w:rPr>
          <w:rFonts w:ascii="Times New Roman" w:hAnsi="Times New Roman" w:eastAsia="宋体" w:cs="Times New Roman"/>
          <w:kern w:val="2"/>
          <w:sz w:val="24"/>
          <w:szCs w:val="24"/>
          <w:highlight w:val="none"/>
          <w:lang w:val="zh-CN" w:bidi="ar-SA"/>
        </w:rPr>
        <w:t>本标准</w:t>
      </w:r>
      <w:r>
        <w:rPr>
          <w:rFonts w:hint="eastAsia" w:ascii="Times New Roman" w:hAnsi="Times New Roman" w:eastAsia="宋体" w:cs="Times New Roman"/>
          <w:kern w:val="2"/>
          <w:sz w:val="24"/>
          <w:szCs w:val="24"/>
          <w:highlight w:val="none"/>
          <w:lang w:val="zh-CN" w:bidi="ar-SA"/>
        </w:rPr>
        <w:t>按照</w:t>
      </w:r>
      <w:r>
        <w:rPr>
          <w:rFonts w:hint="eastAsia" w:ascii="Times New Roman" w:hAnsi="Times New Roman" w:eastAsia="宋体" w:cs="Times New Roman"/>
          <w:kern w:val="2"/>
          <w:sz w:val="24"/>
          <w:szCs w:val="24"/>
          <w:highlight w:val="none"/>
          <w:lang w:val="en-US" w:bidi="ar-SA"/>
        </w:rPr>
        <w:t>《中华人民共和国标准化法》及其《实施细则》、</w:t>
      </w:r>
      <w:r>
        <w:rPr>
          <w:rFonts w:ascii="Times New Roman" w:hAnsi="Times New Roman" w:eastAsia="宋体" w:cs="Times New Roman"/>
          <w:kern w:val="2"/>
          <w:sz w:val="24"/>
          <w:szCs w:val="24"/>
          <w:highlight w:val="none"/>
          <w:lang w:val="zh-CN" w:bidi="ar-SA"/>
        </w:rPr>
        <w:t>GB/T 1.1-2020</w:t>
      </w:r>
      <w:r>
        <w:rPr>
          <w:rFonts w:hint="eastAsia" w:ascii="Times New Roman" w:hAnsi="Times New Roman" w:eastAsia="宋体" w:cs="Times New Roman"/>
          <w:kern w:val="2"/>
          <w:sz w:val="24"/>
          <w:szCs w:val="24"/>
          <w:highlight w:val="none"/>
          <w:lang w:val="zh-CN" w:bidi="ar-SA"/>
        </w:rPr>
        <w:t xml:space="preserve">《标准化工作导则 </w:t>
      </w:r>
      <w:r>
        <w:rPr>
          <w:rFonts w:ascii="Times New Roman" w:hAnsi="Times New Roman" w:eastAsia="宋体" w:cs="Times New Roman"/>
          <w:kern w:val="2"/>
          <w:sz w:val="24"/>
          <w:szCs w:val="24"/>
          <w:highlight w:val="none"/>
          <w:lang w:val="zh-CN" w:bidi="ar-SA"/>
        </w:rPr>
        <w:t xml:space="preserve"> </w:t>
      </w:r>
      <w:r>
        <w:rPr>
          <w:rFonts w:hint="eastAsia" w:ascii="Times New Roman" w:hAnsi="Times New Roman" w:eastAsia="宋体" w:cs="Times New Roman"/>
          <w:kern w:val="2"/>
          <w:sz w:val="24"/>
          <w:szCs w:val="24"/>
          <w:highlight w:val="none"/>
          <w:lang w:val="zh-CN" w:bidi="ar-SA"/>
        </w:rPr>
        <w:t>第1部分：标准化文件的结构和起草规则》和G</w:t>
      </w:r>
      <w:r>
        <w:rPr>
          <w:rFonts w:ascii="Times New Roman" w:hAnsi="Times New Roman" w:eastAsia="宋体" w:cs="Times New Roman"/>
          <w:kern w:val="2"/>
          <w:sz w:val="24"/>
          <w:szCs w:val="24"/>
          <w:highlight w:val="none"/>
          <w:lang w:val="zh-CN" w:bidi="ar-SA"/>
        </w:rPr>
        <w:t>B/T20001.5</w:t>
      </w:r>
      <w:r>
        <w:rPr>
          <w:rFonts w:hint="eastAsia" w:ascii="Times New Roman" w:hAnsi="Times New Roman" w:eastAsia="宋体" w:cs="Times New Roman"/>
          <w:kern w:val="2"/>
          <w:sz w:val="24"/>
          <w:szCs w:val="24"/>
          <w:highlight w:val="none"/>
          <w:lang w:val="zh-CN" w:bidi="ar-SA"/>
        </w:rPr>
        <w:t xml:space="preserve">《标准编写规则 </w:t>
      </w:r>
      <w:r>
        <w:rPr>
          <w:rFonts w:ascii="Times New Roman" w:hAnsi="Times New Roman" w:eastAsia="宋体" w:cs="Times New Roman"/>
          <w:kern w:val="2"/>
          <w:sz w:val="24"/>
          <w:szCs w:val="24"/>
          <w:highlight w:val="none"/>
          <w:lang w:val="zh-CN" w:bidi="ar-SA"/>
        </w:rPr>
        <w:t xml:space="preserve"> </w:t>
      </w:r>
      <w:r>
        <w:rPr>
          <w:rFonts w:hint="eastAsia" w:ascii="Times New Roman" w:hAnsi="Times New Roman" w:eastAsia="宋体" w:cs="Times New Roman"/>
          <w:kern w:val="2"/>
          <w:sz w:val="24"/>
          <w:szCs w:val="24"/>
          <w:highlight w:val="none"/>
          <w:lang w:val="zh-CN" w:bidi="ar-SA"/>
        </w:rPr>
        <w:t>第5部分：规范标准》的规定起草</w:t>
      </w:r>
      <w:r>
        <w:rPr>
          <w:rFonts w:ascii="Times New Roman" w:hAnsi="Times New Roman" w:eastAsia="宋体" w:cs="Times New Roman"/>
          <w:kern w:val="2"/>
          <w:sz w:val="24"/>
          <w:szCs w:val="24"/>
          <w:highlight w:val="none"/>
          <w:lang w:val="zh-CN" w:bidi="ar-SA"/>
        </w:rPr>
        <w:t>。</w:t>
      </w:r>
    </w:p>
    <w:p>
      <w:pPr>
        <w:widowControl/>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bookmarkStart w:id="10" w:name="OLE_LINK37"/>
      <w:r>
        <w:rPr>
          <w:rFonts w:hint="eastAsia" w:ascii="Times New Roman" w:hAnsi="Times New Roman" w:eastAsia="宋体" w:cs="Times New Roman"/>
          <w:kern w:val="2"/>
          <w:sz w:val="24"/>
          <w:szCs w:val="24"/>
          <w:highlight w:val="none"/>
          <w:lang w:val="en-US" w:bidi="ar-SA"/>
        </w:rPr>
        <w:t>本标准是在</w:t>
      </w:r>
      <w:r>
        <w:rPr>
          <w:rFonts w:hint="eastAsia" w:ascii="Times New Roman" w:hAnsi="Times New Roman" w:eastAsia="宋体" w:cs="Times New Roman"/>
          <w:kern w:val="2"/>
          <w:sz w:val="24"/>
          <w:szCs w:val="24"/>
          <w:highlight w:val="none"/>
          <w:lang w:val="en-US" w:eastAsia="zh-CN" w:bidi="ar-SA"/>
        </w:rPr>
        <w:t>综合国标、行标、</w:t>
      </w:r>
      <w:r>
        <w:rPr>
          <w:rFonts w:hint="eastAsia" w:ascii="Times New Roman" w:hAnsi="Times New Roman" w:eastAsia="宋体" w:cs="Times New Roman"/>
          <w:kern w:val="2"/>
          <w:sz w:val="24"/>
          <w:szCs w:val="24"/>
          <w:highlight w:val="none"/>
          <w:lang w:val="en-US" w:bidi="ar-SA"/>
        </w:rPr>
        <w:t>团标和其他地方标准的基础之上，通过</w:t>
      </w:r>
      <w:bookmarkStart w:id="11" w:name="OLE_LINK8"/>
      <w:r>
        <w:rPr>
          <w:rFonts w:hint="eastAsia" w:ascii="Times New Roman" w:hAnsi="Times New Roman" w:eastAsia="宋体" w:cs="Times New Roman"/>
          <w:kern w:val="2"/>
          <w:sz w:val="24"/>
          <w:szCs w:val="24"/>
          <w:highlight w:val="none"/>
          <w:lang w:val="en-US" w:bidi="ar-SA"/>
        </w:rPr>
        <w:t>甘肃省</w:t>
      </w:r>
      <w:bookmarkEnd w:id="11"/>
      <w:r>
        <w:rPr>
          <w:rFonts w:hint="eastAsia" w:ascii="Times New Roman" w:hAnsi="Times New Roman" w:eastAsia="宋体" w:cs="Times New Roman"/>
          <w:kern w:val="2"/>
          <w:sz w:val="24"/>
          <w:szCs w:val="24"/>
          <w:highlight w:val="none"/>
          <w:lang w:val="en-US" w:eastAsia="zh-CN" w:bidi="ar-SA"/>
        </w:rPr>
        <w:t>公路桥梁结构监测</w:t>
      </w:r>
      <w:r>
        <w:rPr>
          <w:rFonts w:hint="eastAsia" w:ascii="Times New Roman" w:hAnsi="Times New Roman" w:eastAsia="宋体" w:cs="Times New Roman"/>
          <w:kern w:val="2"/>
          <w:sz w:val="24"/>
          <w:szCs w:val="24"/>
          <w:highlight w:val="none"/>
          <w:lang w:val="en-US" w:bidi="ar-SA"/>
        </w:rPr>
        <w:t>应用</w:t>
      </w:r>
      <w:bookmarkStart w:id="12" w:name="OLE_LINK34"/>
      <w:r>
        <w:rPr>
          <w:rFonts w:hint="eastAsia" w:ascii="Times New Roman" w:hAnsi="Times New Roman" w:eastAsia="宋体" w:cs="Times New Roman"/>
          <w:kern w:val="2"/>
          <w:sz w:val="24"/>
          <w:szCs w:val="24"/>
          <w:highlight w:val="none"/>
          <w:lang w:val="en-US" w:bidi="ar-SA"/>
        </w:rPr>
        <w:t>案例，结合</w:t>
      </w:r>
      <w:r>
        <w:rPr>
          <w:rFonts w:hint="eastAsia" w:ascii="Times New Roman" w:hAnsi="Times New Roman" w:eastAsia="宋体" w:cs="Times New Roman"/>
          <w:kern w:val="2"/>
          <w:sz w:val="24"/>
          <w:szCs w:val="24"/>
          <w:highlight w:val="none"/>
          <w:lang w:val="en-US" w:eastAsia="zh-CN" w:bidi="ar-SA"/>
        </w:rPr>
        <w:t>结构监测及数据分析</w:t>
      </w:r>
      <w:r>
        <w:rPr>
          <w:rFonts w:hint="eastAsia" w:ascii="Times New Roman" w:hAnsi="Times New Roman" w:eastAsia="宋体" w:cs="Times New Roman"/>
          <w:kern w:val="2"/>
          <w:sz w:val="24"/>
          <w:szCs w:val="24"/>
          <w:highlight w:val="none"/>
          <w:lang w:val="en-US" w:bidi="ar-SA"/>
        </w:rPr>
        <w:t>经验等编制而成</w:t>
      </w:r>
      <w:bookmarkStart w:id="13" w:name="OLE_LINK31"/>
      <w:r>
        <w:rPr>
          <w:rFonts w:hint="eastAsia" w:ascii="Times New Roman" w:hAnsi="Times New Roman" w:eastAsia="宋体" w:cs="Times New Roman"/>
          <w:kern w:val="2"/>
          <w:sz w:val="24"/>
          <w:szCs w:val="24"/>
          <w:highlight w:val="none"/>
          <w:lang w:val="en-US" w:bidi="ar-SA"/>
        </w:rPr>
        <w:t>；</w:t>
      </w:r>
      <w:bookmarkEnd w:id="13"/>
      <w:r>
        <w:rPr>
          <w:rFonts w:hint="eastAsia" w:ascii="Times New Roman" w:hAnsi="Times New Roman" w:eastAsia="宋体" w:cs="Times New Roman"/>
          <w:kern w:val="2"/>
          <w:sz w:val="24"/>
          <w:szCs w:val="24"/>
          <w:highlight w:val="none"/>
          <w:lang w:val="en-US" w:bidi="ar-SA"/>
        </w:rPr>
        <w:t>在编制过程中，本规范借鉴了国内其他省市地方标准的先进经验</w:t>
      </w:r>
      <w:bookmarkStart w:id="14" w:name="OLE_LINK7"/>
      <w:r>
        <w:rPr>
          <w:rFonts w:hint="eastAsia" w:ascii="Times New Roman" w:hAnsi="Times New Roman" w:eastAsia="宋体" w:cs="Times New Roman"/>
          <w:kern w:val="2"/>
          <w:sz w:val="24"/>
          <w:szCs w:val="24"/>
          <w:highlight w:val="none"/>
          <w:lang w:val="en-US" w:bidi="ar-SA"/>
        </w:rPr>
        <w:t>（如</w:t>
      </w:r>
      <w:bookmarkEnd w:id="14"/>
      <w:r>
        <w:rPr>
          <w:rFonts w:hint="eastAsia" w:ascii="Times New Roman" w:hAnsi="Times New Roman" w:eastAsia="宋体" w:cs="Times New Roman"/>
          <w:kern w:val="2"/>
          <w:sz w:val="24"/>
          <w:szCs w:val="24"/>
          <w:highlight w:val="none"/>
          <w:lang w:val="en-US" w:eastAsia="zh-CN" w:bidi="ar-SA"/>
        </w:rPr>
        <w:t>江苏、青海</w:t>
      </w:r>
      <w:r>
        <w:rPr>
          <w:rFonts w:hint="eastAsia" w:ascii="Times New Roman" w:hAnsi="Times New Roman" w:eastAsia="宋体" w:cs="Times New Roman"/>
          <w:kern w:val="2"/>
          <w:sz w:val="24"/>
          <w:szCs w:val="24"/>
          <w:highlight w:val="none"/>
          <w:lang w:val="en-US" w:bidi="ar-SA"/>
        </w:rPr>
        <w:t>等</w:t>
      </w:r>
      <w:bookmarkStart w:id="15" w:name="OLE_LINK33"/>
      <w:r>
        <w:rPr>
          <w:rFonts w:hint="eastAsia" w:ascii="Times New Roman" w:hAnsi="Times New Roman" w:eastAsia="宋体" w:cs="Times New Roman"/>
          <w:kern w:val="2"/>
          <w:sz w:val="24"/>
          <w:szCs w:val="24"/>
          <w:highlight w:val="none"/>
          <w:lang w:val="en-US" w:bidi="ar-SA"/>
        </w:rPr>
        <w:t>）</w:t>
      </w:r>
      <w:r>
        <w:rPr>
          <w:rFonts w:hint="eastAsia" w:ascii="Times New Roman" w:hAnsi="Times New Roman" w:eastAsia="宋体" w:cs="Times New Roman"/>
          <w:kern w:val="2"/>
          <w:sz w:val="24"/>
          <w:szCs w:val="24"/>
          <w:highlight w:val="none"/>
          <w:lang w:val="en-US" w:eastAsia="zh-CN" w:bidi="ar-SA"/>
        </w:rPr>
        <w:t>；</w:t>
      </w:r>
      <w:bookmarkEnd w:id="15"/>
      <w:r>
        <w:rPr>
          <w:rFonts w:hint="eastAsia" w:ascii="Times New Roman" w:hAnsi="Times New Roman" w:eastAsia="宋体" w:cs="Times New Roman"/>
          <w:kern w:val="2"/>
          <w:sz w:val="24"/>
          <w:szCs w:val="24"/>
          <w:highlight w:val="none"/>
          <w:lang w:val="en-US" w:bidi="ar-SA"/>
        </w:rPr>
        <w:t>在技术指标上，本规范对</w:t>
      </w:r>
      <w:r>
        <w:rPr>
          <w:rFonts w:hint="eastAsia" w:ascii="Times New Roman" w:hAnsi="Times New Roman" w:eastAsia="宋体" w:cs="Times New Roman"/>
          <w:kern w:val="2"/>
          <w:sz w:val="24"/>
          <w:szCs w:val="24"/>
          <w:highlight w:val="none"/>
          <w:lang w:val="en-US" w:eastAsia="zh-CN" w:bidi="ar-SA"/>
        </w:rPr>
        <w:t>公路桥梁结构监测过程中数据传输的范围、数据对接协议、接口参数等进行了细化规定</w:t>
      </w:r>
      <w:bookmarkEnd w:id="12"/>
      <w:r>
        <w:rPr>
          <w:rFonts w:hint="eastAsia" w:ascii="Times New Roman" w:hAnsi="Times New Roman" w:eastAsia="宋体" w:cs="Times New Roman"/>
          <w:kern w:val="2"/>
          <w:sz w:val="24"/>
          <w:szCs w:val="24"/>
          <w:highlight w:val="none"/>
          <w:lang w:val="en-US" w:eastAsia="zh-CN" w:bidi="ar-SA"/>
        </w:rPr>
        <w:t>。</w:t>
      </w:r>
    </w:p>
    <w:bookmarkEnd w:id="10"/>
    <w:p>
      <w:pPr>
        <w:widowControl/>
        <w:autoSpaceDE/>
        <w:autoSpaceDN/>
        <w:adjustRightInd w:val="0"/>
        <w:snapToGrid w:val="0"/>
        <w:spacing w:line="360" w:lineRule="auto"/>
        <w:jc w:val="both"/>
        <w:rPr>
          <w:rFonts w:hint="eastAsia" w:ascii="黑体" w:hAnsi="黑体" w:eastAsia="黑体" w:cs="黑体"/>
          <w:b w:val="0"/>
          <w:bCs w:val="0"/>
          <w:kern w:val="2"/>
          <w:sz w:val="24"/>
          <w:szCs w:val="24"/>
          <w:highlight w:val="none"/>
          <w:lang w:val="en-US" w:eastAsia="zh-CN" w:bidi="ar-SA"/>
        </w:rPr>
      </w:pPr>
      <w:bookmarkStart w:id="16" w:name="OLE_LINK73"/>
      <w:r>
        <w:rPr>
          <w:rFonts w:hint="eastAsia" w:ascii="黑体" w:hAnsi="黑体" w:eastAsia="黑体" w:cs="黑体"/>
          <w:b w:val="0"/>
          <w:bCs w:val="0"/>
          <w:kern w:val="2"/>
          <w:sz w:val="24"/>
          <w:szCs w:val="24"/>
          <w:highlight w:val="none"/>
          <w:lang w:val="en-US" w:bidi="ar-SA"/>
        </w:rPr>
        <w:t>3.</w:t>
      </w:r>
      <w:r>
        <w:rPr>
          <w:rFonts w:hint="eastAsia" w:ascii="黑体" w:hAnsi="黑体" w:eastAsia="黑体" w:cs="黑体"/>
          <w:b w:val="0"/>
          <w:bCs w:val="0"/>
          <w:kern w:val="2"/>
          <w:sz w:val="24"/>
          <w:szCs w:val="24"/>
          <w:highlight w:val="none"/>
          <w:lang w:val="en-US" w:eastAsia="zh-CN" w:bidi="ar-SA"/>
        </w:rPr>
        <w:t>2主要内容</w:t>
      </w:r>
    </w:p>
    <w:bookmarkEnd w:id="16"/>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bidi="ar-SA"/>
        </w:rPr>
      </w:pPr>
      <w:bookmarkStart w:id="17" w:name="OLE_LINK1"/>
      <w:r>
        <w:rPr>
          <w:rFonts w:hint="eastAsia" w:ascii="Times New Roman" w:hAnsi="Times New Roman" w:eastAsia="宋体" w:cs="Times New Roman"/>
          <w:kern w:val="2"/>
          <w:sz w:val="24"/>
          <w:szCs w:val="24"/>
          <w:highlight w:val="none"/>
          <w:lang w:val="en-US" w:bidi="ar-SA"/>
        </w:rPr>
        <w:t>本规范共</w:t>
      </w:r>
      <w:r>
        <w:rPr>
          <w:rFonts w:hint="eastAsia" w:ascii="Times New Roman" w:hAnsi="Times New Roman" w:eastAsia="宋体" w:cs="Times New Roman"/>
          <w:kern w:val="2"/>
          <w:sz w:val="24"/>
          <w:szCs w:val="24"/>
          <w:highlight w:val="none"/>
          <w:lang w:val="en-US" w:eastAsia="zh-CN" w:bidi="ar-SA"/>
        </w:rPr>
        <w:t>8</w:t>
      </w:r>
      <w:r>
        <w:rPr>
          <w:rFonts w:hint="eastAsia" w:ascii="Times New Roman" w:hAnsi="Times New Roman" w:eastAsia="宋体" w:cs="Times New Roman"/>
          <w:kern w:val="2"/>
          <w:sz w:val="24"/>
          <w:szCs w:val="24"/>
          <w:highlight w:val="none"/>
          <w:lang w:val="en-US" w:bidi="ar-SA"/>
        </w:rPr>
        <w:t>章，分别是：</w:t>
      </w:r>
      <w:bookmarkStart w:id="18" w:name="OLE_LINK2"/>
      <w:r>
        <w:rPr>
          <w:rFonts w:hint="eastAsia" w:ascii="Times New Roman" w:hAnsi="Times New Roman" w:eastAsia="宋体" w:cs="Times New Roman"/>
          <w:kern w:val="2"/>
          <w:sz w:val="24"/>
          <w:szCs w:val="24"/>
          <w:highlight w:val="none"/>
          <w:lang w:val="en-US" w:bidi="ar-SA"/>
        </w:rPr>
        <w:t>1.范围</w:t>
      </w:r>
      <w:r>
        <w:rPr>
          <w:rFonts w:hint="eastAsia" w:ascii="Times New Roman" w:hAnsi="Times New Roman" w:eastAsia="宋体"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bidi="ar-SA"/>
        </w:rPr>
        <w:t>2.规范性引用文件</w:t>
      </w:r>
      <w:r>
        <w:rPr>
          <w:rFonts w:hint="eastAsia" w:ascii="Times New Roman" w:hAnsi="Times New Roman" w:eastAsia="宋体"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bidi="ar-SA"/>
        </w:rPr>
        <w:t>3.术语和定义</w:t>
      </w:r>
      <w:r>
        <w:rPr>
          <w:rFonts w:hint="eastAsia" w:ascii="Times New Roman" w:hAnsi="Times New Roman" w:eastAsia="宋体"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bidi="ar-SA"/>
        </w:rPr>
        <w:t>4.接口类别</w:t>
      </w:r>
      <w:r>
        <w:rPr>
          <w:rFonts w:hint="eastAsia" w:ascii="Times New Roman" w:hAnsi="Times New Roman" w:eastAsia="宋体"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bidi="ar-SA"/>
        </w:rPr>
        <w:t>5业务数据接口</w:t>
      </w:r>
      <w:r>
        <w:rPr>
          <w:rFonts w:hint="eastAsia" w:ascii="Times New Roman" w:hAnsi="Times New Roman" w:eastAsia="宋体"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bidi="ar-SA"/>
        </w:rPr>
        <w:t>6.监测数据接口</w:t>
      </w:r>
      <w:r>
        <w:rPr>
          <w:rFonts w:hint="eastAsia" w:ascii="Times New Roman" w:hAnsi="Times New Roman" w:eastAsia="宋体"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bidi="ar-SA"/>
        </w:rPr>
        <w:t>7.下穿访问接口</w:t>
      </w:r>
      <w:r>
        <w:rPr>
          <w:rFonts w:hint="eastAsia" w:ascii="Times New Roman" w:hAnsi="Times New Roman" w:eastAsia="宋体"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bidi="ar-SA"/>
        </w:rPr>
        <w:t>8.</w:t>
      </w:r>
      <w:r>
        <w:rPr>
          <w:rFonts w:hint="eastAsia" w:ascii="Times New Roman" w:hAnsi="Times New Roman" w:eastAsia="宋体" w:cs="Times New Roman"/>
          <w:kern w:val="2"/>
          <w:sz w:val="24"/>
          <w:szCs w:val="24"/>
          <w:highlight w:val="none"/>
          <w:lang w:val="en-US" w:eastAsia="zh-CN" w:bidi="ar-SA"/>
        </w:rPr>
        <w:t>数据安全</w:t>
      </w:r>
      <w:bookmarkEnd w:id="18"/>
      <w:r>
        <w:rPr>
          <w:rFonts w:hint="eastAsia" w:ascii="Times New Roman" w:hAnsi="Times New Roman" w:eastAsia="宋体" w:cs="Times New Roman"/>
          <w:kern w:val="2"/>
          <w:sz w:val="24"/>
          <w:szCs w:val="24"/>
          <w:highlight w:val="none"/>
          <w:lang w:val="en-US" w:eastAsia="zh-CN" w:bidi="ar-SA"/>
        </w:rPr>
        <w:t>。</w:t>
      </w:r>
    </w:p>
    <w:bookmarkEnd w:id="17"/>
    <w:p>
      <w:pPr>
        <w:widowControl/>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bookmarkStart w:id="19" w:name="OLE_LINK3"/>
      <w:r>
        <w:rPr>
          <w:rFonts w:ascii="Times New Roman" w:hAnsi="Times New Roman" w:eastAsia="宋体" w:cs="Times New Roman"/>
          <w:kern w:val="2"/>
          <w:sz w:val="24"/>
          <w:szCs w:val="24"/>
          <w:highlight w:val="none"/>
          <w:lang w:val="en-US" w:bidi="ar-SA"/>
        </w:rPr>
        <w:t>1</w:t>
      </w:r>
      <w:r>
        <w:rPr>
          <w:rFonts w:hint="eastAsia" w:ascii="Times New Roman" w:hAnsi="Times New Roman" w:eastAsia="宋体" w:cs="Times New Roman"/>
          <w:kern w:val="2"/>
          <w:sz w:val="24"/>
          <w:szCs w:val="24"/>
          <w:highlight w:val="none"/>
          <w:lang w:val="en-US" w:eastAsia="zh-CN" w:bidi="ar-SA"/>
        </w:rPr>
        <w:t xml:space="preserve"> </w:t>
      </w:r>
      <w:r>
        <w:rPr>
          <w:rFonts w:ascii="Times New Roman" w:hAnsi="Times New Roman" w:eastAsia="宋体" w:cs="Times New Roman"/>
          <w:kern w:val="2"/>
          <w:sz w:val="24"/>
          <w:szCs w:val="24"/>
          <w:highlight w:val="none"/>
          <w:lang w:val="en-US" w:bidi="ar-SA"/>
        </w:rPr>
        <w:t>范围</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ascii="Times New Roman" w:hAnsi="Times New Roman" w:eastAsia="宋体" w:cs="Times New Roman"/>
          <w:kern w:val="2"/>
          <w:sz w:val="24"/>
          <w:szCs w:val="24"/>
          <w:highlight w:val="none"/>
          <w:lang w:val="en-US" w:bidi="ar-SA"/>
        </w:rPr>
      </w:pPr>
      <w:bookmarkStart w:id="20" w:name="OLE_LINK4"/>
      <w:r>
        <w:rPr>
          <w:rFonts w:hint="eastAsia" w:ascii="Times New Roman" w:hAnsi="Times New Roman" w:eastAsia="宋体" w:cs="Times New Roman"/>
          <w:kern w:val="2"/>
          <w:sz w:val="24"/>
          <w:szCs w:val="24"/>
          <w:highlight w:val="none"/>
          <w:lang w:val="en-US" w:bidi="ar-SA"/>
        </w:rPr>
        <w:t>范围以总则形式</w:t>
      </w:r>
      <w:r>
        <w:rPr>
          <w:rFonts w:hint="eastAsia" w:ascii="Times New Roman" w:hAnsi="Times New Roman" w:eastAsia="宋体" w:cs="Times New Roman"/>
          <w:kern w:val="2"/>
          <w:sz w:val="24"/>
          <w:szCs w:val="24"/>
          <w:highlight w:val="none"/>
          <w:lang w:val="en-US" w:eastAsia="zh-CN" w:bidi="ar-SA"/>
        </w:rPr>
        <w:t>说明</w:t>
      </w:r>
      <w:r>
        <w:rPr>
          <w:rFonts w:hint="eastAsia" w:ascii="Times New Roman" w:hAnsi="Times New Roman" w:eastAsia="宋体" w:cs="Times New Roman"/>
          <w:kern w:val="2"/>
          <w:sz w:val="24"/>
          <w:szCs w:val="24"/>
          <w:highlight w:val="none"/>
          <w:lang w:val="en-US" w:bidi="ar-SA"/>
        </w:rPr>
        <w:t>了桥梁结构监测数据接口</w:t>
      </w:r>
      <w:r>
        <w:rPr>
          <w:rFonts w:hint="eastAsia" w:ascii="Times New Roman" w:hAnsi="Times New Roman" w:eastAsia="宋体" w:cs="Times New Roman"/>
          <w:kern w:val="2"/>
          <w:sz w:val="24"/>
          <w:szCs w:val="24"/>
          <w:highlight w:val="none"/>
          <w:lang w:val="en-US" w:eastAsia="zh-CN" w:bidi="ar-SA"/>
        </w:rPr>
        <w:t>的规范性要求</w:t>
      </w:r>
      <w:r>
        <w:rPr>
          <w:rFonts w:hint="eastAsia" w:ascii="Times New Roman" w:hAnsi="Times New Roman" w:eastAsia="宋体" w:cs="Times New Roman"/>
          <w:kern w:val="2"/>
          <w:sz w:val="24"/>
          <w:szCs w:val="24"/>
          <w:highlight w:val="none"/>
          <w:lang w:val="en-US" w:bidi="ar-SA"/>
        </w:rPr>
        <w:t>，明确了本规范的内容和适用范围。</w:t>
      </w:r>
    </w:p>
    <w:bookmarkEnd w:id="20"/>
    <w:p>
      <w:pPr>
        <w:widowControl/>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ascii="Times New Roman" w:hAnsi="Times New Roman" w:eastAsia="宋体" w:cs="Times New Roman"/>
          <w:kern w:val="2"/>
          <w:sz w:val="24"/>
          <w:szCs w:val="24"/>
          <w:highlight w:val="none"/>
          <w:lang w:val="en-US" w:bidi="ar-SA"/>
        </w:rPr>
        <w:t>2</w:t>
      </w:r>
      <w:r>
        <w:rPr>
          <w:rFonts w:hint="eastAsia" w:ascii="Times New Roman" w:hAnsi="Times New Roman" w:eastAsia="宋体" w:cs="Times New Roman"/>
          <w:kern w:val="2"/>
          <w:sz w:val="24"/>
          <w:szCs w:val="24"/>
          <w:highlight w:val="none"/>
          <w:lang w:val="en-US" w:eastAsia="zh-CN" w:bidi="ar-SA"/>
        </w:rPr>
        <w:t xml:space="preserve"> </w:t>
      </w:r>
      <w:r>
        <w:rPr>
          <w:rFonts w:ascii="Times New Roman" w:hAnsi="Times New Roman" w:eastAsia="宋体" w:cs="Times New Roman"/>
          <w:kern w:val="2"/>
          <w:sz w:val="24"/>
          <w:szCs w:val="24"/>
          <w:highlight w:val="none"/>
          <w:lang w:val="en-US" w:bidi="ar-SA"/>
        </w:rPr>
        <w:t>规范性引用文件</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本</w:t>
      </w:r>
      <w:r>
        <w:rPr>
          <w:rFonts w:hint="eastAsia" w:ascii="Times New Roman" w:hAnsi="Times New Roman" w:eastAsia="宋体" w:cs="Times New Roman"/>
          <w:kern w:val="2"/>
          <w:sz w:val="24"/>
          <w:szCs w:val="24"/>
          <w:highlight w:val="none"/>
          <w:lang w:val="en-US" w:eastAsia="zh-CN" w:bidi="ar-SA"/>
        </w:rPr>
        <w:t>规范引用的文件主要包括桥梁结构监测、数据安全、数据格式等相关领域的国标、行标或团标，</w:t>
      </w:r>
      <w:r>
        <w:rPr>
          <w:rFonts w:hint="default" w:ascii="Times New Roman" w:hAnsi="Times New Roman" w:eastAsia="宋体" w:cs="Times New Roman"/>
          <w:kern w:val="2"/>
          <w:sz w:val="24"/>
          <w:szCs w:val="24"/>
          <w:highlight w:val="none"/>
          <w:lang w:val="en-US" w:bidi="ar-SA"/>
        </w:rPr>
        <w:t>所引用文件</w:t>
      </w:r>
      <w:r>
        <w:rPr>
          <w:rFonts w:hint="eastAsia" w:ascii="Times New Roman" w:hAnsi="Times New Roman" w:eastAsia="宋体" w:cs="Times New Roman"/>
          <w:kern w:val="2"/>
          <w:sz w:val="24"/>
          <w:szCs w:val="24"/>
          <w:highlight w:val="none"/>
          <w:lang w:val="en-US" w:eastAsia="zh-CN" w:bidi="ar-SA"/>
        </w:rPr>
        <w:t>均为</w:t>
      </w:r>
      <w:r>
        <w:rPr>
          <w:rFonts w:hint="default" w:ascii="Times New Roman" w:hAnsi="Times New Roman" w:eastAsia="宋体" w:cs="Times New Roman"/>
          <w:kern w:val="2"/>
          <w:sz w:val="24"/>
          <w:szCs w:val="24"/>
          <w:highlight w:val="none"/>
          <w:lang w:val="en-US" w:bidi="ar-SA"/>
        </w:rPr>
        <w:t>最新版本</w:t>
      </w:r>
      <w:r>
        <w:rPr>
          <w:rFonts w:hint="eastAsia" w:ascii="Times New Roman" w:hAnsi="Times New Roman" w:eastAsia="宋体" w:cs="Times New Roman"/>
          <w:kern w:val="2"/>
          <w:sz w:val="24"/>
          <w:szCs w:val="24"/>
          <w:highlight w:val="none"/>
          <w:lang w:val="en-US" w:eastAsia="zh-CN" w:bidi="ar-SA"/>
        </w:rPr>
        <w:t>，</w:t>
      </w:r>
      <w:r>
        <w:rPr>
          <w:rFonts w:hint="default" w:ascii="Times New Roman" w:hAnsi="Times New Roman" w:eastAsia="宋体" w:cs="Times New Roman"/>
          <w:kern w:val="2"/>
          <w:sz w:val="24"/>
          <w:szCs w:val="24"/>
          <w:highlight w:val="none"/>
          <w:lang w:val="en-US" w:bidi="ar-SA"/>
        </w:rPr>
        <w:t>适用本</w:t>
      </w:r>
      <w:r>
        <w:rPr>
          <w:rFonts w:hint="eastAsia" w:ascii="Times New Roman" w:hAnsi="Times New Roman" w:eastAsia="宋体" w:cs="Times New Roman"/>
          <w:kern w:val="2"/>
          <w:sz w:val="24"/>
          <w:szCs w:val="24"/>
          <w:highlight w:val="none"/>
          <w:lang w:val="en-US" w:eastAsia="zh-CN" w:bidi="ar-SA"/>
        </w:rPr>
        <w:t>规范。</w:t>
      </w:r>
    </w:p>
    <w:p>
      <w:pPr>
        <w:widowControl/>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ascii="Times New Roman" w:hAnsi="Times New Roman" w:eastAsia="宋体" w:cs="Times New Roman"/>
          <w:kern w:val="2"/>
          <w:sz w:val="24"/>
          <w:szCs w:val="24"/>
          <w:highlight w:val="none"/>
          <w:lang w:val="en-US" w:bidi="ar-SA"/>
        </w:rPr>
        <w:t>3</w:t>
      </w:r>
      <w:r>
        <w:rPr>
          <w:rFonts w:hint="eastAsia" w:ascii="Times New Roman" w:hAnsi="Times New Roman" w:eastAsia="宋体" w:cs="Times New Roman"/>
          <w:kern w:val="2"/>
          <w:sz w:val="24"/>
          <w:szCs w:val="24"/>
          <w:highlight w:val="none"/>
          <w:lang w:val="en-US" w:eastAsia="zh-CN" w:bidi="ar-SA"/>
        </w:rPr>
        <w:t xml:space="preserve"> </w:t>
      </w:r>
      <w:r>
        <w:rPr>
          <w:rFonts w:ascii="Times New Roman" w:hAnsi="Times New Roman" w:eastAsia="宋体" w:cs="Times New Roman"/>
          <w:kern w:val="2"/>
          <w:sz w:val="24"/>
          <w:szCs w:val="24"/>
          <w:highlight w:val="none"/>
          <w:lang w:val="en-US" w:bidi="ar-SA"/>
        </w:rPr>
        <w:t>术语和定义</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bookmarkStart w:id="21" w:name="OLE_LINK5"/>
      <w:r>
        <w:rPr>
          <w:rFonts w:hint="eastAsia" w:ascii="Times New Roman" w:hAnsi="Times New Roman" w:eastAsia="宋体" w:cs="Times New Roman"/>
          <w:kern w:val="2"/>
          <w:sz w:val="24"/>
          <w:szCs w:val="24"/>
          <w:highlight w:val="none"/>
          <w:lang w:val="en-US" w:eastAsia="zh-CN" w:bidi="ar-SA"/>
        </w:rPr>
        <w:t>本章规定了桥梁结构监测数据接口技术规范中所涉及的术语和定义。</w:t>
      </w:r>
    </w:p>
    <w:bookmarkEnd w:id="21"/>
    <w:p>
      <w:pPr>
        <w:widowControl/>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bidi="ar-SA"/>
        </w:rPr>
        <w:t>4</w:t>
      </w:r>
      <w:r>
        <w:rPr>
          <w:rFonts w:hint="eastAsia" w:ascii="Times New Roman" w:hAnsi="Times New Roman" w:eastAsia="宋体" w:cs="Times New Roman"/>
          <w:kern w:val="2"/>
          <w:sz w:val="24"/>
          <w:szCs w:val="24"/>
          <w:highlight w:val="none"/>
          <w:lang w:val="en-US" w:eastAsia="zh-CN" w:bidi="ar-SA"/>
        </w:rPr>
        <w:t xml:space="preserve"> 接口类别</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本章阐述了公路桥梁结构监测数据对接过程中需要使用的接口的类别。</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bidi="ar-SA"/>
        </w:rPr>
        <w:t>5</w:t>
      </w:r>
      <w:r>
        <w:rPr>
          <w:rFonts w:hint="eastAsia" w:ascii="Times New Roman" w:hAnsi="Times New Roman" w:eastAsia="宋体" w:cs="Times New Roman"/>
          <w:kern w:val="2"/>
          <w:sz w:val="24"/>
          <w:szCs w:val="24"/>
          <w:highlight w:val="none"/>
          <w:lang w:val="en-US" w:eastAsia="zh-CN" w:bidi="ar-SA"/>
        </w:rPr>
        <w:t xml:space="preserve"> 业务数据接口</w:t>
      </w:r>
    </w:p>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本章对公路桥梁结构监测系统与省级平台进行业务数据交换过程中所使用的接口进行了规范性说明。</w:t>
      </w:r>
    </w:p>
    <w:p>
      <w:pPr>
        <w:widowControl/>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bidi="ar-SA"/>
        </w:rPr>
        <w:t>6</w:t>
      </w:r>
      <w:r>
        <w:rPr>
          <w:rFonts w:hint="eastAsia" w:ascii="Times New Roman" w:hAnsi="Times New Roman" w:eastAsia="宋体" w:cs="Times New Roman"/>
          <w:kern w:val="2"/>
          <w:sz w:val="24"/>
          <w:szCs w:val="24"/>
          <w:highlight w:val="none"/>
          <w:lang w:val="en-US" w:eastAsia="zh-CN" w:bidi="ar-SA"/>
        </w:rPr>
        <w:t xml:space="preserve"> 监测数据接口</w:t>
      </w:r>
    </w:p>
    <w:p>
      <w:pPr>
        <w:widowControl/>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bookmarkStart w:id="22" w:name="OLE_LINK22"/>
      <w:r>
        <w:rPr>
          <w:rFonts w:hint="eastAsia" w:ascii="Times New Roman" w:hAnsi="Times New Roman" w:eastAsia="宋体" w:cs="Times New Roman"/>
          <w:kern w:val="2"/>
          <w:sz w:val="24"/>
          <w:szCs w:val="24"/>
          <w:highlight w:val="none"/>
          <w:lang w:val="en-US" w:eastAsia="zh-CN" w:bidi="ar-SA"/>
        </w:rPr>
        <w:t>本章对公路桥梁结构监测系统传输监测数据所使用的接口进行了规范性说明。</w:t>
      </w:r>
    </w:p>
    <w:bookmarkEnd w:id="22"/>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bidi="ar-SA"/>
        </w:rPr>
        <w:t>7</w:t>
      </w:r>
      <w:bookmarkStart w:id="23" w:name="OLE_LINK23"/>
      <w:r>
        <w:rPr>
          <w:rFonts w:hint="eastAsia" w:ascii="Times New Roman" w:hAnsi="Times New Roman" w:eastAsia="宋体" w:cs="Times New Roman"/>
          <w:kern w:val="2"/>
          <w:sz w:val="24"/>
          <w:szCs w:val="24"/>
          <w:highlight w:val="none"/>
          <w:lang w:val="en-US" w:eastAsia="zh-CN" w:bidi="ar-SA"/>
        </w:rPr>
        <w:t xml:space="preserve"> </w:t>
      </w:r>
      <w:bookmarkEnd w:id="23"/>
      <w:r>
        <w:rPr>
          <w:rFonts w:hint="eastAsia" w:ascii="Times New Roman" w:hAnsi="Times New Roman" w:eastAsia="宋体" w:cs="Times New Roman"/>
          <w:kern w:val="2"/>
          <w:sz w:val="24"/>
          <w:szCs w:val="24"/>
          <w:highlight w:val="none"/>
          <w:lang w:val="en-US" w:eastAsia="zh-CN" w:bidi="ar-SA"/>
        </w:rPr>
        <w:t>下穿访问接口</w:t>
      </w:r>
    </w:p>
    <w:p>
      <w:pPr>
        <w:widowControl/>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本章对省级平台通过免密登录方式下穿访问桥梁结构监测系统的接口进行了规范性说明。</w:t>
      </w:r>
    </w:p>
    <w:p>
      <w:pPr>
        <w:widowControl/>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8 数据安全</w:t>
      </w:r>
    </w:p>
    <w:p>
      <w:pPr>
        <w:widowControl/>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本章对涉及桥梁结构监测的相关系统在接口调用及数据传输过程中在接口访问鉴权及数据加密方进行了规范性说明。</w:t>
      </w:r>
    </w:p>
    <w:bookmarkEnd w:id="19"/>
    <w:p>
      <w:pPr>
        <w:widowControl/>
        <w:autoSpaceDE/>
        <w:autoSpaceDN/>
        <w:adjustRightInd w:val="0"/>
        <w:snapToGrid w:val="0"/>
        <w:spacing w:line="360" w:lineRule="auto"/>
        <w:jc w:val="both"/>
        <w:rPr>
          <w:rFonts w:hint="default" w:ascii="黑体" w:hAnsi="黑体" w:eastAsia="黑体" w:cs="黑体"/>
          <w:b w:val="0"/>
          <w:bCs w:val="0"/>
          <w:kern w:val="2"/>
          <w:sz w:val="24"/>
          <w:szCs w:val="24"/>
          <w:highlight w:val="none"/>
          <w:lang w:val="en-US" w:eastAsia="zh-CN" w:bidi="ar-SA"/>
        </w:rPr>
      </w:pPr>
      <w:bookmarkStart w:id="24" w:name="OLE_LINK77"/>
      <w:r>
        <w:rPr>
          <w:rFonts w:hint="eastAsia" w:ascii="黑体" w:hAnsi="黑体" w:eastAsia="黑体" w:cs="黑体"/>
          <w:b w:val="0"/>
          <w:bCs w:val="0"/>
          <w:kern w:val="2"/>
          <w:sz w:val="24"/>
          <w:szCs w:val="24"/>
          <w:highlight w:val="none"/>
          <w:lang w:val="en-US" w:bidi="ar-SA"/>
        </w:rPr>
        <w:t>3.</w:t>
      </w:r>
      <w:r>
        <w:rPr>
          <w:rFonts w:hint="eastAsia" w:ascii="黑体" w:hAnsi="黑体" w:eastAsia="黑体" w:cs="黑体"/>
          <w:b w:val="0"/>
          <w:bCs w:val="0"/>
          <w:kern w:val="2"/>
          <w:sz w:val="24"/>
          <w:szCs w:val="24"/>
          <w:highlight w:val="none"/>
          <w:lang w:val="en-US" w:eastAsia="zh-CN" w:bidi="ar-SA"/>
        </w:rPr>
        <w:t>3主要依据</w:t>
      </w:r>
    </w:p>
    <w:bookmarkEnd w:id="24"/>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《桥梁结构监测数据接口技术规范》编制原则与主要内容依据如下：</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GB/T8567 计算机软件文档编制规范</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GB/T9386 计算机软件测试文档编制规范</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GB/T15532 计算机软件测试规范</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GB/T22239 信息安全技术网络安全等级保护基本要求</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GB/T28181 公共安全视频监控联网系统信息传输、交换、控制技术要求</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GB/T32905信息安全技术 SM3密码杂凑算法</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GB/T32907信息安全技术 SM4分组密码算法</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GB/T39786 信息安全技术信息系统密码应用基本要求</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JT/T 1037公路桥梁结构监测技术规范</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JT/T1058 公路桥梁结构健康监测系统技术规程</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ISO/IEC 21778 信息技术 JSON数据交换语法</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kern w:val="2"/>
          <w:sz w:val="24"/>
          <w:szCs w:val="24"/>
          <w:highlight w:val="none"/>
          <w:lang w:val="en-US" w:eastAsia="zh-CN" w:bidi="ar-SA"/>
        </w:rPr>
        <w:t>ISO/IEC 20922</w:t>
      </w:r>
      <w:r>
        <w:rPr>
          <w:rFonts w:hint="eastAsia" w:ascii="Times New Roman" w:hAnsi="Times New Roman" w:eastAsia="宋体"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val="en-US" w:eastAsia="zh-CN" w:bidi="ar-SA"/>
        </w:rPr>
        <w:t>信息技术</w:t>
      </w:r>
      <w:r>
        <w:rPr>
          <w:rFonts w:hint="eastAsia" w:ascii="Times New Roman" w:hAnsi="Times New Roman" w:eastAsia="宋体"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val="en-US" w:eastAsia="zh-CN" w:bidi="ar-SA"/>
        </w:rPr>
        <w:t>消息队列遥测传输</w:t>
      </w:r>
    </w:p>
    <w:p>
      <w:pPr>
        <w:widowControl/>
        <w:numPr>
          <w:ilvl w:val="0"/>
          <w:numId w:val="6"/>
        </w:numPr>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省级公路长大桥梁结构健康监测平台建设技术指南</w:t>
      </w:r>
    </w:p>
    <w:p>
      <w:pPr>
        <w:autoSpaceDE/>
        <w:autoSpaceDN/>
        <w:adjustRightInd w:val="0"/>
        <w:snapToGrid w:val="0"/>
        <w:spacing w:line="360" w:lineRule="auto"/>
        <w:jc w:val="both"/>
        <w:outlineLvl w:val="0"/>
        <w:rPr>
          <w:rFonts w:hint="eastAsia" w:ascii="黑体" w:hAnsi="黑体" w:eastAsia="黑体" w:cs="黑体"/>
          <w:bCs/>
          <w:kern w:val="2"/>
          <w:sz w:val="28"/>
          <w:szCs w:val="28"/>
          <w:highlight w:val="none"/>
          <w:lang w:val="en-US" w:bidi="ar-SA"/>
        </w:rPr>
      </w:pPr>
      <w:bookmarkStart w:id="25" w:name="_Toc3883"/>
      <w:bookmarkStart w:id="26" w:name="OLE_LINK41"/>
      <w:r>
        <w:rPr>
          <w:rFonts w:hint="eastAsia" w:ascii="黑体" w:hAnsi="黑体" w:eastAsia="黑体" w:cs="黑体"/>
          <w:bCs/>
          <w:kern w:val="2"/>
          <w:sz w:val="28"/>
          <w:szCs w:val="28"/>
          <w:highlight w:val="none"/>
          <w:lang w:val="en-US" w:bidi="ar-SA"/>
        </w:rPr>
        <w:t>四、国际标准采用情况</w:t>
      </w:r>
      <w:bookmarkEnd w:id="25"/>
    </w:p>
    <w:bookmarkEnd w:id="26"/>
    <w:p>
      <w:pPr>
        <w:widowControl/>
        <w:autoSpaceDE/>
        <w:autoSpaceDN/>
        <w:adjustRightInd w:val="0"/>
        <w:snapToGrid w:val="0"/>
        <w:spacing w:line="360" w:lineRule="auto"/>
        <w:ind w:firstLine="480" w:firstLineChars="20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bidi="ar-SA"/>
        </w:rPr>
        <w:t>本规范所涉及</w:t>
      </w:r>
      <w:r>
        <w:rPr>
          <w:rFonts w:hint="eastAsia" w:ascii="Times New Roman" w:hAnsi="Times New Roman" w:eastAsia="宋体" w:cs="Times New Roman"/>
          <w:kern w:val="2"/>
          <w:sz w:val="24"/>
          <w:szCs w:val="24"/>
          <w:highlight w:val="none"/>
          <w:lang w:val="en-US" w:eastAsia="zh-CN" w:bidi="ar-SA"/>
        </w:rPr>
        <w:t>的国际标准有：</w:t>
      </w:r>
    </w:p>
    <w:p>
      <w:pPr>
        <w:widowControl/>
        <w:numPr>
          <w:ilvl w:val="0"/>
          <w:numId w:val="7"/>
        </w:numPr>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ISO/IEC 21778 信息技术 JSON数据交换语法</w:t>
      </w:r>
    </w:p>
    <w:p>
      <w:pPr>
        <w:widowControl/>
        <w:numPr>
          <w:ilvl w:val="0"/>
          <w:numId w:val="7"/>
        </w:numPr>
        <w:autoSpaceDE/>
        <w:autoSpaceDN/>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kern w:val="2"/>
          <w:sz w:val="24"/>
          <w:szCs w:val="24"/>
          <w:highlight w:val="none"/>
          <w:lang w:val="en-US" w:eastAsia="zh-CN" w:bidi="ar-SA"/>
        </w:rPr>
        <w:t>ISO/IEC 20922</w:t>
      </w:r>
      <w:r>
        <w:rPr>
          <w:rFonts w:hint="eastAsia" w:ascii="Times New Roman" w:hAnsi="Times New Roman" w:eastAsia="宋体"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val="en-US" w:eastAsia="zh-CN" w:bidi="ar-SA"/>
        </w:rPr>
        <w:t>信息技术</w:t>
      </w:r>
      <w:r>
        <w:rPr>
          <w:rFonts w:hint="eastAsia" w:ascii="Times New Roman" w:hAnsi="Times New Roman" w:eastAsia="宋体"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val="en-US" w:eastAsia="zh-CN" w:bidi="ar-SA"/>
        </w:rPr>
        <w:t>消息队列遥测传输</w:t>
      </w:r>
    </w:p>
    <w:p>
      <w:pPr>
        <w:autoSpaceDE/>
        <w:autoSpaceDN/>
        <w:adjustRightInd w:val="0"/>
        <w:snapToGrid w:val="0"/>
        <w:spacing w:line="360" w:lineRule="auto"/>
        <w:jc w:val="both"/>
        <w:outlineLvl w:val="0"/>
        <w:rPr>
          <w:rFonts w:ascii="黑体" w:hAnsi="黑体" w:eastAsia="黑体" w:cs="黑体"/>
          <w:bCs/>
          <w:kern w:val="2"/>
          <w:sz w:val="28"/>
          <w:szCs w:val="28"/>
          <w:highlight w:val="none"/>
          <w:lang w:val="en-US" w:bidi="ar-SA"/>
        </w:rPr>
      </w:pPr>
      <w:bookmarkStart w:id="27" w:name="_Toc31394"/>
      <w:bookmarkStart w:id="28" w:name="OLE_LINK42"/>
      <w:r>
        <w:rPr>
          <w:rFonts w:hint="eastAsia" w:ascii="黑体" w:hAnsi="黑体" w:eastAsia="黑体" w:cs="黑体"/>
          <w:bCs/>
          <w:kern w:val="2"/>
          <w:sz w:val="28"/>
          <w:szCs w:val="28"/>
          <w:highlight w:val="none"/>
          <w:lang w:val="en-US" w:bidi="ar-SA"/>
        </w:rPr>
        <w:t>五、与现行法律、法规、国家标准和产业政策等一致情况</w:t>
      </w:r>
      <w:bookmarkEnd w:id="27"/>
    </w:p>
    <w:bookmarkEnd w:id="28"/>
    <w:p>
      <w:pPr>
        <w:widowControl/>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本规范符合现行法律、法规、国家标准，与产业政策一致。</w:t>
      </w:r>
    </w:p>
    <w:p>
      <w:pPr>
        <w:autoSpaceDE/>
        <w:autoSpaceDN/>
        <w:adjustRightInd w:val="0"/>
        <w:snapToGrid w:val="0"/>
        <w:spacing w:line="360" w:lineRule="auto"/>
        <w:jc w:val="both"/>
        <w:outlineLvl w:val="0"/>
        <w:rPr>
          <w:rFonts w:ascii="黑体" w:hAnsi="黑体" w:eastAsia="黑体" w:cs="黑体"/>
          <w:bCs/>
          <w:kern w:val="2"/>
          <w:sz w:val="28"/>
          <w:szCs w:val="28"/>
          <w:highlight w:val="none"/>
          <w:lang w:val="en-US" w:bidi="ar-SA"/>
        </w:rPr>
      </w:pPr>
      <w:bookmarkStart w:id="29" w:name="_Toc14648"/>
      <w:r>
        <w:rPr>
          <w:rFonts w:hint="eastAsia" w:ascii="黑体" w:hAnsi="黑体" w:eastAsia="黑体" w:cs="黑体"/>
          <w:bCs/>
          <w:kern w:val="2"/>
          <w:sz w:val="28"/>
          <w:szCs w:val="28"/>
          <w:highlight w:val="none"/>
          <w:lang w:val="en-US" w:bidi="ar-SA"/>
        </w:rPr>
        <w:t>六、重大分歧意见处理和依据</w:t>
      </w:r>
      <w:bookmarkEnd w:id="29"/>
    </w:p>
    <w:p>
      <w:pPr>
        <w:pStyle w:val="29"/>
        <w:adjustRightInd w:val="0"/>
        <w:snapToGrid w:val="0"/>
        <w:spacing w:line="360" w:lineRule="auto"/>
        <w:ind w:firstLine="480" w:firstLineChars="200"/>
        <w:rPr>
          <w:rFonts w:ascii="Times New Roman" w:hAnsi="Times New Roman"/>
          <w:kern w:val="2"/>
          <w:sz w:val="24"/>
          <w:szCs w:val="24"/>
          <w:highlight w:val="none"/>
        </w:rPr>
      </w:pPr>
      <w:r>
        <w:rPr>
          <w:rFonts w:hint="eastAsia" w:ascii="Times New Roman" w:hAnsi="Times New Roman"/>
          <w:kern w:val="2"/>
          <w:sz w:val="24"/>
          <w:szCs w:val="24"/>
          <w:highlight w:val="none"/>
        </w:rPr>
        <w:t>《</w:t>
      </w:r>
      <w:r>
        <w:rPr>
          <w:rFonts w:hint="eastAsia" w:ascii="Times New Roman" w:hAnsi="Times New Roman" w:eastAsia="宋体" w:cs="Times New Roman"/>
          <w:kern w:val="2"/>
          <w:sz w:val="24"/>
          <w:szCs w:val="24"/>
          <w:highlight w:val="none"/>
          <w:lang w:val="en-US" w:eastAsia="zh-CN" w:bidi="ar-SA"/>
        </w:rPr>
        <w:t>桥梁结构监测数据接口技术规范</w:t>
      </w:r>
      <w:r>
        <w:rPr>
          <w:rFonts w:hint="eastAsia" w:ascii="Times New Roman" w:hAnsi="Times New Roman"/>
          <w:kern w:val="2"/>
          <w:sz w:val="24"/>
          <w:szCs w:val="24"/>
          <w:highlight w:val="none"/>
        </w:rPr>
        <w:t>》没有重大分歧意见。</w:t>
      </w:r>
    </w:p>
    <w:p>
      <w:pPr>
        <w:autoSpaceDE/>
        <w:autoSpaceDN/>
        <w:adjustRightInd w:val="0"/>
        <w:snapToGrid w:val="0"/>
        <w:spacing w:line="360" w:lineRule="auto"/>
        <w:outlineLvl w:val="0"/>
        <w:rPr>
          <w:rFonts w:ascii="黑体" w:hAnsi="黑体" w:eastAsia="黑体" w:cs="黑体"/>
          <w:bCs/>
          <w:sz w:val="28"/>
          <w:szCs w:val="28"/>
          <w:highlight w:val="none"/>
          <w:lang w:val="en-US"/>
        </w:rPr>
      </w:pPr>
      <w:bookmarkStart w:id="30" w:name="_Toc23221"/>
      <w:bookmarkStart w:id="31" w:name="OLE_LINK50"/>
      <w:r>
        <w:rPr>
          <w:rFonts w:hint="eastAsia" w:ascii="黑体" w:hAnsi="黑体" w:eastAsia="黑体" w:cs="黑体"/>
          <w:bCs/>
          <w:kern w:val="2"/>
          <w:sz w:val="28"/>
          <w:szCs w:val="28"/>
          <w:highlight w:val="none"/>
          <w:lang w:val="en-US" w:bidi="ar-SA"/>
        </w:rPr>
        <w:t>七、</w:t>
      </w:r>
      <w:r>
        <w:rPr>
          <w:rFonts w:hint="eastAsia" w:ascii="黑体" w:hAnsi="黑体" w:eastAsia="黑体" w:cs="黑体"/>
          <w:bCs/>
          <w:sz w:val="28"/>
          <w:szCs w:val="28"/>
          <w:highlight w:val="none"/>
          <w:lang w:val="en-US"/>
        </w:rPr>
        <w:t>贯彻地方标准的要求和措施建议</w:t>
      </w:r>
      <w:bookmarkEnd w:id="30"/>
    </w:p>
    <w:p>
      <w:pPr>
        <w:pStyle w:val="29"/>
        <w:adjustRightInd w:val="0"/>
        <w:snapToGrid w:val="0"/>
        <w:spacing w:line="360" w:lineRule="auto"/>
        <w:ind w:firstLine="480" w:firstLineChars="200"/>
        <w:jc w:val="both"/>
        <w:rPr>
          <w:rFonts w:hint="eastAsia" w:ascii="Times New Roman" w:hAnsi="Times New Roman"/>
          <w:kern w:val="2"/>
          <w:sz w:val="24"/>
          <w:szCs w:val="24"/>
          <w:highlight w:val="none"/>
          <w:lang w:val="en-US" w:eastAsia="zh-CN"/>
        </w:rPr>
      </w:pPr>
      <w:bookmarkStart w:id="32" w:name="OLE_LINK90"/>
      <w:bookmarkStart w:id="33" w:name="OLE_LINK53"/>
      <w:r>
        <w:rPr>
          <w:rFonts w:hint="eastAsia" w:ascii="Times New Roman" w:hAnsi="Times New Roman"/>
          <w:kern w:val="2"/>
          <w:sz w:val="24"/>
          <w:szCs w:val="24"/>
          <w:highlight w:val="none"/>
          <w:lang w:val="en-US" w:eastAsia="zh-CN"/>
        </w:rPr>
        <w:t>本</w:t>
      </w:r>
      <w:bookmarkStart w:id="34" w:name="OLE_LINK51"/>
      <w:r>
        <w:rPr>
          <w:rFonts w:hint="eastAsia" w:ascii="Times New Roman" w:hAnsi="Times New Roman"/>
          <w:kern w:val="2"/>
          <w:sz w:val="24"/>
          <w:szCs w:val="24"/>
          <w:highlight w:val="none"/>
          <w:lang w:val="en-US" w:eastAsia="zh-CN"/>
        </w:rPr>
        <w:t>标准</w:t>
      </w:r>
      <w:bookmarkEnd w:id="32"/>
      <w:r>
        <w:rPr>
          <w:rFonts w:hint="eastAsia" w:ascii="Times New Roman" w:hAnsi="Times New Roman"/>
          <w:kern w:val="2"/>
          <w:sz w:val="24"/>
          <w:szCs w:val="24"/>
          <w:highlight w:val="none"/>
          <w:lang w:val="en-US" w:eastAsia="zh-CN"/>
        </w:rPr>
        <w:t>依次经过征求意见、严格审议等一系列严谨规范的流程，直至最终完成报批。标准主要起草单位将</w:t>
      </w:r>
      <w:bookmarkStart w:id="35" w:name="OLE_LINK81"/>
      <w:r>
        <w:rPr>
          <w:rFonts w:hint="eastAsia" w:ascii="Times New Roman" w:hAnsi="Times New Roman"/>
          <w:kern w:val="2"/>
          <w:sz w:val="24"/>
          <w:szCs w:val="24"/>
          <w:highlight w:val="none"/>
          <w:lang w:val="en-US" w:eastAsia="zh-CN"/>
        </w:rPr>
        <w:t>与各有关部门协同推进以下工作。</w:t>
      </w:r>
    </w:p>
    <w:p>
      <w:pPr>
        <w:pStyle w:val="29"/>
        <w:adjustRightInd w:val="0"/>
        <w:snapToGrid w:val="0"/>
        <w:spacing w:line="360" w:lineRule="auto"/>
        <w:ind w:firstLine="480" w:firstLineChars="200"/>
        <w:jc w:val="both"/>
        <w:rPr>
          <w:rFonts w:hint="eastAsia" w:ascii="Times New Roman" w:hAnsi="Times New Roman"/>
          <w:kern w:val="2"/>
          <w:sz w:val="24"/>
          <w:szCs w:val="24"/>
          <w:highlight w:val="none"/>
          <w:lang w:val="en-US" w:eastAsia="zh-CN"/>
        </w:rPr>
      </w:pPr>
      <w:r>
        <w:rPr>
          <w:rFonts w:hint="eastAsia" w:ascii="Times New Roman" w:hAnsi="Times New Roman"/>
          <w:kern w:val="2"/>
          <w:sz w:val="24"/>
          <w:szCs w:val="24"/>
          <w:highlight w:val="none"/>
          <w:lang w:val="en-US" w:eastAsia="zh-CN"/>
        </w:rPr>
        <w:t>（1）开展宣贯培训。建议由行业主管部门统一安排，召开标准宣贯会，对涉及的交通建设、监理、设计、施工等单位开</w:t>
      </w:r>
      <w:bookmarkEnd w:id="35"/>
      <w:r>
        <w:rPr>
          <w:rFonts w:hint="eastAsia" w:ascii="Times New Roman" w:hAnsi="Times New Roman"/>
          <w:kern w:val="2"/>
          <w:sz w:val="24"/>
          <w:szCs w:val="24"/>
          <w:highlight w:val="none"/>
          <w:lang w:val="en-US" w:eastAsia="zh-CN"/>
        </w:rPr>
        <w:t>展标准实施培训和宣贯普及。明确桥梁结构监测数据对接方面的具体要求，指导</w:t>
      </w:r>
      <w:bookmarkStart w:id="36" w:name="OLE_LINK96"/>
      <w:r>
        <w:rPr>
          <w:rFonts w:hint="eastAsia" w:ascii="Times New Roman" w:hAnsi="Times New Roman"/>
          <w:kern w:val="2"/>
          <w:sz w:val="24"/>
          <w:szCs w:val="24"/>
          <w:highlight w:val="none"/>
          <w:lang w:val="en-US" w:eastAsia="zh-CN"/>
        </w:rPr>
        <w:t>全省</w:t>
      </w:r>
      <w:bookmarkEnd w:id="36"/>
      <w:r>
        <w:rPr>
          <w:rFonts w:hint="eastAsia" w:ascii="Times New Roman" w:hAnsi="Times New Roman"/>
          <w:kern w:val="2"/>
          <w:sz w:val="24"/>
          <w:szCs w:val="24"/>
          <w:highlight w:val="none"/>
          <w:lang w:val="en-US" w:eastAsia="zh-CN"/>
        </w:rPr>
        <w:t>桥梁结构监测数据应用。</w:t>
      </w:r>
    </w:p>
    <w:p>
      <w:pPr>
        <w:pStyle w:val="29"/>
        <w:adjustRightInd w:val="0"/>
        <w:snapToGrid w:val="0"/>
        <w:spacing w:line="360" w:lineRule="auto"/>
        <w:ind w:firstLine="480" w:firstLineChars="200"/>
        <w:jc w:val="both"/>
        <w:rPr>
          <w:rFonts w:hint="eastAsia" w:ascii="Times New Roman" w:hAnsi="Times New Roman"/>
          <w:kern w:val="2"/>
          <w:sz w:val="24"/>
          <w:szCs w:val="24"/>
          <w:highlight w:val="none"/>
          <w:lang w:val="en-US" w:eastAsia="zh-CN"/>
        </w:rPr>
      </w:pPr>
      <w:r>
        <w:rPr>
          <w:rFonts w:hint="eastAsia" w:ascii="Times New Roman" w:hAnsi="Times New Roman"/>
          <w:kern w:val="2"/>
          <w:sz w:val="24"/>
          <w:szCs w:val="24"/>
          <w:highlight w:val="none"/>
          <w:lang w:val="en-US" w:eastAsia="zh-CN"/>
        </w:rPr>
        <w:t>（3）进行研讨交流。定期组织科研、生产、管理等各环节人员进行技术交流，不断对数据接口指标进行优化，保持数据安全、性能可靠。</w:t>
      </w:r>
    </w:p>
    <w:p>
      <w:pPr>
        <w:pStyle w:val="29"/>
        <w:adjustRightInd w:val="0"/>
        <w:snapToGrid w:val="0"/>
        <w:spacing w:line="360" w:lineRule="auto"/>
        <w:ind w:firstLine="480" w:firstLineChars="200"/>
        <w:jc w:val="both"/>
        <w:rPr>
          <w:rFonts w:hint="eastAsia" w:ascii="Times New Roman" w:hAnsi="Times New Roman"/>
          <w:kern w:val="2"/>
          <w:sz w:val="24"/>
          <w:szCs w:val="24"/>
          <w:highlight w:val="none"/>
        </w:rPr>
      </w:pPr>
      <w:bookmarkStart w:id="37" w:name="OLE_LINK84"/>
      <w:r>
        <w:rPr>
          <w:rFonts w:hint="eastAsia" w:ascii="Times New Roman" w:hAnsi="Times New Roman"/>
          <w:kern w:val="2"/>
          <w:sz w:val="24"/>
          <w:szCs w:val="24"/>
          <w:highlight w:val="none"/>
          <w:lang w:val="en-US" w:eastAsia="zh-CN"/>
        </w:rPr>
        <w:t>本标准</w:t>
      </w:r>
      <w:r>
        <w:rPr>
          <w:rFonts w:hint="eastAsia" w:ascii="Times New Roman" w:hAnsi="Times New Roman"/>
          <w:kern w:val="2"/>
          <w:sz w:val="24"/>
          <w:szCs w:val="24"/>
          <w:highlight w:val="none"/>
        </w:rPr>
        <w:t>通</w:t>
      </w:r>
      <w:bookmarkStart w:id="38" w:name="OLE_LINK87"/>
      <w:r>
        <w:rPr>
          <w:rFonts w:hint="eastAsia" w:ascii="Times New Roman" w:hAnsi="Times New Roman"/>
          <w:kern w:val="2"/>
          <w:sz w:val="24"/>
          <w:szCs w:val="24"/>
          <w:highlight w:val="none"/>
        </w:rPr>
        <w:t>过广</w:t>
      </w:r>
      <w:bookmarkEnd w:id="38"/>
      <w:r>
        <w:rPr>
          <w:rFonts w:hint="eastAsia" w:ascii="Times New Roman" w:hAnsi="Times New Roman"/>
          <w:kern w:val="2"/>
          <w:sz w:val="24"/>
          <w:szCs w:val="24"/>
          <w:highlight w:val="none"/>
        </w:rPr>
        <w:t>泛而深入的</w:t>
      </w:r>
      <w:bookmarkStart w:id="39" w:name="OLE_LINK52"/>
      <w:r>
        <w:rPr>
          <w:rFonts w:hint="eastAsia" w:ascii="Times New Roman" w:hAnsi="Times New Roman"/>
          <w:kern w:val="2"/>
          <w:sz w:val="24"/>
          <w:szCs w:val="24"/>
          <w:highlight w:val="none"/>
        </w:rPr>
        <w:t>探讨以及细致周详的规划，制定出与之相契合、切实可行且具有较强操作性的实施方法，进而确保本标准能够在实际应用场景中得到认真、严格且不折不扣的执行，充分发挥其应有的规范和指导效能，为</w:t>
      </w:r>
      <w:bookmarkEnd w:id="34"/>
      <w:r>
        <w:rPr>
          <w:rFonts w:hint="eastAsia" w:ascii="Times New Roman" w:hAnsi="Times New Roman"/>
          <w:kern w:val="2"/>
          <w:sz w:val="24"/>
          <w:szCs w:val="24"/>
          <w:highlight w:val="none"/>
          <w:lang w:val="en-US" w:eastAsia="zh-CN"/>
        </w:rPr>
        <w:t>桥梁结构监测建设</w:t>
      </w:r>
      <w:r>
        <w:rPr>
          <w:rFonts w:hint="eastAsia" w:ascii="Times New Roman" w:hAnsi="Times New Roman"/>
          <w:kern w:val="2"/>
          <w:sz w:val="24"/>
          <w:szCs w:val="24"/>
          <w:highlight w:val="none"/>
        </w:rPr>
        <w:t>的持续发展与不断完善奠定坚实稳固的基础。</w:t>
      </w:r>
      <w:bookmarkEnd w:id="39"/>
    </w:p>
    <w:bookmarkEnd w:id="31"/>
    <w:bookmarkEnd w:id="33"/>
    <w:bookmarkEnd w:id="37"/>
    <w:p>
      <w:pPr>
        <w:autoSpaceDE/>
        <w:autoSpaceDN/>
        <w:adjustRightInd w:val="0"/>
        <w:snapToGrid w:val="0"/>
        <w:spacing w:line="360" w:lineRule="auto"/>
        <w:outlineLvl w:val="0"/>
        <w:rPr>
          <w:rFonts w:ascii="黑体" w:hAnsi="黑体" w:eastAsia="黑体" w:cs="黑体"/>
          <w:bCs/>
          <w:sz w:val="28"/>
          <w:szCs w:val="28"/>
          <w:highlight w:val="none"/>
          <w:lang w:val="en-US"/>
        </w:rPr>
      </w:pPr>
      <w:bookmarkStart w:id="40" w:name="_Toc32236"/>
      <w:r>
        <w:rPr>
          <w:rFonts w:hint="eastAsia" w:ascii="黑体" w:hAnsi="黑体" w:eastAsia="黑体" w:cs="黑体"/>
          <w:bCs/>
          <w:kern w:val="2"/>
          <w:sz w:val="28"/>
          <w:szCs w:val="28"/>
          <w:highlight w:val="none"/>
          <w:lang w:val="en-US" w:bidi="ar-SA"/>
        </w:rPr>
        <w:t>八、</w:t>
      </w:r>
      <w:r>
        <w:rPr>
          <w:rFonts w:hint="eastAsia" w:ascii="黑体" w:hAnsi="黑体" w:eastAsia="黑体" w:cs="黑体"/>
          <w:bCs/>
          <w:sz w:val="28"/>
          <w:szCs w:val="28"/>
          <w:highlight w:val="none"/>
          <w:lang w:val="en-US"/>
        </w:rPr>
        <w:t>废止现行有关地方标准的建议</w:t>
      </w:r>
      <w:bookmarkEnd w:id="40"/>
    </w:p>
    <w:p>
      <w:pPr>
        <w:pStyle w:val="29"/>
        <w:adjustRightInd w:val="0"/>
        <w:snapToGrid w:val="0"/>
        <w:spacing w:line="360" w:lineRule="auto"/>
        <w:ind w:firstLine="480" w:firstLineChars="200"/>
        <w:jc w:val="both"/>
        <w:rPr>
          <w:rFonts w:hint="eastAsia" w:ascii="Times New Roman" w:hAnsi="Times New Roman"/>
          <w:kern w:val="2"/>
          <w:sz w:val="24"/>
          <w:szCs w:val="24"/>
          <w:highlight w:val="none"/>
          <w:lang w:val="en-US" w:eastAsia="zh-CN"/>
        </w:rPr>
      </w:pPr>
      <w:bookmarkStart w:id="41" w:name="_Toc10554"/>
      <w:bookmarkStart w:id="42" w:name="_Toc24307"/>
      <w:r>
        <w:rPr>
          <w:rFonts w:hint="eastAsia" w:ascii="Times New Roman" w:hAnsi="Times New Roman"/>
          <w:kern w:val="2"/>
          <w:sz w:val="24"/>
          <w:szCs w:val="24"/>
          <w:highlight w:val="none"/>
          <w:lang w:val="en-US" w:eastAsia="zh-CN"/>
        </w:rPr>
        <w:t>此标准填补了省内桥梁结构监测数据对接领域标准空白。因此，不需要废止有关地方标准。</w:t>
      </w:r>
    </w:p>
    <w:p>
      <w:pPr>
        <w:autoSpaceDE/>
        <w:autoSpaceDN/>
        <w:adjustRightInd w:val="0"/>
        <w:snapToGrid w:val="0"/>
        <w:spacing w:line="360" w:lineRule="auto"/>
        <w:outlineLvl w:val="0"/>
        <w:rPr>
          <w:rFonts w:ascii="黑体" w:hAnsi="黑体" w:eastAsia="黑体" w:cs="黑体"/>
          <w:bCs/>
          <w:kern w:val="2"/>
          <w:sz w:val="28"/>
          <w:szCs w:val="28"/>
          <w:highlight w:val="none"/>
          <w:lang w:val="en-US" w:bidi="ar-SA"/>
        </w:rPr>
      </w:pPr>
      <w:r>
        <w:rPr>
          <w:rFonts w:hint="eastAsia" w:ascii="黑体" w:hAnsi="黑体" w:eastAsia="黑体" w:cs="黑体"/>
          <w:bCs/>
          <w:kern w:val="2"/>
          <w:sz w:val="28"/>
          <w:szCs w:val="28"/>
          <w:highlight w:val="none"/>
          <w:lang w:val="en-US" w:bidi="ar-SA"/>
        </w:rPr>
        <w:t>九、</w:t>
      </w:r>
      <w:bookmarkEnd w:id="41"/>
      <w:r>
        <w:rPr>
          <w:rFonts w:hint="eastAsia" w:ascii="黑体" w:hAnsi="黑体" w:eastAsia="黑体" w:cs="黑体"/>
          <w:bCs/>
          <w:kern w:val="2"/>
          <w:sz w:val="28"/>
          <w:szCs w:val="28"/>
          <w:highlight w:val="none"/>
          <w:lang w:val="en-US" w:bidi="ar-SA"/>
        </w:rPr>
        <w:t>其他应予说明的事项</w:t>
      </w:r>
      <w:bookmarkEnd w:id="42"/>
    </w:p>
    <w:p>
      <w:pPr>
        <w:widowControl/>
        <w:autoSpaceDE/>
        <w:autoSpaceDN/>
        <w:adjustRightInd w:val="0"/>
        <w:snapToGrid w:val="0"/>
        <w:spacing w:line="360" w:lineRule="auto"/>
        <w:jc w:val="both"/>
        <w:rPr>
          <w:rFonts w:hint="eastAsia" w:ascii="黑体" w:hAnsi="黑体" w:eastAsia="黑体" w:cs="黑体"/>
          <w:b w:val="0"/>
          <w:bCs w:val="0"/>
          <w:kern w:val="2"/>
          <w:sz w:val="24"/>
          <w:szCs w:val="24"/>
          <w:highlight w:val="none"/>
          <w:lang w:val="en-US" w:eastAsia="zh-CN" w:bidi="ar-SA"/>
        </w:rPr>
      </w:pPr>
      <w:bookmarkStart w:id="43" w:name="OLE_LINK54"/>
      <w:bookmarkStart w:id="44" w:name="OLE_LINK60"/>
      <w:bookmarkStart w:id="45" w:name="OLE_LINK104"/>
      <w:r>
        <w:rPr>
          <w:rFonts w:hint="eastAsia" w:ascii="黑体" w:hAnsi="黑体" w:eastAsia="黑体" w:cs="黑体"/>
          <w:b w:val="0"/>
          <w:bCs w:val="0"/>
          <w:kern w:val="2"/>
          <w:sz w:val="24"/>
          <w:szCs w:val="24"/>
          <w:highlight w:val="none"/>
          <w:lang w:val="en-US" w:eastAsia="zh-CN" w:bidi="ar-SA"/>
        </w:rPr>
        <w:t>9</w:t>
      </w:r>
      <w:r>
        <w:rPr>
          <w:rFonts w:hint="eastAsia" w:ascii="黑体" w:hAnsi="黑体" w:eastAsia="黑体" w:cs="黑体"/>
          <w:b w:val="0"/>
          <w:bCs w:val="0"/>
          <w:kern w:val="2"/>
          <w:sz w:val="24"/>
          <w:szCs w:val="24"/>
          <w:highlight w:val="none"/>
          <w:lang w:val="en-US" w:bidi="ar-SA"/>
        </w:rPr>
        <w:t>.</w:t>
      </w:r>
      <w:r>
        <w:rPr>
          <w:rFonts w:hint="eastAsia" w:ascii="黑体" w:hAnsi="黑体" w:eastAsia="黑体" w:cs="黑体"/>
          <w:b w:val="0"/>
          <w:bCs w:val="0"/>
          <w:kern w:val="2"/>
          <w:sz w:val="24"/>
          <w:szCs w:val="24"/>
          <w:highlight w:val="none"/>
          <w:lang w:val="en-US" w:eastAsia="zh-CN" w:bidi="ar-SA"/>
        </w:rPr>
        <w:t>1说明事项</w:t>
      </w:r>
    </w:p>
    <w:bookmarkEnd w:id="43"/>
    <w:bookmarkEnd w:id="44"/>
    <w:bookmarkEnd w:id="45"/>
    <w:p>
      <w:pPr>
        <w:pStyle w:val="29"/>
        <w:adjustRightInd w:val="0"/>
        <w:snapToGrid w:val="0"/>
        <w:spacing w:line="360" w:lineRule="auto"/>
        <w:ind w:firstLine="480" w:firstLineChars="200"/>
        <w:jc w:val="both"/>
        <w:rPr>
          <w:rFonts w:hint="default" w:ascii="Times New Roman" w:hAnsi="Times New Roman" w:eastAsia="宋体"/>
          <w:kern w:val="2"/>
          <w:sz w:val="24"/>
          <w:szCs w:val="24"/>
          <w:highlight w:val="none"/>
          <w:lang w:val="en-US" w:eastAsia="zh-CN"/>
        </w:rPr>
      </w:pPr>
      <w:r>
        <w:rPr>
          <w:rFonts w:hint="default" w:ascii="Times New Roman" w:hAnsi="Times New Roman" w:eastAsia="宋体"/>
          <w:kern w:val="2"/>
          <w:sz w:val="24"/>
          <w:szCs w:val="24"/>
          <w:highlight w:val="none"/>
          <w:lang w:val="en-US" w:eastAsia="zh-CN"/>
        </w:rPr>
        <w:t>甘肃省公路长大桥梁结构健康监测平台已正式运行，该平台按照交通部《省级公路长大桥梁结构健康监测平台建设技术指南》的要求接入了全省长大桥梁健康监测数据。按照部级要求，省级平台需要向上与部级平台对接，向下与单桥梁健康监测系统对接，打通部级-省级-单桥系统数据链路，部省级数据对接遵循部级</w:t>
      </w:r>
      <w:r>
        <w:rPr>
          <w:rFonts w:hint="eastAsia" w:ascii="Times New Roman" w:hAnsi="Times New Roman" w:eastAsia="宋体"/>
          <w:kern w:val="2"/>
          <w:sz w:val="24"/>
          <w:szCs w:val="24"/>
          <w:highlight w:val="none"/>
          <w:lang w:val="en-US" w:eastAsia="zh-CN"/>
        </w:rPr>
        <w:t>相关数据对接要求</w:t>
      </w:r>
      <w:r>
        <w:rPr>
          <w:rFonts w:hint="default" w:ascii="Times New Roman" w:hAnsi="Times New Roman" w:eastAsia="宋体"/>
          <w:kern w:val="2"/>
          <w:sz w:val="24"/>
          <w:szCs w:val="24"/>
          <w:highlight w:val="none"/>
          <w:lang w:val="en-US" w:eastAsia="zh-CN"/>
        </w:rPr>
        <w:t>进行。省级平台与本省各单桥监测系统数据对接尚未有明确的数据对接技术规范</w:t>
      </w:r>
      <w:r>
        <w:rPr>
          <w:rFonts w:hint="eastAsia" w:ascii="Times New Roman" w:hAnsi="Times New Roman" w:eastAsia="宋体"/>
          <w:kern w:val="2"/>
          <w:sz w:val="24"/>
          <w:szCs w:val="24"/>
          <w:highlight w:val="none"/>
          <w:lang w:val="en-US" w:eastAsia="zh-CN"/>
        </w:rPr>
        <w:t>。本规范中的相关标准范符合《JT/T 1037-2022公路桥梁结构监测技术规范》中对传感器及其数据类型的相关规定，但JT/T 1037-2022中未详细说明省级平台与单桥梁监测系统的数据对接标准。暂无其它相关的国标、行标和地标。本规范的设立将填补桥梁结构监测在数据对接领域的空白，为全省桥梁结构监测系统数据对接提供规范性指导</w:t>
      </w:r>
      <w:r>
        <w:rPr>
          <w:rFonts w:hint="default" w:ascii="Times New Roman" w:hAnsi="Times New Roman" w:eastAsia="宋体"/>
          <w:kern w:val="2"/>
          <w:sz w:val="24"/>
          <w:szCs w:val="24"/>
          <w:highlight w:val="none"/>
          <w:lang w:val="en-US" w:eastAsia="zh-CN"/>
        </w:rPr>
        <w:t>。</w:t>
      </w:r>
    </w:p>
    <w:p>
      <w:pPr>
        <w:widowControl/>
        <w:autoSpaceDE/>
        <w:autoSpaceDN/>
        <w:adjustRightInd w:val="0"/>
        <w:snapToGrid w:val="0"/>
        <w:spacing w:line="360" w:lineRule="auto"/>
        <w:jc w:val="both"/>
        <w:rPr>
          <w:rFonts w:hint="default" w:ascii="黑体" w:hAnsi="黑体" w:eastAsia="黑体" w:cs="黑体"/>
          <w:b w:val="0"/>
          <w:bCs w:val="0"/>
          <w:kern w:val="2"/>
          <w:sz w:val="24"/>
          <w:szCs w:val="24"/>
          <w:highlight w:val="none"/>
          <w:lang w:val="en-US" w:eastAsia="zh-CN" w:bidi="ar-SA"/>
        </w:rPr>
      </w:pPr>
      <w:r>
        <w:rPr>
          <w:rFonts w:hint="eastAsia" w:ascii="黑体" w:hAnsi="黑体" w:eastAsia="黑体" w:cs="黑体"/>
          <w:b w:val="0"/>
          <w:bCs w:val="0"/>
          <w:kern w:val="2"/>
          <w:sz w:val="24"/>
          <w:szCs w:val="24"/>
          <w:highlight w:val="none"/>
          <w:lang w:val="en-US" w:eastAsia="zh-CN" w:bidi="ar-SA"/>
        </w:rPr>
        <w:t>9</w:t>
      </w:r>
      <w:r>
        <w:rPr>
          <w:rFonts w:hint="eastAsia" w:ascii="黑体" w:hAnsi="黑体" w:eastAsia="黑体" w:cs="黑体"/>
          <w:b w:val="0"/>
          <w:bCs w:val="0"/>
          <w:kern w:val="2"/>
          <w:sz w:val="24"/>
          <w:szCs w:val="24"/>
          <w:highlight w:val="none"/>
          <w:lang w:val="en-US" w:bidi="ar-SA"/>
        </w:rPr>
        <w:t>.</w:t>
      </w:r>
      <w:r>
        <w:rPr>
          <w:rFonts w:hint="eastAsia" w:ascii="黑体" w:hAnsi="黑体" w:eastAsia="黑体" w:cs="黑体"/>
          <w:b w:val="0"/>
          <w:bCs w:val="0"/>
          <w:kern w:val="2"/>
          <w:sz w:val="24"/>
          <w:szCs w:val="24"/>
          <w:highlight w:val="none"/>
          <w:lang w:val="en-US" w:eastAsia="zh-CN" w:bidi="ar-SA"/>
        </w:rPr>
        <w:t>2结束语</w:t>
      </w:r>
    </w:p>
    <w:p>
      <w:pPr>
        <w:pStyle w:val="29"/>
        <w:adjustRightInd w:val="0"/>
        <w:snapToGrid w:val="0"/>
        <w:spacing w:line="360" w:lineRule="auto"/>
        <w:ind w:firstLine="480" w:firstLineChars="200"/>
        <w:jc w:val="both"/>
        <w:rPr>
          <w:rFonts w:hint="default" w:ascii="Times New Roman" w:hAnsi="Times New Roman" w:eastAsia="宋体" w:cs="Times New Roman"/>
          <w:kern w:val="2"/>
          <w:sz w:val="24"/>
          <w:szCs w:val="24"/>
          <w:highlight w:val="none"/>
          <w:lang w:val="en-US" w:eastAsia="zh-CN"/>
        </w:rPr>
      </w:pPr>
      <w:r>
        <w:rPr>
          <w:rFonts w:hint="eastAsia" w:ascii="Times New Roman" w:hAnsi="Times New Roman" w:eastAsia="宋体" w:cs="Times New Roman"/>
          <w:kern w:val="2"/>
          <w:sz w:val="24"/>
          <w:szCs w:val="24"/>
          <w:highlight w:val="none"/>
          <w:lang w:val="en-US" w:eastAsia="zh-CN"/>
        </w:rPr>
        <w:t>在《桥梁结构监测数据接口技术规范》地方标准的制订进程中，我们开展了深入的调研</w:t>
      </w:r>
      <w:bookmarkStart w:id="46" w:name="OLE_LINK65"/>
      <w:r>
        <w:rPr>
          <w:rFonts w:hint="eastAsia" w:ascii="Times New Roman" w:hAnsi="Times New Roman" w:eastAsia="宋体" w:cs="Times New Roman"/>
          <w:kern w:val="2"/>
          <w:sz w:val="24"/>
          <w:szCs w:val="24"/>
          <w:highlight w:val="none"/>
          <w:lang w:val="en-US" w:eastAsia="zh-CN"/>
        </w:rPr>
        <w:t>和严谨的试验验证</w:t>
      </w:r>
      <w:bookmarkEnd w:id="46"/>
      <w:r>
        <w:rPr>
          <w:rFonts w:hint="eastAsia" w:ascii="Times New Roman" w:hAnsi="Times New Roman" w:eastAsia="宋体" w:cs="Times New Roman"/>
          <w:kern w:val="2"/>
          <w:sz w:val="24"/>
          <w:szCs w:val="24"/>
          <w:highlight w:val="none"/>
          <w:lang w:val="en-US" w:eastAsia="zh-CN"/>
        </w:rPr>
        <w:t>，通过对桥梁结构监测过程中数据接入、处理、上报以及监测内容、监测类型、监测方式等多方面多角度分析，制定本标准。同时，我们广泛</w:t>
      </w:r>
      <w:bookmarkStart w:id="47" w:name="OLE_LINK38"/>
      <w:r>
        <w:rPr>
          <w:rFonts w:hint="eastAsia" w:ascii="Times New Roman" w:hAnsi="Times New Roman" w:eastAsia="宋体" w:cs="Times New Roman"/>
          <w:kern w:val="2"/>
          <w:sz w:val="24"/>
          <w:szCs w:val="24"/>
          <w:highlight w:val="none"/>
          <w:lang w:val="en-US" w:eastAsia="zh-CN"/>
        </w:rPr>
        <w:t>征求了设计单位、质检单位、施工单位以及相关专家的意见。然而，鉴于我们的专业</w:t>
      </w:r>
      <w:bookmarkEnd w:id="47"/>
      <w:r>
        <w:rPr>
          <w:rFonts w:hint="eastAsia" w:ascii="Times New Roman" w:hAnsi="Times New Roman" w:eastAsia="宋体" w:cs="Times New Roman"/>
          <w:kern w:val="2"/>
          <w:sz w:val="24"/>
          <w:szCs w:val="24"/>
          <w:highlight w:val="none"/>
          <w:lang w:val="en-US" w:eastAsia="zh-CN"/>
        </w:rPr>
        <w:t>水平与人力资源有限，该标准难免存在一些不足之处，在此，诚恳地恳请各方予以指正。此外，我们对各有关单位和专家在本标准制订过程中给予的大力支持与专业指导表示衷心的感谢。</w:t>
      </w:r>
    </w:p>
    <w:sectPr>
      <w:footerReference r:id="rId4" w:type="default"/>
      <w:pgSz w:w="11910" w:h="16840"/>
      <w:pgMar w:top="1580" w:right="1200" w:bottom="1180" w:left="1400" w:header="0" w:footer="997"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modern"/>
    <w:pitch w:val="default"/>
    <w:sig w:usb0="00000000" w:usb1="0000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国标仿宋-GB/T 2312">
    <w:panose1 w:val="02000500000000000000"/>
    <w:charset w:val="86"/>
    <w:family w:val="auto"/>
    <w:pitch w:val="default"/>
    <w:sig w:usb0="800002AF" w:usb1="08476CF8"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国标黑体-GB/T 2312">
    <w:panose1 w:val="02000500000000000000"/>
    <w:charset w:val="86"/>
    <w:family w:val="auto"/>
    <w:pitch w:val="default"/>
    <w:sig w:usb0="00000001" w:usb1="08000000" w:usb2="00000000" w:usb3="00000000" w:csb0="00040000" w:csb1="00000000"/>
  </w:font>
  <w:font w:name="国标楷体-GB/T 2312">
    <w:panose1 w:val="020005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仿宋">
    <w:altName w:val="方正仿宋_GBK"/>
    <w:panose1 w:val="02010609060101010101"/>
    <w:charset w:val="86"/>
    <w:family w:val="modern"/>
    <w:pitch w:val="default"/>
    <w:sig w:usb0="00000000" w:usb1="00000000" w:usb2="00000016" w:usb3="00000000" w:csb0="00040001" w:csb1="00000000"/>
  </w:font>
  <w:font w:name="方正公文小标宋">
    <w:altName w:val="方正小标宋_GBK"/>
    <w:panose1 w:val="02000500000000000000"/>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小标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FreeSerif">
    <w:panose1 w:val="02020603050405020304"/>
    <w:charset w:val="00"/>
    <w:family w:val="auto"/>
    <w:pitch w:val="default"/>
    <w:sig w:usb0="E59FAFFF" w:usb1="C200FDFF" w:usb2="43501B29" w:usb3="04000043" w:csb0="600101FF" w:csb1="FFFF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9919335</wp:posOffset>
              </wp:positionV>
              <wp:extent cx="166370" cy="152400"/>
              <wp:effectExtent l="0" t="0" r="0" b="0"/>
              <wp:wrapNone/>
              <wp:docPr id="3" name="Text Box 3"/>
              <wp:cNvGraphicFramePr/>
              <a:graphic xmlns:a="http://schemas.openxmlformats.org/drawingml/2006/main">
                <a:graphicData uri="http://schemas.microsoft.com/office/word/2010/wordprocessingShape">
                  <wps:wsp>
                    <wps:cNvSpPr txBox="true">
                      <a:spLocks noChangeArrowheads="true"/>
                    </wps:cNvSpPr>
                    <wps:spPr bwMode="auto">
                      <a:xfrm>
                        <a:off x="0" y="0"/>
                        <a:ext cx="16637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37</w:t>
                          </w:r>
                          <w:r>
                            <w:fldChar w:fldCharType="end"/>
                          </w:r>
                        </w:p>
                      </w:txbxContent>
                    </wps:txbx>
                    <wps:bodyPr rot="0" vert="horz" wrap="square" lIns="0" tIns="0" rIns="0" bIns="0" anchor="t" anchorCtr="false" upright="true">
                      <a:noAutofit/>
                    </wps:bodyPr>
                  </wps:wsp>
                </a:graphicData>
              </a:graphic>
            </wp:anchor>
          </w:drawing>
        </mc:Choice>
        <mc:Fallback>
          <w:pict>
            <v:shape id="Text Box 3" o:spid="_x0000_s1026" o:spt="202" type="#_x0000_t202" style="position:absolute;left:0pt;margin-left:293.9pt;margin-top:781.05pt;height:12pt;width:13.1pt;mso-position-horizontal-relative:page;mso-position-vertical-relative:page;z-index:-251657216;mso-width-relative:page;mso-height-relative:page;" filled="f" stroked="f" coordsize="21600,21600" o:gfxdata="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CmcjGt2gAAAA0BAAAPAAAAAAAAAAEAIAAAADgAAABkcnMvZG93&#10;bnJldi54bWxQSwECFAAUAAAACACHTuJAKqci6ugBAADCAwAADgAAAAAAAAABACAAAAA/AQAAZHJz&#10;L2Uyb0RvYy54bWxQSwUGAAAAAAYABgBZAQAAmQU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DAE732"/>
    <w:multiLevelType w:val="singleLevel"/>
    <w:tmpl w:val="F2DAE732"/>
    <w:lvl w:ilvl="0" w:tentative="0">
      <w:start w:val="1"/>
      <w:numFmt w:val="decimal"/>
      <w:suff w:val="nothing"/>
      <w:lvlText w:val="（%1）"/>
      <w:lvlJc w:val="left"/>
    </w:lvl>
  </w:abstractNum>
  <w:abstractNum w:abstractNumId="1">
    <w:nsid w:val="F9EFA621"/>
    <w:multiLevelType w:val="multilevel"/>
    <w:tmpl w:val="F9EFA621"/>
    <w:lvl w:ilvl="0" w:tentative="0">
      <w:start w:val="1"/>
      <w:numFmt w:val="decimal"/>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02837933"/>
    <w:multiLevelType w:val="multilevel"/>
    <w:tmpl w:val="02837933"/>
    <w:lvl w:ilvl="0" w:tentative="0">
      <w:start w:val="1"/>
      <w:numFmt w:val="decimal"/>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pStyle w:val="38"/>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3995CCF"/>
    <w:multiLevelType w:val="singleLevel"/>
    <w:tmpl w:val="03995CCF"/>
    <w:lvl w:ilvl="0" w:tentative="0">
      <w:start w:val="1"/>
      <w:numFmt w:val="decimal"/>
      <w:suff w:val="nothing"/>
      <w:lvlText w:val="（%1）"/>
      <w:lvlJc w:val="left"/>
    </w:lvl>
  </w:abstractNum>
  <w:abstractNum w:abstractNumId="4">
    <w:nsid w:val="448A33B6"/>
    <w:multiLevelType w:val="singleLevel"/>
    <w:tmpl w:val="448A33B6"/>
    <w:lvl w:ilvl="0" w:tentative="0">
      <w:start w:val="1"/>
      <w:numFmt w:val="decimal"/>
      <w:suff w:val="nothing"/>
      <w:lvlText w:val="（%1）"/>
      <w:lvlJc w:val="left"/>
    </w:lvl>
  </w:abstractNum>
  <w:abstractNum w:abstractNumId="5">
    <w:nsid w:val="46B5F219"/>
    <w:multiLevelType w:val="singleLevel"/>
    <w:tmpl w:val="46B5F219"/>
    <w:lvl w:ilvl="0" w:tentative="0">
      <w:start w:val="1"/>
      <w:numFmt w:val="decimal"/>
      <w:suff w:val="nothing"/>
      <w:lvlText w:val="（%1）"/>
      <w:lvlJc w:val="left"/>
    </w:lvl>
  </w:abstractNum>
  <w:abstractNum w:abstractNumId="6">
    <w:nsid w:val="657D3FBC"/>
    <w:multiLevelType w:val="multilevel"/>
    <w:tmpl w:val="657D3FBC"/>
    <w:lvl w:ilvl="0" w:tentative="0">
      <w:start w:val="1"/>
      <w:numFmt w:val="upperLetter"/>
      <w:pStyle w:val="40"/>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
  </w:num>
  <w:num w:numId="2">
    <w:abstractNumId w:val="2"/>
  </w:num>
  <w:num w:numId="3">
    <w:abstractNumId w:val="6"/>
  </w:num>
  <w:num w:numId="4">
    <w:abstractNumId w:val="5"/>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false"/>
  <w:bordersDoNotSurroundFooter w:val="false"/>
  <w:documentProtection w:enforcement="0"/>
  <w:defaultTabStop w:val="720"/>
  <w:drawingGridHorizontalSpacing w:val="110"/>
  <w:displayHorizontalDrawingGridEvery w:val="0"/>
  <w:displayVerticalDrawingGridEvery w:val="2"/>
  <w:characterSpacingControl w:val="doNotCompress"/>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E0YTA4M2IzZTdmMGRmOTBjNDA4MTdlODdlOWUwMmIifQ=="/>
  </w:docVars>
  <w:rsids>
    <w:rsidRoot w:val="00172A27"/>
    <w:rsid w:val="000213B7"/>
    <w:rsid w:val="00036C3A"/>
    <w:rsid w:val="00076CD0"/>
    <w:rsid w:val="00087C8D"/>
    <w:rsid w:val="00094920"/>
    <w:rsid w:val="000A3024"/>
    <w:rsid w:val="000B5BA2"/>
    <w:rsid w:val="000D0F37"/>
    <w:rsid w:val="000E1947"/>
    <w:rsid w:val="001036F2"/>
    <w:rsid w:val="00107112"/>
    <w:rsid w:val="00181D57"/>
    <w:rsid w:val="001839B2"/>
    <w:rsid w:val="0018730B"/>
    <w:rsid w:val="001B2045"/>
    <w:rsid w:val="001C385F"/>
    <w:rsid w:val="001D1741"/>
    <w:rsid w:val="00213957"/>
    <w:rsid w:val="00263260"/>
    <w:rsid w:val="002916F9"/>
    <w:rsid w:val="002A4A57"/>
    <w:rsid w:val="002A55D7"/>
    <w:rsid w:val="00300A68"/>
    <w:rsid w:val="00350F7C"/>
    <w:rsid w:val="00365EA7"/>
    <w:rsid w:val="00371EF7"/>
    <w:rsid w:val="003745AB"/>
    <w:rsid w:val="00396893"/>
    <w:rsid w:val="003A292A"/>
    <w:rsid w:val="003A4986"/>
    <w:rsid w:val="003D3B95"/>
    <w:rsid w:val="003D5A68"/>
    <w:rsid w:val="003F310B"/>
    <w:rsid w:val="0040144D"/>
    <w:rsid w:val="004358A8"/>
    <w:rsid w:val="00436B6D"/>
    <w:rsid w:val="0052674F"/>
    <w:rsid w:val="00531197"/>
    <w:rsid w:val="00553244"/>
    <w:rsid w:val="00574248"/>
    <w:rsid w:val="00574E88"/>
    <w:rsid w:val="005D79B5"/>
    <w:rsid w:val="005F50F7"/>
    <w:rsid w:val="00615212"/>
    <w:rsid w:val="006312E7"/>
    <w:rsid w:val="00651591"/>
    <w:rsid w:val="006A2921"/>
    <w:rsid w:val="006F4D8F"/>
    <w:rsid w:val="00753756"/>
    <w:rsid w:val="0076162C"/>
    <w:rsid w:val="00765995"/>
    <w:rsid w:val="00773D14"/>
    <w:rsid w:val="007C25D4"/>
    <w:rsid w:val="007D080D"/>
    <w:rsid w:val="007D7408"/>
    <w:rsid w:val="007E12AD"/>
    <w:rsid w:val="00802E99"/>
    <w:rsid w:val="00804134"/>
    <w:rsid w:val="00806D6A"/>
    <w:rsid w:val="00824040"/>
    <w:rsid w:val="008316A4"/>
    <w:rsid w:val="0083464E"/>
    <w:rsid w:val="00857E97"/>
    <w:rsid w:val="0086425E"/>
    <w:rsid w:val="008716CB"/>
    <w:rsid w:val="008907B9"/>
    <w:rsid w:val="008C02DA"/>
    <w:rsid w:val="008C4D24"/>
    <w:rsid w:val="008E5CCE"/>
    <w:rsid w:val="008F2F88"/>
    <w:rsid w:val="00913EDC"/>
    <w:rsid w:val="00936DBC"/>
    <w:rsid w:val="0094174B"/>
    <w:rsid w:val="00967706"/>
    <w:rsid w:val="00984F62"/>
    <w:rsid w:val="009969ED"/>
    <w:rsid w:val="009A10E7"/>
    <w:rsid w:val="009B355B"/>
    <w:rsid w:val="009D3648"/>
    <w:rsid w:val="009D5CA0"/>
    <w:rsid w:val="009F7641"/>
    <w:rsid w:val="00A0325E"/>
    <w:rsid w:val="00A11A28"/>
    <w:rsid w:val="00A2094D"/>
    <w:rsid w:val="00A33EFB"/>
    <w:rsid w:val="00A344B3"/>
    <w:rsid w:val="00A7403A"/>
    <w:rsid w:val="00A859BE"/>
    <w:rsid w:val="00B50266"/>
    <w:rsid w:val="00B5419E"/>
    <w:rsid w:val="00B61582"/>
    <w:rsid w:val="00B70C51"/>
    <w:rsid w:val="00B72F7D"/>
    <w:rsid w:val="00B770A3"/>
    <w:rsid w:val="00B81CB0"/>
    <w:rsid w:val="00BE5130"/>
    <w:rsid w:val="00BF41AB"/>
    <w:rsid w:val="00C36EE5"/>
    <w:rsid w:val="00C374B3"/>
    <w:rsid w:val="00C94633"/>
    <w:rsid w:val="00CC189C"/>
    <w:rsid w:val="00D16FAF"/>
    <w:rsid w:val="00D76AD8"/>
    <w:rsid w:val="00D86C83"/>
    <w:rsid w:val="00DC300A"/>
    <w:rsid w:val="00DF3CC3"/>
    <w:rsid w:val="00E02E7E"/>
    <w:rsid w:val="00E22A79"/>
    <w:rsid w:val="00E50092"/>
    <w:rsid w:val="00EA68C7"/>
    <w:rsid w:val="00EB5AB5"/>
    <w:rsid w:val="00EB7C04"/>
    <w:rsid w:val="00EC2E3C"/>
    <w:rsid w:val="00EC63E3"/>
    <w:rsid w:val="00F114F7"/>
    <w:rsid w:val="00F24405"/>
    <w:rsid w:val="00F325A2"/>
    <w:rsid w:val="00F848C2"/>
    <w:rsid w:val="00F86027"/>
    <w:rsid w:val="00F95600"/>
    <w:rsid w:val="00FA4290"/>
    <w:rsid w:val="00FD3E41"/>
    <w:rsid w:val="01205D5C"/>
    <w:rsid w:val="01EB33A8"/>
    <w:rsid w:val="01FF7A19"/>
    <w:rsid w:val="02DD711B"/>
    <w:rsid w:val="03762CD1"/>
    <w:rsid w:val="037B2FF8"/>
    <w:rsid w:val="03C944F4"/>
    <w:rsid w:val="04920379"/>
    <w:rsid w:val="05AA3D57"/>
    <w:rsid w:val="05CD7BE3"/>
    <w:rsid w:val="06101EDD"/>
    <w:rsid w:val="068C5825"/>
    <w:rsid w:val="07291321"/>
    <w:rsid w:val="07461790"/>
    <w:rsid w:val="08517143"/>
    <w:rsid w:val="08A87477"/>
    <w:rsid w:val="08D1400D"/>
    <w:rsid w:val="09C551A1"/>
    <w:rsid w:val="0AE41137"/>
    <w:rsid w:val="0B26182D"/>
    <w:rsid w:val="0CFC6D53"/>
    <w:rsid w:val="0D904269"/>
    <w:rsid w:val="0D932D4B"/>
    <w:rsid w:val="0E602C83"/>
    <w:rsid w:val="0E9D107A"/>
    <w:rsid w:val="0F275C39"/>
    <w:rsid w:val="0F87344A"/>
    <w:rsid w:val="10063A49"/>
    <w:rsid w:val="102467CA"/>
    <w:rsid w:val="104B7348"/>
    <w:rsid w:val="108C5943"/>
    <w:rsid w:val="119F2EB2"/>
    <w:rsid w:val="11C30069"/>
    <w:rsid w:val="1295360E"/>
    <w:rsid w:val="12F22772"/>
    <w:rsid w:val="132471E8"/>
    <w:rsid w:val="13582623"/>
    <w:rsid w:val="13846BCA"/>
    <w:rsid w:val="13B862C8"/>
    <w:rsid w:val="147438F0"/>
    <w:rsid w:val="14E03D8C"/>
    <w:rsid w:val="15FB6418"/>
    <w:rsid w:val="164A5A57"/>
    <w:rsid w:val="164E1C26"/>
    <w:rsid w:val="166B5628"/>
    <w:rsid w:val="167639ED"/>
    <w:rsid w:val="16F72707"/>
    <w:rsid w:val="17224B33"/>
    <w:rsid w:val="17452132"/>
    <w:rsid w:val="18262924"/>
    <w:rsid w:val="184C0CDA"/>
    <w:rsid w:val="18936073"/>
    <w:rsid w:val="18FD65D6"/>
    <w:rsid w:val="19FD5E4A"/>
    <w:rsid w:val="1A787D22"/>
    <w:rsid w:val="1A8707A2"/>
    <w:rsid w:val="1AC40526"/>
    <w:rsid w:val="1AF8344E"/>
    <w:rsid w:val="1C316C17"/>
    <w:rsid w:val="1C4473BF"/>
    <w:rsid w:val="1CB10147"/>
    <w:rsid w:val="1CD13D54"/>
    <w:rsid w:val="1CE15268"/>
    <w:rsid w:val="1D206E51"/>
    <w:rsid w:val="1D4C408C"/>
    <w:rsid w:val="1E190F6B"/>
    <w:rsid w:val="1ED61DC4"/>
    <w:rsid w:val="1F78690B"/>
    <w:rsid w:val="1FD97636"/>
    <w:rsid w:val="218661F9"/>
    <w:rsid w:val="21E8624E"/>
    <w:rsid w:val="22675566"/>
    <w:rsid w:val="22973331"/>
    <w:rsid w:val="233E252A"/>
    <w:rsid w:val="23693D52"/>
    <w:rsid w:val="23E25673"/>
    <w:rsid w:val="246566B9"/>
    <w:rsid w:val="24E739D4"/>
    <w:rsid w:val="25387E2E"/>
    <w:rsid w:val="25917369"/>
    <w:rsid w:val="25A40F54"/>
    <w:rsid w:val="267C3F9A"/>
    <w:rsid w:val="27351F5E"/>
    <w:rsid w:val="273F48DE"/>
    <w:rsid w:val="29231FDE"/>
    <w:rsid w:val="29C140BE"/>
    <w:rsid w:val="2A263B34"/>
    <w:rsid w:val="2A5733BE"/>
    <w:rsid w:val="2A8645D2"/>
    <w:rsid w:val="2A9E5855"/>
    <w:rsid w:val="2B1E6FA1"/>
    <w:rsid w:val="2D777B5B"/>
    <w:rsid w:val="2F1127CC"/>
    <w:rsid w:val="2F2B1FA0"/>
    <w:rsid w:val="2F94066A"/>
    <w:rsid w:val="302978F1"/>
    <w:rsid w:val="30E50382"/>
    <w:rsid w:val="30EE2F2F"/>
    <w:rsid w:val="3102088E"/>
    <w:rsid w:val="3201593F"/>
    <w:rsid w:val="3290244B"/>
    <w:rsid w:val="32920E02"/>
    <w:rsid w:val="32A524E5"/>
    <w:rsid w:val="33345F2F"/>
    <w:rsid w:val="33376D47"/>
    <w:rsid w:val="346534AA"/>
    <w:rsid w:val="348151C9"/>
    <w:rsid w:val="34CD530D"/>
    <w:rsid w:val="34DE490E"/>
    <w:rsid w:val="34EB6E40"/>
    <w:rsid w:val="350C59F4"/>
    <w:rsid w:val="35227688"/>
    <w:rsid w:val="356B7E6A"/>
    <w:rsid w:val="35F745D6"/>
    <w:rsid w:val="364610BA"/>
    <w:rsid w:val="36733F6D"/>
    <w:rsid w:val="36E034DA"/>
    <w:rsid w:val="37006181"/>
    <w:rsid w:val="39E93F5A"/>
    <w:rsid w:val="3A8B353F"/>
    <w:rsid w:val="3B4560B2"/>
    <w:rsid w:val="3BBB50F3"/>
    <w:rsid w:val="3BC258C9"/>
    <w:rsid w:val="3C4516B2"/>
    <w:rsid w:val="3CCD2C72"/>
    <w:rsid w:val="3CF478A0"/>
    <w:rsid w:val="3DA94888"/>
    <w:rsid w:val="3DB84D26"/>
    <w:rsid w:val="3EA249E8"/>
    <w:rsid w:val="3F454604"/>
    <w:rsid w:val="40AB2262"/>
    <w:rsid w:val="415404E4"/>
    <w:rsid w:val="43642B0F"/>
    <w:rsid w:val="43671818"/>
    <w:rsid w:val="44D35980"/>
    <w:rsid w:val="44EE74AB"/>
    <w:rsid w:val="479233A9"/>
    <w:rsid w:val="47AF07C6"/>
    <w:rsid w:val="47C06F1E"/>
    <w:rsid w:val="483F6900"/>
    <w:rsid w:val="499A52E3"/>
    <w:rsid w:val="49B26D3A"/>
    <w:rsid w:val="49FE387C"/>
    <w:rsid w:val="4A0C6652"/>
    <w:rsid w:val="4A2F3EE7"/>
    <w:rsid w:val="4A803C90"/>
    <w:rsid w:val="4AA45F01"/>
    <w:rsid w:val="4B037E02"/>
    <w:rsid w:val="4B4A7C1A"/>
    <w:rsid w:val="4C9038B4"/>
    <w:rsid w:val="4D521448"/>
    <w:rsid w:val="4D6245D3"/>
    <w:rsid w:val="4D7A37D8"/>
    <w:rsid w:val="4D8824C1"/>
    <w:rsid w:val="4E2E1A45"/>
    <w:rsid w:val="4F3D0E54"/>
    <w:rsid w:val="4F9060D4"/>
    <w:rsid w:val="503E0A1C"/>
    <w:rsid w:val="509D6861"/>
    <w:rsid w:val="539A0EE5"/>
    <w:rsid w:val="53B12398"/>
    <w:rsid w:val="53B462E8"/>
    <w:rsid w:val="56DE40DE"/>
    <w:rsid w:val="576B2FD5"/>
    <w:rsid w:val="5784322E"/>
    <w:rsid w:val="58915CE5"/>
    <w:rsid w:val="59352BA7"/>
    <w:rsid w:val="5A843DDB"/>
    <w:rsid w:val="5B85605C"/>
    <w:rsid w:val="5BAC22FE"/>
    <w:rsid w:val="5D5C4634"/>
    <w:rsid w:val="5DA53AD8"/>
    <w:rsid w:val="607F27AC"/>
    <w:rsid w:val="60970251"/>
    <w:rsid w:val="61C32D96"/>
    <w:rsid w:val="62BA717B"/>
    <w:rsid w:val="63064376"/>
    <w:rsid w:val="63627F81"/>
    <w:rsid w:val="63D449C4"/>
    <w:rsid w:val="6466097B"/>
    <w:rsid w:val="65764F0F"/>
    <w:rsid w:val="66023B75"/>
    <w:rsid w:val="672C55DE"/>
    <w:rsid w:val="67552454"/>
    <w:rsid w:val="67F12CCA"/>
    <w:rsid w:val="67F929CE"/>
    <w:rsid w:val="682F6485"/>
    <w:rsid w:val="689B4CA6"/>
    <w:rsid w:val="68AA07D4"/>
    <w:rsid w:val="68F650FB"/>
    <w:rsid w:val="699012EE"/>
    <w:rsid w:val="6A57516F"/>
    <w:rsid w:val="6A85784D"/>
    <w:rsid w:val="6AF33966"/>
    <w:rsid w:val="6AF75367"/>
    <w:rsid w:val="6B2142C3"/>
    <w:rsid w:val="6C656C68"/>
    <w:rsid w:val="6D3B2A1F"/>
    <w:rsid w:val="6EBF17FE"/>
    <w:rsid w:val="6F6D2533"/>
    <w:rsid w:val="6FA92F5C"/>
    <w:rsid w:val="700D20C0"/>
    <w:rsid w:val="70AB6845"/>
    <w:rsid w:val="710544D1"/>
    <w:rsid w:val="71357CD2"/>
    <w:rsid w:val="71A40397"/>
    <w:rsid w:val="72072CCE"/>
    <w:rsid w:val="72DD4669"/>
    <w:rsid w:val="733F0D8F"/>
    <w:rsid w:val="73956B7D"/>
    <w:rsid w:val="73B87EE0"/>
    <w:rsid w:val="73DD5C29"/>
    <w:rsid w:val="74503A2F"/>
    <w:rsid w:val="748051BB"/>
    <w:rsid w:val="74834DF0"/>
    <w:rsid w:val="762A3062"/>
    <w:rsid w:val="76C660A4"/>
    <w:rsid w:val="76D04F7A"/>
    <w:rsid w:val="778D5A00"/>
    <w:rsid w:val="779D0382"/>
    <w:rsid w:val="77D62D81"/>
    <w:rsid w:val="782D565A"/>
    <w:rsid w:val="789D27E0"/>
    <w:rsid w:val="79534C4C"/>
    <w:rsid w:val="7A980408"/>
    <w:rsid w:val="7AF92ECD"/>
    <w:rsid w:val="7DF80231"/>
    <w:rsid w:val="7EB976EC"/>
    <w:rsid w:val="7F644D6F"/>
    <w:rsid w:val="7F691511"/>
    <w:rsid w:val="7FBA3AC6"/>
    <w:rsid w:val="7FCE7ECF"/>
    <w:rsid w:val="8F6B8A3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qFormat="1" w:uiPriority="99" w:semiHidden="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_GB2312" w:hAnsi="仿宋_GB2312" w:eastAsia="仿宋_GB2312" w:cs="仿宋_GB2312"/>
      <w:sz w:val="22"/>
      <w:szCs w:val="22"/>
      <w:lang w:val="zh-CN" w:eastAsia="zh-CN" w:bidi="zh-CN"/>
    </w:rPr>
  </w:style>
  <w:style w:type="paragraph" w:styleId="2">
    <w:name w:val="heading 1"/>
    <w:basedOn w:val="1"/>
    <w:next w:val="1"/>
    <w:link w:val="33"/>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numPr>
        <w:ilvl w:val="1"/>
        <w:numId w:val="1"/>
      </w:numPr>
      <w:spacing w:line="360" w:lineRule="auto"/>
      <w:outlineLvl w:val="1"/>
    </w:pPr>
    <w:rPr>
      <w:rFonts w:ascii="宋体" w:hAnsi="宋体" w:eastAsia="宋体" w:cs="Times New Roman"/>
      <w:b/>
      <w:sz w:val="28"/>
      <w:szCs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link w:val="28"/>
    <w:unhideWhenUsed/>
    <w:qFormat/>
    <w:uiPriority w:val="0"/>
    <w:pPr>
      <w:keepNext/>
      <w:keepLines/>
      <w:autoSpaceDE/>
      <w:autoSpaceDN/>
      <w:spacing w:before="280" w:after="290" w:line="376" w:lineRule="auto"/>
      <w:jc w:val="both"/>
      <w:outlineLvl w:val="3"/>
    </w:pPr>
    <w:rPr>
      <w:rFonts w:asciiTheme="majorHAnsi" w:hAnsiTheme="majorHAnsi" w:eastAsiaTheme="majorEastAsia" w:cstheme="majorBidi"/>
      <w:b/>
      <w:bCs/>
      <w:kern w:val="2"/>
      <w:sz w:val="28"/>
      <w:szCs w:val="28"/>
      <w:lang w:val="en-US" w:bidi="ar-SA"/>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1"/>
    <w:pPr>
      <w:ind w:left="188"/>
    </w:pPr>
    <w:rPr>
      <w:sz w:val="32"/>
      <w:szCs w:val="32"/>
    </w:rPr>
  </w:style>
  <w:style w:type="paragraph" w:styleId="7">
    <w:name w:val="index 4"/>
    <w:basedOn w:val="1"/>
    <w:next w:val="1"/>
    <w:unhideWhenUsed/>
    <w:qFormat/>
    <w:uiPriority w:val="99"/>
    <w:pPr>
      <w:ind w:left="1260"/>
    </w:pPr>
  </w:style>
  <w:style w:type="paragraph" w:styleId="8">
    <w:name w:val="Date"/>
    <w:basedOn w:val="1"/>
    <w:next w:val="1"/>
    <w:link w:val="27"/>
    <w:qFormat/>
    <w:uiPriority w:val="0"/>
    <w:pPr>
      <w:ind w:left="100" w:leftChars="2500"/>
    </w:pPr>
  </w:style>
  <w:style w:type="paragraph" w:styleId="9">
    <w:name w:val="Balloon Text"/>
    <w:basedOn w:val="1"/>
    <w:link w:val="26"/>
    <w:qFormat/>
    <w:uiPriority w:val="0"/>
    <w:rPr>
      <w:sz w:val="18"/>
      <w:szCs w:val="18"/>
    </w:rPr>
  </w:style>
  <w:style w:type="paragraph" w:styleId="10">
    <w:name w:val="footer"/>
    <w:basedOn w:val="1"/>
    <w:link w:val="25"/>
    <w:qFormat/>
    <w:uiPriority w:val="0"/>
    <w:pPr>
      <w:tabs>
        <w:tab w:val="center" w:pos="4153"/>
        <w:tab w:val="right" w:pos="8306"/>
      </w:tabs>
      <w:snapToGrid w:val="0"/>
    </w:pPr>
    <w:rPr>
      <w:sz w:val="18"/>
      <w:szCs w:val="18"/>
    </w:rPr>
  </w:style>
  <w:style w:type="paragraph" w:styleId="11">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120" w:after="120" w:line="360" w:lineRule="auto"/>
      <w:outlineLvl w:val="0"/>
    </w:pPr>
    <w:rPr>
      <w:rFonts w:ascii="Times New Roman" w:hAnsi="Times New Roman" w:eastAsia="仿宋" w:cstheme="majorBidi"/>
      <w:b/>
      <w:bCs/>
      <w:sz w:val="28"/>
      <w:szCs w:val="32"/>
    </w:rPr>
  </w:style>
  <w:style w:type="table" w:styleId="16">
    <w:name w:val="Table Grid"/>
    <w:basedOn w:val="15"/>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21">
    <w:name w:val="Table Normal"/>
    <w:unhideWhenUsed/>
    <w:qFormat/>
    <w:uiPriority w:val="0"/>
    <w:tblPr>
      <w:tblCellMar>
        <w:top w:w="0" w:type="dxa"/>
        <w:left w:w="0" w:type="dxa"/>
        <w:bottom w:w="0" w:type="dxa"/>
        <w:right w:w="0" w:type="dxa"/>
      </w:tblCellMar>
    </w:tblPr>
  </w:style>
  <w:style w:type="paragraph" w:styleId="22">
    <w:name w:val="List Paragraph"/>
    <w:basedOn w:val="1"/>
    <w:qFormat/>
    <w:uiPriority w:val="1"/>
    <w:pPr>
      <w:ind w:left="1631" w:hanging="803"/>
    </w:pPr>
  </w:style>
  <w:style w:type="paragraph" w:customStyle="1" w:styleId="23">
    <w:name w:val="Table Paragraph"/>
    <w:basedOn w:val="1"/>
    <w:qFormat/>
    <w:uiPriority w:val="1"/>
    <w:pPr>
      <w:jc w:val="center"/>
    </w:pPr>
    <w:rPr>
      <w:rFonts w:ascii="仿宋" w:hAnsi="仿宋" w:eastAsia="仿宋" w:cs="仿宋"/>
    </w:rPr>
  </w:style>
  <w:style w:type="character" w:customStyle="1" w:styleId="24">
    <w:name w:val="页眉 字符"/>
    <w:basedOn w:val="17"/>
    <w:link w:val="11"/>
    <w:qFormat/>
    <w:uiPriority w:val="0"/>
    <w:rPr>
      <w:rFonts w:ascii="仿宋_GB2312" w:hAnsi="仿宋_GB2312" w:eastAsia="仿宋_GB2312" w:cs="仿宋_GB2312"/>
      <w:sz w:val="18"/>
      <w:szCs w:val="18"/>
      <w:lang w:val="zh-CN" w:bidi="zh-CN"/>
    </w:rPr>
  </w:style>
  <w:style w:type="character" w:customStyle="1" w:styleId="25">
    <w:name w:val="页脚 字符"/>
    <w:basedOn w:val="17"/>
    <w:link w:val="10"/>
    <w:qFormat/>
    <w:uiPriority w:val="0"/>
    <w:rPr>
      <w:rFonts w:ascii="仿宋_GB2312" w:hAnsi="仿宋_GB2312" w:eastAsia="仿宋_GB2312" w:cs="仿宋_GB2312"/>
      <w:sz w:val="18"/>
      <w:szCs w:val="18"/>
      <w:lang w:val="zh-CN" w:bidi="zh-CN"/>
    </w:rPr>
  </w:style>
  <w:style w:type="character" w:customStyle="1" w:styleId="26">
    <w:name w:val="批注框文本 字符"/>
    <w:basedOn w:val="17"/>
    <w:link w:val="9"/>
    <w:qFormat/>
    <w:uiPriority w:val="0"/>
    <w:rPr>
      <w:rFonts w:ascii="仿宋_GB2312" w:hAnsi="仿宋_GB2312" w:eastAsia="仿宋_GB2312" w:cs="仿宋_GB2312"/>
      <w:sz w:val="18"/>
      <w:szCs w:val="18"/>
      <w:lang w:val="zh-CN" w:bidi="zh-CN"/>
    </w:rPr>
  </w:style>
  <w:style w:type="character" w:customStyle="1" w:styleId="27">
    <w:name w:val="日期 字符"/>
    <w:basedOn w:val="17"/>
    <w:link w:val="8"/>
    <w:qFormat/>
    <w:uiPriority w:val="0"/>
    <w:rPr>
      <w:rFonts w:ascii="仿宋_GB2312" w:hAnsi="仿宋_GB2312" w:eastAsia="仿宋_GB2312" w:cs="仿宋_GB2312"/>
      <w:sz w:val="22"/>
      <w:szCs w:val="22"/>
      <w:lang w:val="zh-CN" w:bidi="zh-CN"/>
    </w:rPr>
  </w:style>
  <w:style w:type="character" w:customStyle="1" w:styleId="28">
    <w:name w:val="标题 4 字符"/>
    <w:basedOn w:val="17"/>
    <w:link w:val="5"/>
    <w:qFormat/>
    <w:uiPriority w:val="0"/>
    <w:rPr>
      <w:rFonts w:asciiTheme="majorHAnsi" w:hAnsiTheme="majorHAnsi" w:eastAsiaTheme="majorEastAsia" w:cstheme="majorBidi"/>
      <w:b/>
      <w:bCs/>
      <w:kern w:val="2"/>
      <w:sz w:val="28"/>
      <w:szCs w:val="28"/>
    </w:rPr>
  </w:style>
  <w:style w:type="paragraph" w:styleId="29">
    <w:name w:val="No Spacing"/>
    <w:link w:val="30"/>
    <w:qFormat/>
    <w:uiPriority w:val="1"/>
    <w:rPr>
      <w:rFonts w:ascii="Calibri" w:hAnsi="Calibri" w:eastAsia="宋体" w:cs="Times New Roman"/>
      <w:sz w:val="22"/>
      <w:szCs w:val="22"/>
      <w:lang w:val="en-US" w:eastAsia="zh-CN" w:bidi="ar-SA"/>
    </w:rPr>
  </w:style>
  <w:style w:type="character" w:customStyle="1" w:styleId="30">
    <w:name w:val="无间隔 字符"/>
    <w:link w:val="29"/>
    <w:qFormat/>
    <w:uiPriority w:val="1"/>
    <w:rPr>
      <w:rFonts w:ascii="Calibri" w:hAnsi="Calibri" w:eastAsia="宋体" w:cs="Times New Roman"/>
      <w:sz w:val="22"/>
      <w:szCs w:val="22"/>
    </w:rPr>
  </w:style>
  <w:style w:type="character" w:customStyle="1" w:styleId="31">
    <w:name w:val="font51"/>
    <w:qFormat/>
    <w:uiPriority w:val="0"/>
    <w:rPr>
      <w:rFonts w:hint="default" w:ascii="Times New Roman" w:hAnsi="Times New Roman" w:cs="Times New Roman"/>
      <w:color w:val="000000"/>
      <w:sz w:val="24"/>
      <w:szCs w:val="24"/>
      <w:u w:val="none"/>
    </w:rPr>
  </w:style>
  <w:style w:type="character" w:customStyle="1" w:styleId="32">
    <w:name w:val="font61"/>
    <w:qFormat/>
    <w:uiPriority w:val="0"/>
    <w:rPr>
      <w:rFonts w:hint="eastAsia" w:ascii="宋体" w:hAnsi="宋体" w:eastAsia="宋体" w:cs="宋体"/>
      <w:color w:val="000000"/>
      <w:sz w:val="24"/>
      <w:szCs w:val="24"/>
      <w:u w:val="none"/>
    </w:rPr>
  </w:style>
  <w:style w:type="character" w:customStyle="1" w:styleId="33">
    <w:name w:val="标题 1 字符"/>
    <w:basedOn w:val="17"/>
    <w:link w:val="2"/>
    <w:qFormat/>
    <w:uiPriority w:val="0"/>
    <w:rPr>
      <w:rFonts w:ascii="仿宋_GB2312" w:hAnsi="仿宋_GB2312" w:eastAsia="仿宋_GB2312" w:cs="仿宋_GB2312"/>
      <w:b/>
      <w:bCs/>
      <w:kern w:val="44"/>
      <w:sz w:val="44"/>
      <w:szCs w:val="44"/>
      <w:lang w:val="zh-CN" w:bidi="zh-CN"/>
    </w:rPr>
  </w:style>
  <w:style w:type="paragraph" w:customStyle="1" w:styleId="34">
    <w:name w:val="TOC 标题1"/>
    <w:basedOn w:val="2"/>
    <w:next w:val="1"/>
    <w:unhideWhenUsed/>
    <w:qFormat/>
    <w:uiPriority w:val="39"/>
    <w:pPr>
      <w:widowControl/>
      <w:autoSpaceDE/>
      <w:autoSpaceDN/>
      <w:spacing w:before="240" w:after="0" w:line="259" w:lineRule="auto"/>
      <w:outlineLvl w:val="9"/>
    </w:pPr>
    <w:rPr>
      <w:rFonts w:asciiTheme="majorHAnsi" w:hAnsiTheme="majorHAnsi" w:eastAsiaTheme="majorEastAsia" w:cstheme="majorBidi"/>
      <w:b w:val="0"/>
      <w:bCs w:val="0"/>
      <w:color w:val="376092" w:themeColor="accent1" w:themeShade="BF"/>
      <w:kern w:val="0"/>
      <w:sz w:val="32"/>
      <w:szCs w:val="32"/>
      <w:lang w:val="en-US" w:bidi="ar-SA"/>
    </w:rPr>
  </w:style>
  <w:style w:type="paragraph" w:customStyle="1" w:styleId="35">
    <w:name w:val="文档-正文"/>
    <w:qFormat/>
    <w:uiPriority w:val="0"/>
    <w:pPr>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36">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lang w:val="en-US" w:eastAsia="zh-CN" w:bidi="ar-SA"/>
    </w:rPr>
  </w:style>
  <w:style w:type="paragraph" w:customStyle="1" w:styleId="3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8">
    <w:name w:val="二级条标题"/>
    <w:basedOn w:val="39"/>
    <w:next w:val="36"/>
    <w:qFormat/>
    <w:uiPriority w:val="0"/>
    <w:pPr>
      <w:numPr>
        <w:ilvl w:val="2"/>
        <w:numId w:val="2"/>
      </w:numPr>
      <w:tabs>
        <w:tab w:val="left" w:pos="1646"/>
        <w:tab w:val="left" w:pos="1838"/>
      </w:tabs>
      <w:spacing w:before="50" w:after="50"/>
      <w:outlineLvl w:val="3"/>
    </w:pPr>
    <w:rPr>
      <w:rFonts w:hAnsi="黑体"/>
    </w:rPr>
  </w:style>
  <w:style w:type="paragraph" w:customStyle="1" w:styleId="39">
    <w:name w:val="一级条标题"/>
    <w:next w:val="36"/>
    <w:qFormat/>
    <w:uiPriority w:val="0"/>
    <w:pPr>
      <w:tabs>
        <w:tab w:val="left" w:pos="1838"/>
      </w:tabs>
      <w:spacing w:before="156" w:beforeLines="50" w:after="156" w:afterLines="50"/>
      <w:ind w:left="1838" w:hanging="420"/>
      <w:outlineLvl w:val="2"/>
    </w:pPr>
    <w:rPr>
      <w:rFonts w:ascii="黑体" w:hAnsi="Times New Roman" w:eastAsia="黑体" w:cs="Times New Roman"/>
      <w:sz w:val="21"/>
      <w:szCs w:val="21"/>
      <w:lang w:val="en-US" w:eastAsia="zh-CN" w:bidi="ar-SA"/>
    </w:rPr>
  </w:style>
  <w:style w:type="paragraph" w:customStyle="1" w:styleId="40">
    <w:name w:val="标准文件_附录标识"/>
    <w:next w:val="37"/>
    <w:qFormat/>
    <w:uiPriority w:val="0"/>
    <w:pPr>
      <w:numPr>
        <w:ilvl w:val="0"/>
        <w:numId w:val="3"/>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神州网信技术有限公司</Company>
  <Pages>11</Pages>
  <Words>6103</Words>
  <Characters>6405</Characters>
  <Lines>1</Lines>
  <Paragraphs>1</Paragraphs>
  <TotalTime>13</TotalTime>
  <ScaleCrop>false</ScaleCrop>
  <LinksUpToDate>false</LinksUpToDate>
  <CharactersWithSpaces>6742</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2023-10-31T17:24:00Z</dcterms:created>
  <dc:creator>MaJing</dc:creator>
  <cp:lastModifiedBy>王珊珊</cp:lastModifiedBy>
  <cp:lastPrinted>2024-09-18T18:41:00Z</cp:lastPrinted>
  <dcterms:modified xsi:type="dcterms:W3CDTF">2025-05-30T11:29:02Z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2020-06-12T00:00:00Z</vt:filetime>
  </property>
  <property fmtid="{D5CDD505-2E9C-101B-9397-08002B2CF9AE}" pid="3" name="LastSaved">
    <vt:filetime>2021-12-14T00:00:00Z</vt:filetime>
  </property>
  <property fmtid="{D5CDD505-2E9C-101B-9397-08002B2CF9AE}" pid="4" name="KSOProductBuildVer">
    <vt:lpwstr>2052-11.8.2.10251</vt:lpwstr>
  </property>
  <property fmtid="{D5CDD505-2E9C-101B-9397-08002B2CF9AE}" pid="5" name="ICV">
    <vt:lpwstr>B5506A38D6544DD6ABE305E62751EF42_13</vt:lpwstr>
  </property>
  <property fmtid="{D5CDD505-2E9C-101B-9397-08002B2CF9AE}" pid="6" name="KSOTemplateDocerSaveRecord">
    <vt:lpwstr>eyJoZGlkIjoiODI0Y2Q3OWRlYWE3MDUxNmJjZTg0NDZmYWRlODlmYjkiLCJ1c2VySWQiOiI2MjAyNjc1MjEifQ==</vt:lpwstr>
  </property>
</Properties>
</file>