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公路隧道运营状况监测技术规范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operating monitoring of road tunnel</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bookmarkStart w:id="150" w:name="_GoBack"/>
      <w:bookmarkEnd w:id="150"/>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甘肃省市场监督管理局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199250243"/>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"_Toc199250325" </w:instrText>
      </w:r>
      <w:r>
        <w:fldChar w:fldCharType="separate"/>
      </w:r>
      <w:r>
        <w:rPr>
          <w:rStyle w:val="32"/>
        </w:rPr>
        <w:t>前言</w:t>
      </w:r>
      <w:r>
        <w:tab/>
      </w:r>
      <w:r>
        <w:fldChar w:fldCharType="begin"/>
      </w:r>
      <w:r>
        <w:instrText xml:space="preserve"> PAGEREF _Toc199250325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"_Toc199250326" </w:instrText>
      </w:r>
      <w:r>
        <w:fldChar w:fldCharType="separate"/>
      </w:r>
      <w:r>
        <w:rPr>
          <w:rStyle w:val="32"/>
        </w:rPr>
        <w:t>引言</w:t>
      </w:r>
      <w:r>
        <w:tab/>
      </w:r>
      <w:r>
        <w:fldChar w:fldCharType="begin"/>
      </w:r>
      <w:r>
        <w:instrText xml:space="preserve"> PAGEREF _Toc199250326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"_Toc199250327" </w:instrText>
      </w:r>
      <w:r>
        <w:fldChar w:fldCharType="separate"/>
      </w:r>
      <w:r>
        <w:rPr>
          <w:rStyle w:val="32"/>
        </w:rPr>
        <w:t>1  范围</w:t>
      </w:r>
      <w:r>
        <w:tab/>
      </w:r>
      <w:r>
        <w:fldChar w:fldCharType="begin"/>
      </w:r>
      <w:r>
        <w:instrText xml:space="preserve"> PAGEREF _Toc199250327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"_Toc199250328" </w:instrText>
      </w:r>
      <w:r>
        <w:fldChar w:fldCharType="separate"/>
      </w:r>
      <w:r>
        <w:rPr>
          <w:rStyle w:val="32"/>
        </w:rPr>
        <w:t>2  规范性引用文件</w:t>
      </w:r>
      <w:r>
        <w:tab/>
      </w:r>
      <w:r>
        <w:fldChar w:fldCharType="begin"/>
      </w:r>
      <w:r>
        <w:instrText xml:space="preserve"> PAGEREF _Toc199250328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"_Toc199250329" </w:instrText>
      </w:r>
      <w:r>
        <w:fldChar w:fldCharType="separate"/>
      </w:r>
      <w:r>
        <w:rPr>
          <w:rStyle w:val="32"/>
        </w:rPr>
        <w:t>3  术语和定义</w:t>
      </w:r>
      <w:r>
        <w:tab/>
      </w:r>
      <w:r>
        <w:fldChar w:fldCharType="begin"/>
      </w:r>
      <w:r>
        <w:instrText xml:space="preserve"> PAGEREF _Toc199250329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"_Toc199250330" </w:instrText>
      </w:r>
      <w:r>
        <w:fldChar w:fldCharType="separate"/>
      </w:r>
      <w:r>
        <w:rPr>
          <w:rStyle w:val="32"/>
        </w:rPr>
        <w:t>4  基本原则</w:t>
      </w:r>
      <w:r>
        <w:tab/>
      </w:r>
      <w:r>
        <w:fldChar w:fldCharType="begin"/>
      </w:r>
      <w:r>
        <w:instrText xml:space="preserve"> PAGEREF _Toc199250330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"_Toc199250331" </w:instrText>
      </w:r>
      <w:r>
        <w:fldChar w:fldCharType="separate"/>
      </w:r>
      <w:r>
        <w:rPr>
          <w:rStyle w:val="32"/>
        </w:rPr>
        <w:t xml:space="preserve">5 </w:t>
      </w:r>
      <w:r>
        <w:rPr>
          <w:rStyle w:val="32"/>
          <w:rFonts w:ascii="Times New Roman"/>
        </w:rPr>
        <w:t xml:space="preserve"> 基本要求</w:t>
      </w:r>
      <w:r>
        <w:tab/>
      </w:r>
      <w:r>
        <w:fldChar w:fldCharType="begin"/>
      </w:r>
      <w:r>
        <w:instrText xml:space="preserve"> PAGEREF _Toc199250331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"_Toc199250334" </w:instrText>
      </w:r>
      <w:r>
        <w:fldChar w:fldCharType="separate"/>
      </w:r>
      <w:r>
        <w:rPr>
          <w:rStyle w:val="32"/>
        </w:rPr>
        <w:t>6  隧道洞口及洞门监测</w:t>
      </w:r>
      <w:r>
        <w:tab/>
      </w:r>
      <w:r>
        <w:fldChar w:fldCharType="begin"/>
      </w:r>
      <w:r>
        <w:instrText xml:space="preserve"> PAGEREF _Toc199250334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"_Toc199250337" </w:instrText>
      </w:r>
      <w:r>
        <w:fldChar w:fldCharType="separate"/>
      </w:r>
      <w:r>
        <w:rPr>
          <w:rStyle w:val="32"/>
        </w:rPr>
        <w:t>7  隧道衬砌结构监测</w:t>
      </w:r>
      <w:r>
        <w:tab/>
      </w:r>
      <w:r>
        <w:fldChar w:fldCharType="begin"/>
      </w:r>
      <w:r>
        <w:instrText xml:space="preserve"> PAGEREF _Toc199250337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"_Toc199250342" </w:instrText>
      </w:r>
      <w:r>
        <w:fldChar w:fldCharType="separate"/>
      </w:r>
      <w:r>
        <w:rPr>
          <w:rStyle w:val="32"/>
        </w:rPr>
        <w:t>8  隧道洞内外气候环境监测</w:t>
      </w:r>
      <w:r>
        <w:tab/>
      </w:r>
      <w:r>
        <w:fldChar w:fldCharType="begin"/>
      </w:r>
      <w:r>
        <w:instrText xml:space="preserve"> PAGEREF _Toc199250342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"_Toc199250343" </w:instrText>
      </w:r>
      <w:r>
        <w:fldChar w:fldCharType="separate"/>
      </w:r>
      <w:r>
        <w:rPr>
          <w:rStyle w:val="32"/>
        </w:rPr>
        <w:t>9  隧道机电设施运行状况监测</w:t>
      </w:r>
      <w:r>
        <w:tab/>
      </w:r>
      <w:r>
        <w:fldChar w:fldCharType="begin"/>
      </w:r>
      <w:r>
        <w:instrText xml:space="preserve"> PAGEREF _Toc199250343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"_Toc199250349" </w:instrText>
      </w:r>
      <w:r>
        <w:fldChar w:fldCharType="separate"/>
      </w:r>
      <w:r>
        <w:rPr>
          <w:rStyle w:val="32"/>
        </w:rPr>
        <w:t>10  隧道车辆通行状况监测</w:t>
      </w:r>
      <w:r>
        <w:tab/>
      </w:r>
      <w:r>
        <w:fldChar w:fldCharType="begin"/>
      </w:r>
      <w:r>
        <w:instrText xml:space="preserve"> PAGEREF _Toc199250349 \h </w:instrText>
      </w:r>
      <w:r>
        <w:fldChar w:fldCharType="separate"/>
      </w:r>
      <w:r>
        <w:t>11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"_Toc199250350" </w:instrText>
      </w:r>
      <w:r>
        <w:fldChar w:fldCharType="separate"/>
      </w:r>
      <w:r>
        <w:rPr>
          <w:rStyle w:val="32"/>
        </w:rPr>
        <w:t>11  隧道突发性异常事件监测</w:t>
      </w:r>
      <w:r>
        <w:tab/>
      </w:r>
      <w:r>
        <w:fldChar w:fldCharType="begin"/>
      </w:r>
      <w:r>
        <w:instrText xml:space="preserve"> PAGEREF _Toc199250350 \h </w:instrText>
      </w:r>
      <w:r>
        <w:fldChar w:fldCharType="separate"/>
      </w:r>
      <w:r>
        <w:t>11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"_Toc199250351" </w:instrText>
      </w:r>
      <w:r>
        <w:fldChar w:fldCharType="separate"/>
      </w:r>
      <w:r>
        <w:rPr>
          <w:rStyle w:val="32"/>
        </w:rPr>
        <w:t>12  监测数据分析及应用</w:t>
      </w:r>
      <w:r>
        <w:tab/>
      </w:r>
      <w:r>
        <w:fldChar w:fldCharType="begin"/>
      </w:r>
      <w:r>
        <w:instrText xml:space="preserve"> PAGEREF _Toc199250351 \h </w:instrText>
      </w:r>
      <w:r>
        <w:fldChar w:fldCharType="separate"/>
      </w:r>
      <w:r>
        <w:t>11</w:t>
      </w:r>
      <w:r>
        <w:fldChar w:fldCharType="end"/>
      </w:r>
      <w:r>
        <w:fldChar w:fldCharType="end"/>
      </w:r>
    </w:p>
    <w:p>
      <w:pPr>
        <w:pStyle w:val="24"/>
        <w:rPr>
          <w:rFonts w:asciiTheme="minorHAnsi" w:hAnsiTheme="minorHAnsi" w:eastAsiaTheme="minorEastAsia" w:cstheme="minorBidi"/>
          <w:szCs w:val="22"/>
        </w:rPr>
      </w:pP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99250325"/>
      <w:bookmarkStart w:id="24" w:name="BookMark2"/>
      <w:r>
        <w:rPr>
          <w:spacing w:val="320"/>
        </w:rPr>
        <w:t>前</w:t>
      </w:r>
      <w:r>
        <w:t>言</w:t>
      </w:r>
      <w:bookmarkEnd w:id="22"/>
      <w:bookmarkEnd w:id="23"/>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rPr>
          <w:rFonts w:hint="eastAsia"/>
        </w:rPr>
      </w:pPr>
      <w:r>
        <w:rPr>
          <w:rFonts w:hint="eastAsia"/>
        </w:rPr>
        <w:t>本文件由甘肃省交通运输厅提出并监督实施。</w:t>
      </w:r>
    </w:p>
    <w:p>
      <w:pPr>
        <w:pStyle w:val="56"/>
        <w:ind w:firstLine="420"/>
        <w:rPr>
          <w:rFonts w:hint="eastAsia"/>
        </w:rPr>
      </w:pPr>
      <w:r>
        <w:rPr>
          <w:rFonts w:hint="eastAsia"/>
        </w:rPr>
        <w:t>本文件由甘肃省交通运输标准化技术委员会归口。</w:t>
      </w:r>
    </w:p>
    <w:p>
      <w:pPr>
        <w:pStyle w:val="56"/>
        <w:ind w:firstLine="420"/>
        <w:rPr>
          <w:rFonts w:hint="eastAsia"/>
        </w:rPr>
      </w:pPr>
      <w:r>
        <w:rPr>
          <w:rFonts w:hint="eastAsia"/>
        </w:rPr>
        <w:t xml:space="preserve">本文件起草单位： </w:t>
      </w:r>
    </w:p>
    <w:p>
      <w:pPr>
        <w:pStyle w:val="56"/>
        <w:ind w:firstLine="420"/>
        <w:rPr>
          <w:rFonts w:hint="eastAsia"/>
        </w:rPr>
      </w:pPr>
      <w:r>
        <w:rPr>
          <w:rFonts w:hint="eastAsia"/>
        </w:rPr>
        <w:t>本文件主要起草人：</w:t>
      </w:r>
    </w:p>
    <w:p>
      <w:pPr>
        <w:pStyle w:val="56"/>
        <w:ind w:firstLine="420"/>
        <w:rPr>
          <w:rFonts w:hint="eastAsia"/>
        </w:rPr>
      </w:pPr>
      <w:r>
        <w:rPr>
          <w:rFonts w:hint="eastAsia"/>
        </w:rPr>
        <w:t>本文件为首次发布。</w:t>
      </w:r>
    </w:p>
    <w:p>
      <w:pPr>
        <w:pStyle w:val="56"/>
        <w:ind w:firstLine="420"/>
      </w:pPr>
      <w:r>
        <w:rPr>
          <w:rFonts w:hint="eastAsia"/>
        </w:rPr>
        <w:t>本文件由甘肃省交通规划勘察设计院股份有限公司负责解释。</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pStyle w:val="89"/>
        <w:spacing w:after="468"/>
      </w:pPr>
      <w:bookmarkStart w:id="25" w:name="_Toc199250326"/>
      <w:bookmarkStart w:id="26" w:name="_Toc199250244"/>
      <w:bookmarkStart w:id="27" w:name="BookMark3"/>
      <w:r>
        <w:rPr>
          <w:spacing w:val="320"/>
        </w:rPr>
        <w:t>引</w:t>
      </w:r>
      <w:r>
        <w:t>言</w:t>
      </w:r>
      <w:bookmarkEnd w:id="25"/>
      <w:bookmarkEnd w:id="26"/>
    </w:p>
    <w:p>
      <w:pPr>
        <w:pStyle w:val="56"/>
        <w:ind w:firstLine="420"/>
        <w:rPr>
          <w:rFonts w:hint="eastAsia"/>
          <w:color w:val="FF0000"/>
        </w:rPr>
      </w:pPr>
      <w:r>
        <w:rPr>
          <w:rFonts w:hint="eastAsia"/>
        </w:rPr>
        <w:t>公路隧道作为交通基础设施的关键节点，其运营状况直接关系到道路交通安全和人民群众的生命财产安全。随着我省公路隧道运营里程的持续增长以及服役年限的不断增加，隧道运营过程中的风险防控压力逐年凸显，对公路隧道运营状况开展实时监测与分析已成为保障其安全运行的重要举措和必要手段。</w:t>
      </w:r>
    </w:p>
    <w:p>
      <w:pPr>
        <w:pStyle w:val="56"/>
        <w:ind w:firstLine="420"/>
      </w:pPr>
      <w:r>
        <w:rPr>
          <w:rFonts w:hint="eastAsia"/>
        </w:rPr>
        <w:t>为了更好的指导和规范公路隧道运营状况监测，有效支撑公路隧道运营安全运营，特编制本文件。</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323E969C54424C9F8B73DA383CAAA4E8"/>
        </w:placeholder>
      </w:sdtPr>
      <w:sdtContent>
        <w:p>
          <w:pPr>
            <w:pStyle w:val="177"/>
            <w:spacing w:before="312" w:beforeLines="100" w:after="686" w:afterLines="220"/>
          </w:pPr>
          <w:bookmarkStart w:id="29" w:name="NEW_STAND_NAME"/>
          <w:r>
            <w:rPr>
              <w:rFonts w:hint="eastAsia"/>
            </w:rPr>
            <w:t>公路隧道运营状况监测技术规范</w:t>
          </w:r>
        </w:p>
      </w:sdtContent>
    </w:sdt>
    <w:bookmarkEnd w:id="29"/>
    <w:p>
      <w:pPr>
        <w:pStyle w:val="104"/>
        <w:spacing w:before="312" w:after="312"/>
      </w:pPr>
      <w:bookmarkStart w:id="30" w:name="_Toc26986771"/>
      <w:bookmarkStart w:id="31" w:name="_Toc17233325"/>
      <w:bookmarkStart w:id="32" w:name="_Toc26718930"/>
      <w:bookmarkStart w:id="33" w:name="_Toc199250245"/>
      <w:bookmarkStart w:id="34" w:name="_Toc17233333"/>
      <w:bookmarkStart w:id="35" w:name="_Toc199250327"/>
      <w:bookmarkStart w:id="36" w:name="_Toc26986530"/>
      <w:bookmarkStart w:id="37" w:name="_Toc97191423"/>
      <w:bookmarkStart w:id="38" w:name="_Toc26648465"/>
      <w:bookmarkStart w:id="39" w:name="_Toc24884218"/>
      <w:bookmarkStart w:id="40" w:name="_Toc24884211"/>
      <w:r>
        <w:rPr>
          <w:rFonts w:hint="eastAsia"/>
        </w:rPr>
        <w:t>范围</w:t>
      </w:r>
      <w:bookmarkEnd w:id="30"/>
      <w:bookmarkEnd w:id="31"/>
      <w:bookmarkEnd w:id="32"/>
      <w:bookmarkEnd w:id="33"/>
      <w:bookmarkEnd w:id="34"/>
      <w:bookmarkEnd w:id="35"/>
      <w:bookmarkEnd w:id="36"/>
      <w:bookmarkEnd w:id="37"/>
      <w:bookmarkEnd w:id="38"/>
      <w:bookmarkEnd w:id="39"/>
      <w:bookmarkEnd w:id="40"/>
    </w:p>
    <w:p>
      <w:pPr>
        <w:pStyle w:val="56"/>
        <w:ind w:firstLine="420"/>
        <w:rPr>
          <w:rFonts w:hint="eastAsia"/>
        </w:rPr>
      </w:pPr>
      <w:bookmarkStart w:id="41" w:name="_Toc17233326"/>
      <w:bookmarkStart w:id="42" w:name="_Toc26648466"/>
      <w:bookmarkStart w:id="43" w:name="_Toc24884212"/>
      <w:bookmarkStart w:id="44" w:name="_Toc17233334"/>
      <w:bookmarkStart w:id="45" w:name="_Toc24884219"/>
      <w:r>
        <w:rPr>
          <w:rFonts w:hint="eastAsia"/>
        </w:rPr>
        <w:t>本文件规定了公路隧道运营状况监测的技术要求，包括风险等级，监测要求、内容及方法，监测数据分析等内容。</w:t>
      </w:r>
    </w:p>
    <w:p>
      <w:pPr>
        <w:pStyle w:val="56"/>
        <w:ind w:firstLine="420"/>
      </w:pPr>
      <w:r>
        <w:rPr>
          <w:rFonts w:hint="eastAsia"/>
        </w:rPr>
        <w:t>本文件适用于钻爆法施工的在役公路隧道运营状况监测。采用其他方法施工建设的隧道，其运营状况监测可参照执行。</w:t>
      </w:r>
    </w:p>
    <w:p>
      <w:pPr>
        <w:pStyle w:val="104"/>
        <w:spacing w:before="312" w:after="312"/>
      </w:pPr>
      <w:bookmarkStart w:id="46" w:name="_Toc97191424"/>
      <w:bookmarkStart w:id="47" w:name="_Toc199250328"/>
      <w:bookmarkStart w:id="48" w:name="_Toc26986531"/>
      <w:bookmarkStart w:id="49" w:name="_Toc26718931"/>
      <w:bookmarkStart w:id="50" w:name="_Toc26986772"/>
      <w:bookmarkStart w:id="51" w:name="_Toc199250246"/>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EFB87C8F167047DEA3CAC7DAA8535E4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widowControl w:val="0"/>
        <w:ind w:firstLine="420"/>
        <w:rPr>
          <w:rFonts w:ascii="Times New Roman"/>
        </w:rPr>
      </w:pPr>
      <w:r>
        <w:rPr>
          <w:rFonts w:ascii="Times New Roman"/>
        </w:rPr>
        <w:t>JTG D70/2 公路隧道设计规范 第二册 交通工程与附属设施</w:t>
      </w:r>
    </w:p>
    <w:p>
      <w:pPr>
        <w:pStyle w:val="56"/>
        <w:widowControl w:val="0"/>
        <w:ind w:firstLine="420"/>
        <w:rPr>
          <w:rFonts w:hint="eastAsia" w:ascii="Times New Roman"/>
        </w:rPr>
      </w:pPr>
      <w:r>
        <w:rPr>
          <w:rFonts w:ascii="Times New Roman"/>
        </w:rPr>
        <w:t xml:space="preserve">DB62/T </w:t>
      </w:r>
      <w:r>
        <w:rPr>
          <w:rFonts w:hint="eastAsia" w:ascii="Times New Roman"/>
        </w:rPr>
        <w:t>4691</w:t>
      </w:r>
      <w:r>
        <w:rPr>
          <w:rFonts w:ascii="Times New Roman"/>
        </w:rPr>
        <w:t xml:space="preserve"> </w:t>
      </w:r>
      <w:r>
        <w:rPr>
          <w:rFonts w:hint="eastAsia" w:ascii="Times New Roman"/>
        </w:rPr>
        <w:t>公路隧道病害专项检查技术规范</w:t>
      </w:r>
    </w:p>
    <w:p>
      <w:pPr>
        <w:pStyle w:val="56"/>
        <w:widowControl w:val="0"/>
        <w:ind w:firstLine="420"/>
        <w:rPr>
          <w:rFonts w:ascii="Times New Roman"/>
        </w:rPr>
      </w:pPr>
      <w:r>
        <w:rPr>
          <w:rFonts w:ascii="Times New Roman"/>
        </w:rPr>
        <w:t>DB62/T 4972 寒区公路隧道冻融环境监测技术规范</w:t>
      </w:r>
    </w:p>
    <w:p>
      <w:pPr>
        <w:pStyle w:val="56"/>
        <w:ind w:firstLine="420"/>
      </w:pPr>
      <w:r>
        <w:rPr>
          <w:rFonts w:ascii="Times New Roman"/>
        </w:rPr>
        <w:t>交通运输部 公路长大隧道结构监测系统试点建设技术指南</w:t>
      </w:r>
    </w:p>
    <w:p>
      <w:pPr>
        <w:pStyle w:val="104"/>
        <w:spacing w:before="312" w:after="312"/>
      </w:pPr>
      <w:bookmarkStart w:id="52" w:name="_Toc199250329"/>
      <w:bookmarkStart w:id="53" w:name="_Toc97191425"/>
      <w:bookmarkStart w:id="54" w:name="_Toc199250247"/>
      <w:r>
        <w:rPr>
          <w:rFonts w:hint="eastAsia"/>
          <w:szCs w:val="21"/>
        </w:rPr>
        <w:t>术语和定义</w:t>
      </w:r>
      <w:bookmarkEnd w:id="52"/>
      <w:bookmarkEnd w:id="53"/>
      <w:bookmarkEnd w:id="54"/>
    </w:p>
    <w:sdt>
      <w:sdtPr>
        <w:id w:val="-1909835108"/>
        <w:placeholder>
          <w:docPart w:val="9206142747434244B89DD45951E8931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5" w:name="_Toc26986532"/>
          <w:bookmarkEnd w:id="55"/>
          <w:r>
            <w:t>下列术语和定义适用于本文件。</w:t>
          </w:r>
        </w:p>
      </w:sdtContent>
    </w:sdt>
    <w:p>
      <w:pPr>
        <w:pStyle w:val="223"/>
        <w:ind w:left="420" w:hanging="420" w:hangingChars="200"/>
        <w:rPr>
          <w:rFonts w:ascii="黑体" w:hAnsi="黑体" w:eastAsia="黑体"/>
        </w:rPr>
      </w:pPr>
      <w:bookmarkStart w:id="56" w:name="OLE_LINK1"/>
    </w:p>
    <w:p>
      <w:pPr>
        <w:pStyle w:val="223"/>
        <w:numPr>
          <w:ilvl w:val="0"/>
          <w:numId w:val="0"/>
        </w:numPr>
        <w:ind w:left="420"/>
        <w:rPr>
          <w:rFonts w:ascii="黑体" w:hAnsi="黑体" w:eastAsia="黑体"/>
        </w:rPr>
      </w:pPr>
      <w:r>
        <w:rPr>
          <w:rFonts w:ascii="黑体" w:hAnsi="黑体" w:eastAsia="黑体"/>
        </w:rPr>
        <w:t>隧道运营状况监测 tunnel structural monitoring</w:t>
      </w:r>
    </w:p>
    <w:p>
      <w:pPr>
        <w:pStyle w:val="56"/>
        <w:ind w:firstLine="420"/>
        <w:rPr>
          <w:rFonts w:ascii="Times New Roman"/>
        </w:rPr>
      </w:pPr>
      <w:r>
        <w:rPr>
          <w:rFonts w:ascii="Times New Roman"/>
        </w:rPr>
        <w:t>一种可以对隧道的设定参数进行连续、自动测量和记录，获取隧道环境、病害特征、结构受力和变形、机电系统运行状况、车辆通行状况、突发性异常事件等数据，实现监测数据超限报警，评估隧道结构健康度的多学科交叉融合技术。</w:t>
      </w:r>
    </w:p>
    <w:p>
      <w:pPr>
        <w:pStyle w:val="223"/>
        <w:ind w:left="420" w:hanging="420" w:hangingChars="200"/>
        <w:rPr>
          <w:rFonts w:ascii="黑体" w:hAnsi="黑体" w:eastAsia="黑体"/>
        </w:rPr>
      </w:pPr>
      <w:bookmarkStart w:id="57" w:name="OLE_LINK9"/>
    </w:p>
    <w:p>
      <w:pPr>
        <w:pStyle w:val="223"/>
        <w:numPr>
          <w:ilvl w:val="0"/>
          <w:numId w:val="0"/>
        </w:numPr>
        <w:ind w:left="420"/>
        <w:rPr>
          <w:rFonts w:ascii="黑体" w:hAnsi="黑体" w:eastAsia="黑体"/>
        </w:rPr>
      </w:pPr>
      <w:r>
        <w:rPr>
          <w:rFonts w:ascii="黑体" w:hAnsi="黑体" w:eastAsia="黑体"/>
        </w:rPr>
        <w:t>隧道运营状况监测系统</w:t>
      </w:r>
      <w:bookmarkEnd w:id="57"/>
      <w:r>
        <w:rPr>
          <w:rFonts w:ascii="黑体" w:hAnsi="黑体" w:eastAsia="黑体"/>
        </w:rPr>
        <w:t xml:space="preserve"> tunnel structural monitoring system</w:t>
      </w:r>
    </w:p>
    <w:p>
      <w:pPr>
        <w:pStyle w:val="56"/>
        <w:ind w:firstLine="420"/>
        <w:rPr>
          <w:rFonts w:hint="eastAsia"/>
        </w:rPr>
      </w:pPr>
      <w:r>
        <w:t>一种通过物联网技术将分布在隧道现场和监控中心的各类传感器、数据采集与传输、数据处理与管理、数据分析与应用的硬件设备、软件模块及配套设施连接在一起，具有对隧道设定参数连续监测、自动记录、数据显示、报警评估的功能，辅助隧道管理和养护决策的系统，包括监测方案、监测硬件设备、监测软件平台。</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ascii="黑体" w:hAnsi="黑体" w:eastAsia="黑体"/>
        </w:rPr>
        <w:t>特殊地质地段</w:t>
      </w:r>
      <w:bookmarkEnd w:id="56"/>
      <w:r>
        <w:rPr>
          <w:rFonts w:ascii="黑体" w:hAnsi="黑体" w:eastAsia="黑体"/>
        </w:rPr>
        <w:t xml:space="preserve"> special geological section</w:t>
      </w:r>
    </w:p>
    <w:p>
      <w:pPr>
        <w:pStyle w:val="56"/>
        <w:ind w:firstLine="420"/>
      </w:pPr>
      <w:r>
        <w:t>隧道穿越的高地应力软岩、高压富水区、湿陷性黄土、多年冻土、断裂破碎带、岩溶发育区、采空区等地质地段。</w:t>
      </w:r>
      <w:bookmarkStart w:id="58" w:name="OLE_LINK2"/>
    </w:p>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变形监测</w:t>
      </w:r>
      <w:bookmarkEnd w:id="58"/>
      <w:r>
        <w:rPr>
          <w:rFonts w:ascii="黑体" w:hAnsi="黑体" w:eastAsia="黑体"/>
        </w:rPr>
        <w:t xml:space="preserve"> deformation monitoring</w:t>
      </w:r>
    </w:p>
    <w:p>
      <w:pPr>
        <w:pStyle w:val="56"/>
        <w:widowControl w:val="0"/>
        <w:ind w:firstLine="420"/>
        <w:rPr>
          <w:rFonts w:ascii="Times New Roman"/>
        </w:rPr>
      </w:pPr>
      <w:r>
        <w:rPr>
          <w:rFonts w:ascii="Times New Roman"/>
        </w:rPr>
        <w:t>对隧道结构、周围岩土体等变形进行的持续量测与分析。</w:t>
      </w:r>
    </w:p>
    <w:p>
      <w:pPr>
        <w:pStyle w:val="223"/>
        <w:ind w:left="420" w:hanging="420" w:hangingChars="200"/>
        <w:rPr>
          <w:rFonts w:ascii="黑体" w:hAnsi="黑体" w:eastAsia="黑体"/>
        </w:rPr>
      </w:pPr>
      <w:bookmarkStart w:id="59" w:name="OLE_LINK3"/>
    </w:p>
    <w:p>
      <w:pPr>
        <w:pStyle w:val="223"/>
        <w:numPr>
          <w:ilvl w:val="0"/>
          <w:numId w:val="0"/>
        </w:numPr>
        <w:ind w:left="420"/>
        <w:rPr>
          <w:rFonts w:ascii="黑体" w:hAnsi="黑体" w:eastAsia="黑体"/>
        </w:rPr>
      </w:pPr>
      <w:r>
        <w:rPr>
          <w:rFonts w:ascii="黑体" w:hAnsi="黑体" w:eastAsia="黑体"/>
        </w:rPr>
        <w:t>受力监测</w:t>
      </w:r>
      <w:bookmarkEnd w:id="59"/>
      <w:r>
        <w:rPr>
          <w:rFonts w:ascii="黑体" w:hAnsi="黑体" w:eastAsia="黑体"/>
        </w:rPr>
        <w:t xml:space="preserve">  stress monitoring</w:t>
      </w:r>
    </w:p>
    <w:p>
      <w:pPr>
        <w:pStyle w:val="56"/>
        <w:widowControl w:val="0"/>
        <w:ind w:firstLine="420"/>
        <w:rPr>
          <w:rFonts w:ascii="Times New Roman"/>
        </w:rPr>
      </w:pPr>
      <w:r>
        <w:rPr>
          <w:rFonts w:ascii="Times New Roman"/>
        </w:rPr>
        <w:t>对隧道结构应力及外荷载进行的持续量测与分析。</w:t>
      </w:r>
    </w:p>
    <w:p>
      <w:pPr>
        <w:pStyle w:val="223"/>
        <w:ind w:left="420" w:hanging="420" w:hangingChars="200"/>
        <w:rPr>
          <w:rFonts w:ascii="黑体" w:hAnsi="黑体" w:eastAsia="黑体"/>
        </w:rPr>
      </w:pPr>
      <w:bookmarkStart w:id="60" w:name="OLE_LINK4"/>
    </w:p>
    <w:p>
      <w:pPr>
        <w:pStyle w:val="223"/>
        <w:numPr>
          <w:ilvl w:val="0"/>
          <w:numId w:val="0"/>
        </w:numPr>
        <w:ind w:left="420"/>
        <w:rPr>
          <w:rFonts w:ascii="黑体" w:hAnsi="黑体" w:eastAsia="黑体"/>
        </w:rPr>
      </w:pPr>
      <w:r>
        <w:rPr>
          <w:rFonts w:ascii="黑体" w:hAnsi="黑体" w:eastAsia="黑体"/>
        </w:rPr>
        <w:t>环境监测</w:t>
      </w:r>
      <w:bookmarkEnd w:id="60"/>
      <w:r>
        <w:rPr>
          <w:rFonts w:ascii="黑体" w:hAnsi="黑体" w:eastAsia="黑体"/>
        </w:rPr>
        <w:t xml:space="preserve"> environmental monitoring</w:t>
      </w:r>
    </w:p>
    <w:p>
      <w:pPr>
        <w:pStyle w:val="56"/>
        <w:widowControl w:val="0"/>
        <w:ind w:firstLine="420"/>
        <w:rPr>
          <w:rFonts w:ascii="Times New Roman"/>
        </w:rPr>
      </w:pPr>
      <w:r>
        <w:rPr>
          <w:rFonts w:ascii="Times New Roman"/>
        </w:rPr>
        <w:t>对影响结构安全的环境因素进行的观测与分析。</w:t>
      </w:r>
    </w:p>
    <w:p>
      <w:pPr>
        <w:pStyle w:val="223"/>
        <w:ind w:left="420" w:hanging="420" w:hangingChars="200"/>
        <w:rPr>
          <w:rFonts w:ascii="黑体" w:hAnsi="黑体" w:eastAsia="黑体"/>
        </w:rPr>
      </w:pPr>
      <w:bookmarkStart w:id="61" w:name="OLE_LINK5"/>
    </w:p>
    <w:p>
      <w:pPr>
        <w:pStyle w:val="223"/>
        <w:numPr>
          <w:ilvl w:val="0"/>
          <w:numId w:val="0"/>
        </w:numPr>
        <w:ind w:left="420"/>
        <w:rPr>
          <w:rFonts w:ascii="黑体" w:hAnsi="黑体" w:eastAsia="黑体"/>
        </w:rPr>
      </w:pPr>
      <w:r>
        <w:rPr>
          <w:rFonts w:ascii="黑体" w:hAnsi="黑体" w:eastAsia="黑体"/>
        </w:rPr>
        <w:t>病害特征监测</w:t>
      </w:r>
      <w:bookmarkEnd w:id="61"/>
      <w:r>
        <w:rPr>
          <w:rFonts w:ascii="黑体" w:hAnsi="黑体" w:eastAsia="黑体"/>
        </w:rPr>
        <w:t xml:space="preserve"> disease Characterization Monitoring</w:t>
      </w:r>
    </w:p>
    <w:p>
      <w:pPr>
        <w:pStyle w:val="56"/>
        <w:ind w:firstLine="420"/>
      </w:pPr>
      <w:r>
        <w:rPr>
          <w:rFonts w:ascii="Times New Roman"/>
        </w:rPr>
        <w:t>对影响隧道结构安全的病害特征及其变化进行的量测与分析。</w:t>
      </w:r>
    </w:p>
    <w:p>
      <w:pPr>
        <w:pStyle w:val="104"/>
        <w:spacing w:before="312" w:after="312"/>
      </w:pPr>
      <w:bookmarkStart w:id="62" w:name="_Toc198752831"/>
      <w:bookmarkStart w:id="63" w:name="_Toc20139"/>
      <w:bookmarkStart w:id="64" w:name="_Toc21992"/>
      <w:bookmarkStart w:id="65" w:name="_Toc171428727"/>
      <w:bookmarkStart w:id="66" w:name="_Toc12742"/>
      <w:bookmarkStart w:id="67" w:name="_Toc16843"/>
      <w:bookmarkStart w:id="68" w:name="_Toc24915"/>
      <w:bookmarkStart w:id="69" w:name="_Toc8978"/>
      <w:bookmarkStart w:id="70" w:name="_Toc199250248"/>
      <w:bookmarkStart w:id="71" w:name="_Toc199250330"/>
      <w:r>
        <w:t>基本</w:t>
      </w:r>
      <w:bookmarkEnd w:id="62"/>
      <w:bookmarkEnd w:id="63"/>
      <w:bookmarkEnd w:id="64"/>
      <w:bookmarkEnd w:id="65"/>
      <w:bookmarkEnd w:id="66"/>
      <w:bookmarkEnd w:id="67"/>
      <w:bookmarkEnd w:id="68"/>
      <w:bookmarkEnd w:id="69"/>
      <w:r>
        <w:rPr>
          <w:rFonts w:hint="eastAsia"/>
        </w:rPr>
        <w:t>原则</w:t>
      </w:r>
      <w:bookmarkEnd w:id="70"/>
      <w:bookmarkEnd w:id="71"/>
    </w:p>
    <w:p>
      <w:pPr>
        <w:pStyle w:val="162"/>
        <w:ind w:left="0"/>
      </w:pPr>
      <w:r>
        <w:t>公路隧道运营状况监测应遵循“场景牵引、目标导向、技术适用、轻量智慧、系统可靠、建维一体”原则，应达到动态掌握隧道结构和运行状况。</w:t>
      </w:r>
    </w:p>
    <w:p>
      <w:pPr>
        <w:pStyle w:val="162"/>
        <w:ind w:left="0"/>
      </w:pPr>
      <w:r>
        <w:t>公路隧道运营状况监测系统应遵循“先进、适用、稳定、安全、经济”的原则，兼顾扩展性、兼容性与便利性。</w:t>
      </w:r>
    </w:p>
    <w:p>
      <w:pPr>
        <w:pStyle w:val="104"/>
        <w:widowControl w:val="0"/>
        <w:spacing w:before="312" w:after="312"/>
        <w:rPr>
          <w:rFonts w:ascii="Times New Roman"/>
        </w:rPr>
      </w:pPr>
      <w:bookmarkStart w:id="72" w:name="_Toc199250331"/>
      <w:bookmarkStart w:id="73" w:name="_Toc199250249"/>
      <w:r>
        <w:rPr>
          <w:rFonts w:ascii="Times New Roman"/>
        </w:rPr>
        <w:t>基本</w:t>
      </w:r>
      <w:r>
        <w:rPr>
          <w:rFonts w:hint="eastAsia" w:ascii="Times New Roman"/>
        </w:rPr>
        <w:t>要求</w:t>
      </w:r>
      <w:bookmarkEnd w:id="72"/>
      <w:bookmarkEnd w:id="73"/>
    </w:p>
    <w:p>
      <w:pPr>
        <w:pStyle w:val="105"/>
        <w:widowControl w:val="0"/>
        <w:spacing w:before="156" w:after="156" w:line="400" w:lineRule="exact"/>
        <w:ind w:left="0"/>
        <w:rPr>
          <w:rFonts w:ascii="Times New Roman"/>
        </w:rPr>
      </w:pPr>
      <w:bookmarkStart w:id="74" w:name="_Toc199250250"/>
      <w:bookmarkStart w:id="75" w:name="_Toc199250332"/>
      <w:r>
        <w:rPr>
          <w:rFonts w:ascii="Times New Roman"/>
        </w:rPr>
        <w:t>一般规定</w:t>
      </w:r>
      <w:bookmarkEnd w:id="74"/>
      <w:bookmarkEnd w:id="75"/>
    </w:p>
    <w:p>
      <w:pPr>
        <w:pStyle w:val="165"/>
      </w:pPr>
      <w:bookmarkStart w:id="76" w:name="_Toc169276789"/>
      <w:bookmarkStart w:id="77" w:name="_Toc170717149"/>
      <w:bookmarkStart w:id="78" w:name="_Toc170716742"/>
      <w:bookmarkStart w:id="79" w:name="_Toc164102093"/>
      <w:bookmarkStart w:id="80" w:name="_Toc172225094"/>
      <w:bookmarkStart w:id="81" w:name="_Toc170716663"/>
      <w:bookmarkStart w:id="82" w:name="_Toc164083934"/>
      <w:bookmarkStart w:id="83" w:name="_Toc171428731"/>
      <w:bookmarkStart w:id="84" w:name="_Toc168988041"/>
      <w:r>
        <w:t>隧道运营状况监测系统建设宜统筹设计，可根据实际分期实施。</w:t>
      </w:r>
    </w:p>
    <w:p>
      <w:pPr>
        <w:pStyle w:val="165"/>
      </w:pPr>
      <w:r>
        <w:t>隧道运营状况监测方案</w:t>
      </w:r>
      <w:r>
        <w:rPr>
          <w:rFonts w:hint="eastAsia"/>
        </w:rPr>
        <w:t>应</w:t>
      </w:r>
      <w:r>
        <w:t>按以下流程</w:t>
      </w:r>
      <w:r>
        <w:rPr>
          <w:rFonts w:hint="eastAsia"/>
        </w:rPr>
        <w:t>设计</w:t>
      </w:r>
      <w:r>
        <w:t>：</w:t>
      </w:r>
    </w:p>
    <w:p>
      <w:pPr>
        <w:pStyle w:val="174"/>
      </w:pPr>
      <w:r>
        <w:t>资料收集；</w:t>
      </w:r>
    </w:p>
    <w:p>
      <w:pPr>
        <w:pStyle w:val="174"/>
      </w:pPr>
      <w:r>
        <w:t>隧道专项调查；</w:t>
      </w:r>
    </w:p>
    <w:p>
      <w:pPr>
        <w:pStyle w:val="174"/>
      </w:pPr>
      <w:r>
        <w:t>隧道安全风险状况分析和等级划分；</w:t>
      </w:r>
    </w:p>
    <w:p>
      <w:pPr>
        <w:pStyle w:val="174"/>
      </w:pPr>
      <w:r>
        <w:t>确定风险类型与分布区段，确定监测范围；</w:t>
      </w:r>
    </w:p>
    <w:p>
      <w:pPr>
        <w:pStyle w:val="174"/>
      </w:pPr>
      <w:r>
        <w:t>确定监测项目，选择监测方法；</w:t>
      </w:r>
    </w:p>
    <w:p>
      <w:pPr>
        <w:pStyle w:val="174"/>
      </w:pPr>
      <w:r>
        <w:t>明确监测指标，确定测点、测线布设方案、频率等技术要求。</w:t>
      </w:r>
    </w:p>
    <w:bookmarkEnd w:id="76"/>
    <w:bookmarkEnd w:id="77"/>
    <w:bookmarkEnd w:id="78"/>
    <w:bookmarkEnd w:id="79"/>
    <w:bookmarkEnd w:id="80"/>
    <w:bookmarkEnd w:id="81"/>
    <w:bookmarkEnd w:id="82"/>
    <w:bookmarkEnd w:id="83"/>
    <w:bookmarkEnd w:id="84"/>
    <w:p>
      <w:pPr>
        <w:pStyle w:val="165"/>
      </w:pPr>
      <w:r>
        <w:t>隧道专项调查、隧道安全风险状况分析按照《公路长大隧道结构监测系统试点建设技术指南》开展。</w:t>
      </w:r>
    </w:p>
    <w:p>
      <w:pPr>
        <w:pStyle w:val="165"/>
      </w:pPr>
      <w:r>
        <w:t>隧道结构监测方法根据监测对象特点、现场条件和精度要求等因素综合确定，宜采用点测与连续线形、面域型监测等多种手段综合监测，并做好技术对比总结。</w:t>
      </w:r>
    </w:p>
    <w:p>
      <w:pPr>
        <w:pStyle w:val="165"/>
      </w:pPr>
      <w:r>
        <w:t>应根据监测项目类型及监测环境选择自动化程度高、稳定可靠、易于远程传输与控制的监测方法。</w:t>
      </w:r>
    </w:p>
    <w:p>
      <w:pPr>
        <w:pStyle w:val="165"/>
      </w:pPr>
      <w:bookmarkStart w:id="85" w:name="_Toc171428733"/>
      <w:bookmarkStart w:id="86" w:name="_Toc170716744"/>
      <w:bookmarkStart w:id="87" w:name="_Toc170716665"/>
      <w:bookmarkStart w:id="88" w:name="_Toc169276791"/>
      <w:bookmarkStart w:id="89" w:name="_Toc168988043"/>
      <w:bookmarkStart w:id="90" w:name="_Toc164102095"/>
      <w:bookmarkStart w:id="91" w:name="_Toc170717151"/>
      <w:bookmarkStart w:id="92" w:name="_Toc164083936"/>
      <w:bookmarkStart w:id="93" w:name="_Toc172225098"/>
      <w:r>
        <w:t>监测设备安装应减少对隧道结构和防水系统的破坏，不得侵入隧道建筑限界。</w:t>
      </w:r>
      <w:bookmarkEnd w:id="85"/>
      <w:bookmarkEnd w:id="86"/>
      <w:bookmarkEnd w:id="87"/>
      <w:bookmarkEnd w:id="88"/>
      <w:bookmarkEnd w:id="89"/>
      <w:bookmarkEnd w:id="90"/>
      <w:bookmarkEnd w:id="91"/>
      <w:bookmarkEnd w:id="92"/>
      <w:bookmarkEnd w:id="93"/>
    </w:p>
    <w:p>
      <w:pPr>
        <w:pStyle w:val="165"/>
      </w:pPr>
      <w:r>
        <w:rPr>
          <w:rFonts w:hint="eastAsia"/>
        </w:rPr>
        <w:t>隧道运营状况监测系统数据传输应利用</w:t>
      </w:r>
      <w:r>
        <w:t>既有监测传输网络</w:t>
      </w:r>
      <w:r>
        <w:rPr>
          <w:rFonts w:hint="eastAsia"/>
        </w:rPr>
        <w:t>，并与</w:t>
      </w:r>
      <w:r>
        <w:t>未来监测需求</w:t>
      </w:r>
      <w:r>
        <w:rPr>
          <w:rFonts w:hint="eastAsia"/>
        </w:rPr>
        <w:t>相结合；</w:t>
      </w:r>
      <w:r>
        <w:t>监测系统与外部系统数据交互</w:t>
      </w:r>
      <w:r>
        <w:rPr>
          <w:rFonts w:hint="eastAsia"/>
        </w:rPr>
        <w:t>共享可</w:t>
      </w:r>
      <w:r>
        <w:t>采用数据交换接口、中间存储介质或数据库同步等方式。</w:t>
      </w:r>
    </w:p>
    <w:p>
      <w:pPr>
        <w:pStyle w:val="165"/>
        <w:rPr>
          <w:rFonts w:hint="eastAsia"/>
        </w:rPr>
      </w:pPr>
      <w:r>
        <w:rPr>
          <w:rFonts w:hint="eastAsia"/>
        </w:rPr>
        <w:t>隧道机电设施运行状况监测、车辆运行状况监测及突发异常事件监测，应充分利用隧道监控设施，与隧道监控系统设备共用、数据共享。</w:t>
      </w:r>
    </w:p>
    <w:p>
      <w:pPr>
        <w:pStyle w:val="165"/>
      </w:pPr>
      <w:r>
        <w:t>监测现场作业时应采取有效措施，保障作业人员安全。</w:t>
      </w:r>
    </w:p>
    <w:p>
      <w:pPr>
        <w:pStyle w:val="105"/>
        <w:spacing w:before="156" w:after="156"/>
        <w:ind w:left="0"/>
      </w:pPr>
      <w:bookmarkStart w:id="94" w:name="_Toc199250251"/>
      <w:bookmarkStart w:id="95" w:name="_Toc199250333"/>
      <w:r>
        <w:t>监测</w:t>
      </w:r>
      <w:r>
        <w:rPr>
          <w:rFonts w:hint="eastAsia"/>
        </w:rPr>
        <w:t>要求</w:t>
      </w:r>
      <w:bookmarkEnd w:id="94"/>
      <w:bookmarkEnd w:id="95"/>
    </w:p>
    <w:p>
      <w:pPr>
        <w:pStyle w:val="165"/>
      </w:pPr>
      <w:bookmarkStart w:id="96" w:name="_Toc172225101"/>
      <w:r>
        <w:t>隧道运营状况监测内容包含隧道洞口与洞门结构监测、隧道衬砌结构监测、</w:t>
      </w:r>
      <w:bookmarkStart w:id="97" w:name="OLE_LINK8"/>
      <w:r>
        <w:t>隧道洞内外气候环境监测、隧道机电设施运行状况监测、隧道车辆通行状况监测、</w:t>
      </w:r>
      <w:bookmarkEnd w:id="97"/>
      <w:r>
        <w:t>隧道突发性异常事件监测等。</w:t>
      </w:r>
    </w:p>
    <w:p>
      <w:pPr>
        <w:pStyle w:val="165"/>
      </w:pPr>
      <w:r>
        <w:t>隧道安全风险等级</w:t>
      </w:r>
      <w:r>
        <w:rPr>
          <w:rFonts w:hint="eastAsia"/>
        </w:rPr>
        <w:t>应按照表1的要求</w:t>
      </w:r>
      <w:r>
        <w:t>“逐洞、逐段”</w:t>
      </w:r>
      <w:r>
        <w:rPr>
          <w:rFonts w:hint="eastAsia"/>
        </w:rPr>
        <w:t>评估并划分等级</w:t>
      </w:r>
      <w:r>
        <w:t>。</w:t>
      </w:r>
    </w:p>
    <w:p>
      <w:pPr>
        <w:pStyle w:val="112"/>
        <w:spacing w:before="156" w:after="156"/>
      </w:pPr>
      <w:r>
        <w:t>隧道安全风险</w:t>
      </w:r>
      <w:r>
        <w:rPr>
          <w:rFonts w:hint="eastAsia"/>
        </w:rPr>
        <w:t>等级</w:t>
      </w:r>
      <w:r>
        <w:t>划分</w:t>
      </w:r>
    </w:p>
    <w:tbl>
      <w:tblPr>
        <w:tblStyle w:val="2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5"/>
        <w:gridCol w:w="4818"/>
        <w:gridCol w:w="25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168"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风险等级</w:t>
            </w:r>
          </w:p>
        </w:tc>
        <w:tc>
          <w:tcPr>
            <w:tcW w:w="2517"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设施功能实现性</w:t>
            </w:r>
          </w:p>
        </w:tc>
        <w:tc>
          <w:tcPr>
            <w:tcW w:w="1315"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社会经济稳定发展影响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168"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四级（重大风险）</w:t>
            </w:r>
          </w:p>
        </w:tc>
        <w:tc>
          <w:tcPr>
            <w:tcW w:w="2517"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整体</w:t>
            </w:r>
            <w:r>
              <w:rPr>
                <w:rFonts w:hint="eastAsia" w:ascii="Times New Roman" w:hAnsi="Times New Roman"/>
                <w:kern w:val="0"/>
                <w:sz w:val="18"/>
                <w:szCs w:val="18"/>
              </w:rPr>
              <w:t>可能</w:t>
            </w:r>
            <w:r>
              <w:rPr>
                <w:rFonts w:ascii="Times New Roman" w:hAnsi="Times New Roman"/>
                <w:kern w:val="0"/>
                <w:sz w:val="18"/>
                <w:szCs w:val="18"/>
              </w:rPr>
              <w:t>垮塌/功能完全丧失</w:t>
            </w:r>
          </w:p>
        </w:tc>
        <w:tc>
          <w:tcPr>
            <w:tcW w:w="1315"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灾难性影响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168"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三级（较大风险）</w:t>
            </w:r>
          </w:p>
        </w:tc>
        <w:tc>
          <w:tcPr>
            <w:tcW w:w="2517"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部分</w:t>
            </w:r>
            <w:r>
              <w:rPr>
                <w:rFonts w:hint="eastAsia" w:ascii="Times New Roman" w:hAnsi="Times New Roman"/>
                <w:kern w:val="0"/>
                <w:sz w:val="18"/>
                <w:szCs w:val="18"/>
              </w:rPr>
              <w:t>可能</w:t>
            </w:r>
            <w:r>
              <w:rPr>
                <w:rFonts w:ascii="Times New Roman" w:hAnsi="Times New Roman"/>
                <w:kern w:val="0"/>
                <w:sz w:val="18"/>
                <w:szCs w:val="18"/>
              </w:rPr>
              <w:t>垮塌/功能部分丧失</w:t>
            </w:r>
          </w:p>
        </w:tc>
        <w:tc>
          <w:tcPr>
            <w:tcW w:w="1315"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严重影响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168"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二级（一般风险）</w:t>
            </w:r>
          </w:p>
        </w:tc>
        <w:tc>
          <w:tcPr>
            <w:tcW w:w="2517"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构件损伤或附属设施损坏</w:t>
            </w:r>
          </w:p>
        </w:tc>
        <w:tc>
          <w:tcPr>
            <w:tcW w:w="1315"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不良影响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168"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一级（低风险）</w:t>
            </w:r>
          </w:p>
        </w:tc>
        <w:tc>
          <w:tcPr>
            <w:tcW w:w="2517"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构件轻微损伤或附属设施轻微损坏</w:t>
            </w:r>
          </w:p>
        </w:tc>
        <w:tc>
          <w:tcPr>
            <w:tcW w:w="1315"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轻微或无影响</w:t>
            </w:r>
          </w:p>
        </w:tc>
      </w:tr>
    </w:tbl>
    <w:p>
      <w:pPr>
        <w:pStyle w:val="165"/>
      </w:pPr>
      <w:r>
        <w:t>隧道运营状况监测应根据风险评估</w:t>
      </w:r>
      <w:r>
        <w:rPr>
          <w:rFonts w:hint="eastAsia"/>
        </w:rPr>
        <w:t>等级</w:t>
      </w:r>
      <w:r>
        <w:t>，</w:t>
      </w:r>
      <w:r>
        <w:rPr>
          <w:rFonts w:hint="eastAsia"/>
        </w:rPr>
        <w:t>应按照表2进行</w:t>
      </w:r>
      <w:r>
        <w:t>监测</w:t>
      </w:r>
      <w:r>
        <w:rPr>
          <w:rFonts w:hint="eastAsia"/>
        </w:rPr>
        <w:t>。</w:t>
      </w:r>
    </w:p>
    <w:p>
      <w:pPr>
        <w:pStyle w:val="112"/>
        <w:widowControl w:val="0"/>
        <w:spacing w:before="156" w:after="156"/>
        <w:rPr>
          <w:rFonts w:ascii="Times New Roman"/>
        </w:rPr>
      </w:pPr>
      <w:r>
        <w:rPr>
          <w:rFonts w:ascii="Times New Roman"/>
        </w:rPr>
        <w:t>隧道运营状况监测</w:t>
      </w:r>
      <w:r>
        <w:rPr>
          <w:rFonts w:hint="eastAsia" w:ascii="Times New Roman"/>
        </w:rPr>
        <w:t>要求</w:t>
      </w:r>
    </w:p>
    <w:tbl>
      <w:tblPr>
        <w:tblStyle w:val="2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50"/>
        <w:gridCol w:w="76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1019"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风险等级</w:t>
            </w:r>
          </w:p>
        </w:tc>
        <w:tc>
          <w:tcPr>
            <w:tcW w:w="3981"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监测要求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trPr>
        <w:tc>
          <w:tcPr>
            <w:tcW w:w="1019"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四级（重大风险）</w:t>
            </w:r>
          </w:p>
        </w:tc>
        <w:tc>
          <w:tcPr>
            <w:tcW w:w="3981" w:type="pct"/>
            <w:vAlign w:val="center"/>
          </w:tcPr>
          <w:p>
            <w:pPr>
              <w:adjustRightInd/>
              <w:spacing w:line="240" w:lineRule="auto"/>
              <w:jc w:val="left"/>
              <w:rPr>
                <w:rFonts w:ascii="Times New Roman" w:hAnsi="Times New Roman"/>
                <w:kern w:val="0"/>
                <w:sz w:val="18"/>
                <w:szCs w:val="18"/>
              </w:rPr>
            </w:pPr>
            <w:r>
              <w:rPr>
                <w:rFonts w:ascii="Times New Roman" w:hAnsi="Times New Roman"/>
                <w:kern w:val="0"/>
                <w:sz w:val="18"/>
                <w:szCs w:val="18"/>
              </w:rPr>
              <w:t>结构受力、变形监测纵向平均间距不大于10m；重点病害特征监测全覆盖；智能识别和报警视频监测全覆盖；交通运行风险监测全覆盖。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atLeast"/>
        </w:trPr>
        <w:tc>
          <w:tcPr>
            <w:tcW w:w="1019"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三级（较大风险）</w:t>
            </w:r>
          </w:p>
        </w:tc>
        <w:tc>
          <w:tcPr>
            <w:tcW w:w="3981" w:type="pct"/>
            <w:vAlign w:val="center"/>
          </w:tcPr>
          <w:p>
            <w:pPr>
              <w:adjustRightInd/>
              <w:spacing w:line="240" w:lineRule="auto"/>
              <w:jc w:val="left"/>
              <w:rPr>
                <w:rFonts w:ascii="Times New Roman" w:hAnsi="Times New Roman"/>
                <w:kern w:val="0"/>
                <w:sz w:val="18"/>
                <w:szCs w:val="18"/>
              </w:rPr>
            </w:pPr>
            <w:r>
              <w:rPr>
                <w:rFonts w:ascii="Times New Roman" w:hAnsi="Times New Roman"/>
                <w:kern w:val="0"/>
                <w:sz w:val="18"/>
                <w:szCs w:val="18"/>
              </w:rPr>
              <w:t>结构受力、变形监测纵向平均间距不大于20m；重点病害特征监测覆盖50%；智能识别和报警视频监测全覆盖；交通运行风险监测全覆盖。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7" w:hRule="atLeast"/>
        </w:trPr>
        <w:tc>
          <w:tcPr>
            <w:tcW w:w="1019"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二级（一般风险）</w:t>
            </w:r>
          </w:p>
        </w:tc>
        <w:tc>
          <w:tcPr>
            <w:tcW w:w="3981" w:type="pct"/>
            <w:vAlign w:val="center"/>
          </w:tcPr>
          <w:p>
            <w:pPr>
              <w:adjustRightInd/>
              <w:spacing w:line="240" w:lineRule="auto"/>
              <w:jc w:val="left"/>
              <w:rPr>
                <w:rFonts w:ascii="Times New Roman" w:hAnsi="Times New Roman"/>
                <w:kern w:val="0"/>
                <w:sz w:val="18"/>
                <w:szCs w:val="18"/>
              </w:rPr>
            </w:pPr>
            <w:r>
              <w:rPr>
                <w:rFonts w:ascii="Times New Roman" w:hAnsi="Times New Roman"/>
                <w:kern w:val="0"/>
                <w:sz w:val="18"/>
                <w:szCs w:val="18"/>
              </w:rPr>
              <w:t>结构受力、变形监测纵向平均间距不大于40m；重点病害特征监测覆盖25%；智能识别和报警视频监测全覆盖。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019" w:type="pct"/>
            <w:vAlign w:val="center"/>
          </w:tcPr>
          <w:p>
            <w:pPr>
              <w:adjustRightInd/>
              <w:spacing w:line="240" w:lineRule="auto"/>
              <w:jc w:val="center"/>
              <w:rPr>
                <w:rFonts w:ascii="Times New Roman" w:hAnsi="Times New Roman"/>
                <w:kern w:val="0"/>
                <w:sz w:val="18"/>
                <w:szCs w:val="18"/>
              </w:rPr>
            </w:pPr>
            <w:r>
              <w:rPr>
                <w:rFonts w:ascii="Times New Roman" w:hAnsi="Times New Roman"/>
                <w:kern w:val="0"/>
                <w:sz w:val="18"/>
                <w:szCs w:val="18"/>
              </w:rPr>
              <w:t>一级（低风险）</w:t>
            </w:r>
          </w:p>
        </w:tc>
        <w:tc>
          <w:tcPr>
            <w:tcW w:w="3981" w:type="pct"/>
            <w:vAlign w:val="center"/>
          </w:tcPr>
          <w:p>
            <w:pPr>
              <w:adjustRightInd/>
              <w:spacing w:line="240" w:lineRule="auto"/>
              <w:jc w:val="left"/>
              <w:rPr>
                <w:rFonts w:ascii="Times New Roman" w:hAnsi="Times New Roman"/>
                <w:kern w:val="0"/>
                <w:sz w:val="18"/>
                <w:szCs w:val="18"/>
              </w:rPr>
            </w:pPr>
            <w:r>
              <w:rPr>
                <w:rFonts w:ascii="Times New Roman" w:hAnsi="Times New Roman"/>
                <w:kern w:val="0"/>
                <w:sz w:val="18"/>
                <w:szCs w:val="18"/>
              </w:rPr>
              <w:t>结构受力、变形监测纵向平均间距不大于100m；重点病害特征监测覆盖10%；智能识别和报警视频监测全覆盖。</w:t>
            </w:r>
          </w:p>
        </w:tc>
      </w:tr>
      <w:bookmarkEnd w:id="96"/>
    </w:tbl>
    <w:p>
      <w:pPr>
        <w:pStyle w:val="56"/>
        <w:ind w:firstLine="420"/>
        <w:rPr>
          <w:rFonts w:hint="eastAsia"/>
        </w:rPr>
      </w:pPr>
      <w:bookmarkStart w:id="98" w:name="_Toc199250252"/>
      <w:r>
        <w:rPr>
          <w:rFonts w:hint="eastAsia"/>
        </w:rPr>
        <w:t>注：按照DB62/T 4691，病害等级评定为2、3和4的为重点病害。</w:t>
      </w:r>
      <w:bookmarkEnd w:id="98"/>
    </w:p>
    <w:p>
      <w:pPr>
        <w:pStyle w:val="165"/>
      </w:pPr>
      <w:r>
        <w:t>隧道监测精度及采集频率应满足表3的要求。</w:t>
      </w:r>
    </w:p>
    <w:p>
      <w:pPr>
        <w:pStyle w:val="112"/>
        <w:keepNext/>
        <w:widowControl w:val="0"/>
        <w:spacing w:before="156" w:after="156"/>
        <w:rPr>
          <w:rFonts w:ascii="Times New Roman"/>
          <w:kern w:val="2"/>
          <w:szCs w:val="22"/>
        </w:rPr>
      </w:pPr>
      <w:r>
        <w:rPr>
          <w:rFonts w:ascii="Times New Roman"/>
          <w:kern w:val="2"/>
          <w:szCs w:val="22"/>
        </w:rPr>
        <w:t>隧道监测精度及采集频率要求</w:t>
      </w:r>
    </w:p>
    <w:p>
      <w:pPr>
        <w:spacing w:line="27" w:lineRule="exact"/>
        <w:rPr>
          <w:rFonts w:ascii="Times New Roman" w:hAnsi="Times New Roman"/>
        </w:rPr>
      </w:pPr>
    </w:p>
    <w:tbl>
      <w:tblPr>
        <w:tblStyle w:val="26"/>
        <w:tblW w:w="4994"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0" w:type="dxa"/>
          <w:bottom w:w="0" w:type="dxa"/>
          <w:right w:w="0" w:type="dxa"/>
        </w:tblCellMar>
      </w:tblPr>
      <w:tblGrid>
        <w:gridCol w:w="1149"/>
        <w:gridCol w:w="4396"/>
        <w:gridCol w:w="1134"/>
        <w:gridCol w:w="269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06" w:hRule="atLeast"/>
        </w:trPr>
        <w:tc>
          <w:tcPr>
            <w:tcW w:w="2958" w:type="pct"/>
            <w:gridSpan w:val="2"/>
            <w:vAlign w:val="center"/>
          </w:tcPr>
          <w:p>
            <w:pPr>
              <w:pStyle w:val="230"/>
              <w:spacing w:after="0"/>
              <w:jc w:val="center"/>
              <w:rPr>
                <w:rFonts w:ascii="Times New Roman" w:hAnsi="Times New Roman" w:eastAsia="宋体" w:cs="Times New Roman"/>
                <w:sz w:val="18"/>
                <w:szCs w:val="18"/>
              </w:rPr>
            </w:pPr>
            <w:r>
              <w:rPr>
                <w:rFonts w:ascii="Times New Roman" w:hAnsi="Times New Roman" w:eastAsia="宋体" w:cs="Times New Roman"/>
                <w:spacing w:val="-7"/>
                <w:sz w:val="18"/>
                <w:szCs w:val="18"/>
              </w:rPr>
              <w:t>监测项目</w:t>
            </w:r>
          </w:p>
        </w:tc>
        <w:tc>
          <w:tcPr>
            <w:tcW w:w="605" w:type="pct"/>
            <w:vAlign w:val="center"/>
          </w:tcPr>
          <w:p>
            <w:pPr>
              <w:pStyle w:val="230"/>
              <w:spacing w:after="0"/>
              <w:jc w:val="center"/>
              <w:rPr>
                <w:rFonts w:ascii="Times New Roman" w:hAnsi="Times New Roman" w:eastAsia="宋体" w:cs="Times New Roman"/>
                <w:spacing w:val="-7"/>
                <w:sz w:val="18"/>
                <w:szCs w:val="18"/>
              </w:rPr>
            </w:pPr>
            <w:r>
              <w:rPr>
                <w:rFonts w:ascii="Times New Roman" w:hAnsi="Times New Roman" w:eastAsia="宋体" w:cs="Times New Roman"/>
                <w:spacing w:val="-7"/>
                <w:sz w:val="18"/>
                <w:szCs w:val="18"/>
              </w:rPr>
              <w:t>精度要求</w:t>
            </w:r>
          </w:p>
        </w:tc>
        <w:tc>
          <w:tcPr>
            <w:tcW w:w="1437" w:type="pct"/>
            <w:vAlign w:val="center"/>
          </w:tcPr>
          <w:p>
            <w:pPr>
              <w:pStyle w:val="230"/>
              <w:spacing w:after="0"/>
              <w:jc w:val="center"/>
              <w:rPr>
                <w:rFonts w:ascii="Times New Roman" w:hAnsi="Times New Roman" w:eastAsia="宋体" w:cs="Times New Roman"/>
                <w:spacing w:val="-7"/>
                <w:sz w:val="18"/>
                <w:szCs w:val="18"/>
              </w:rPr>
            </w:pPr>
            <w:r>
              <w:rPr>
                <w:rFonts w:ascii="Times New Roman" w:hAnsi="Times New Roman" w:eastAsia="宋体" w:cs="Times New Roman"/>
                <w:spacing w:val="-7"/>
                <w:sz w:val="18"/>
                <w:szCs w:val="18"/>
              </w:rPr>
              <w:t>采集频率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1" w:hRule="atLeast"/>
        </w:trPr>
        <w:tc>
          <w:tcPr>
            <w:tcW w:w="613" w:type="pct"/>
            <w:vMerge w:val="restart"/>
            <w:vAlign w:val="center"/>
          </w:tcPr>
          <w:p>
            <w:pPr>
              <w:pStyle w:val="230"/>
              <w:spacing w:after="0"/>
              <w:jc w:val="center"/>
              <w:rPr>
                <w:rFonts w:ascii="Times New Roman" w:hAnsi="Times New Roman" w:eastAsia="宋体" w:cs="Times New Roman"/>
                <w:sz w:val="18"/>
                <w:szCs w:val="18"/>
              </w:rPr>
            </w:pPr>
            <w:r>
              <w:rPr>
                <w:rFonts w:ascii="Times New Roman" w:hAnsi="Times New Roman" w:eastAsia="宋体" w:cs="Times New Roman"/>
                <w:spacing w:val="-7"/>
                <w:sz w:val="18"/>
                <w:szCs w:val="18"/>
              </w:rPr>
              <w:t>变形监测</w:t>
            </w:r>
          </w:p>
        </w:tc>
        <w:tc>
          <w:tcPr>
            <w:tcW w:w="2345" w:type="pct"/>
            <w:vAlign w:val="center"/>
          </w:tcPr>
          <w:p>
            <w:pPr>
              <w:pStyle w:val="230"/>
              <w:spacing w:after="0"/>
              <w:rPr>
                <w:rFonts w:hint="eastAsia" w:ascii="Times New Roman" w:hAnsi="Times New Roman" w:eastAsia="宋体" w:cs="Times New Roman"/>
                <w:sz w:val="18"/>
                <w:szCs w:val="18"/>
                <w:lang w:eastAsia="zh-CN"/>
              </w:rPr>
            </w:pPr>
            <w:r>
              <w:rPr>
                <w:rFonts w:ascii="Times New Roman" w:hAnsi="Times New Roman" w:eastAsia="宋体" w:cs="Times New Roman"/>
                <w:spacing w:val="-3"/>
                <w:sz w:val="18"/>
                <w:szCs w:val="18"/>
                <w:lang w:eastAsia="zh-CN"/>
              </w:rPr>
              <w:t>净空收敛、拱顶下沉、墙角下沉、路面隆沉、</w:t>
            </w:r>
            <w:r>
              <w:rPr>
                <w:rFonts w:ascii="Times New Roman" w:hAnsi="Times New Roman" w:eastAsia="宋体" w:cs="Times New Roman"/>
                <w:spacing w:val="-1"/>
                <w:sz w:val="18"/>
                <w:szCs w:val="18"/>
                <w:lang w:eastAsia="zh-CN"/>
              </w:rPr>
              <w:t>洞门水平及竖向位移</w:t>
            </w:r>
          </w:p>
        </w:tc>
        <w:tc>
          <w:tcPr>
            <w:tcW w:w="605" w:type="pct"/>
            <w:vAlign w:val="center"/>
          </w:tcPr>
          <w:p>
            <w:pPr>
              <w:spacing w:line="240" w:lineRule="auto"/>
              <w:jc w:val="center"/>
              <w:rPr>
                <w:rFonts w:ascii="Times New Roman" w:hAnsi="Times New Roman"/>
                <w:snapToGrid w:val="0"/>
                <w:color w:val="000000"/>
                <w:sz w:val="18"/>
                <w:szCs w:val="18"/>
              </w:rPr>
            </w:pPr>
            <w:r>
              <w:rPr>
                <w:rFonts w:ascii="Times New Roman" w:hAnsi="Times New Roman"/>
                <w:snapToGrid w:val="0"/>
                <w:color w:val="000000"/>
                <w:spacing w:val="-2"/>
                <w:sz w:val="18"/>
                <w:szCs w:val="18"/>
              </w:rPr>
              <w:t>0.2mm</w:t>
            </w:r>
          </w:p>
        </w:tc>
        <w:tc>
          <w:tcPr>
            <w:tcW w:w="1437" w:type="pct"/>
            <w:vMerge w:val="restart"/>
            <w:vAlign w:val="center"/>
          </w:tcPr>
          <w:p>
            <w:pPr>
              <w:pStyle w:val="230"/>
              <w:spacing w:after="0"/>
              <w:jc w:val="center"/>
              <w:rPr>
                <w:rFonts w:ascii="Times New Roman" w:hAnsi="Times New Roman" w:eastAsia="宋体" w:cs="Times New Roman"/>
                <w:sz w:val="18"/>
                <w:szCs w:val="18"/>
                <w:lang w:eastAsia="zh-CN"/>
              </w:rPr>
            </w:pPr>
            <w:r>
              <w:rPr>
                <w:rFonts w:ascii="Times New Roman" w:hAnsi="Times New Roman" w:eastAsia="宋体" w:cs="Times New Roman"/>
                <w:spacing w:val="-2"/>
                <w:sz w:val="18"/>
                <w:szCs w:val="18"/>
                <w:lang w:eastAsia="zh-CN"/>
              </w:rPr>
              <w:t>动态：1 Hz兹；静态：1次/d</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613" w:type="pct"/>
            <w:vMerge w:val="continue"/>
            <w:vAlign w:val="center"/>
          </w:tcPr>
          <w:p>
            <w:pPr>
              <w:pStyle w:val="230"/>
              <w:spacing w:after="0"/>
              <w:jc w:val="center"/>
              <w:rPr>
                <w:rFonts w:ascii="Times New Roman" w:hAnsi="Times New Roman" w:eastAsia="宋体" w:cs="Times New Roman"/>
                <w:spacing w:val="-7"/>
                <w:sz w:val="18"/>
                <w:szCs w:val="18"/>
                <w:lang w:eastAsia="zh-CN"/>
              </w:rPr>
            </w:pPr>
          </w:p>
        </w:tc>
        <w:tc>
          <w:tcPr>
            <w:tcW w:w="2345" w:type="pct"/>
            <w:vAlign w:val="center"/>
          </w:tcPr>
          <w:p>
            <w:pPr>
              <w:pStyle w:val="230"/>
              <w:spacing w:after="0"/>
              <w:rPr>
                <w:rFonts w:ascii="Times New Roman" w:hAnsi="Times New Roman" w:eastAsia="宋体" w:cs="Times New Roman"/>
                <w:spacing w:val="-3"/>
                <w:sz w:val="18"/>
                <w:szCs w:val="18"/>
                <w:lang w:eastAsia="zh-CN"/>
              </w:rPr>
            </w:pPr>
            <w:r>
              <w:rPr>
                <w:rFonts w:ascii="Times New Roman" w:hAnsi="Times New Roman" w:eastAsia="宋体" w:cs="Times New Roman"/>
                <w:spacing w:val="-1"/>
                <w:sz w:val="18"/>
                <w:szCs w:val="18"/>
                <w:lang w:eastAsia="zh-CN"/>
              </w:rPr>
              <w:t>边仰坡地表水平</w:t>
            </w:r>
            <w:r>
              <w:rPr>
                <w:rFonts w:ascii="Times New Roman" w:hAnsi="Times New Roman" w:eastAsia="宋体" w:cs="Times New Roman"/>
                <w:spacing w:val="-2"/>
                <w:sz w:val="18"/>
                <w:szCs w:val="18"/>
                <w:lang w:eastAsia="zh-CN"/>
              </w:rPr>
              <w:t>及竖向位移、地层</w:t>
            </w:r>
            <w:r>
              <w:rPr>
                <w:rFonts w:ascii="Times New Roman" w:hAnsi="Times New Roman" w:eastAsia="宋体" w:cs="Times New Roman"/>
                <w:spacing w:val="-1"/>
                <w:sz w:val="18"/>
                <w:szCs w:val="18"/>
                <w:lang w:eastAsia="zh-CN"/>
              </w:rPr>
              <w:t>水平</w:t>
            </w:r>
            <w:r>
              <w:rPr>
                <w:rFonts w:ascii="Times New Roman" w:hAnsi="Times New Roman" w:eastAsia="宋体" w:cs="Times New Roman"/>
                <w:spacing w:val="-2"/>
                <w:sz w:val="18"/>
                <w:szCs w:val="18"/>
                <w:lang w:eastAsia="zh-CN"/>
              </w:rPr>
              <w:t>及竖向位移</w:t>
            </w:r>
            <w:r>
              <w:rPr>
                <w:rFonts w:hint="eastAsia" w:ascii="Times New Roman" w:hAnsi="Times New Roman" w:eastAsia="宋体" w:cs="Times New Roman"/>
                <w:spacing w:val="-2"/>
                <w:sz w:val="18"/>
                <w:szCs w:val="18"/>
                <w:lang w:eastAsia="zh-CN"/>
              </w:rPr>
              <w:t>、</w:t>
            </w:r>
            <w:r>
              <w:rPr>
                <w:rFonts w:hint="eastAsia" w:ascii="Times New Roman" w:hAnsi="Times New Roman" w:eastAsia="宋体" w:cs="Times New Roman"/>
                <w:spacing w:val="-3"/>
                <w:sz w:val="18"/>
                <w:szCs w:val="18"/>
                <w:lang w:eastAsia="zh-CN"/>
              </w:rPr>
              <w:t>围岩内部位移</w:t>
            </w:r>
          </w:p>
        </w:tc>
        <w:tc>
          <w:tcPr>
            <w:tcW w:w="605" w:type="pct"/>
            <w:vAlign w:val="center"/>
          </w:tcPr>
          <w:p>
            <w:pPr>
              <w:spacing w:line="240" w:lineRule="auto"/>
              <w:jc w:val="center"/>
              <w:rPr>
                <w:rFonts w:ascii="Times New Roman" w:hAnsi="Times New Roman"/>
                <w:snapToGrid w:val="0"/>
                <w:color w:val="000000"/>
                <w:spacing w:val="-2"/>
                <w:sz w:val="18"/>
                <w:szCs w:val="18"/>
              </w:rPr>
            </w:pPr>
            <w:r>
              <w:rPr>
                <w:rFonts w:hint="eastAsia" w:ascii="Times New Roman" w:hAnsi="Times New Roman"/>
                <w:snapToGrid w:val="0"/>
                <w:color w:val="000000"/>
                <w:spacing w:val="-2"/>
                <w:sz w:val="18"/>
                <w:szCs w:val="18"/>
              </w:rPr>
              <w:t>0.5mm</w:t>
            </w:r>
          </w:p>
        </w:tc>
        <w:tc>
          <w:tcPr>
            <w:tcW w:w="1437" w:type="pct"/>
            <w:vMerge w:val="continue"/>
            <w:vAlign w:val="center"/>
          </w:tcPr>
          <w:p>
            <w:pPr>
              <w:pStyle w:val="230"/>
              <w:spacing w:after="0"/>
              <w:jc w:val="center"/>
              <w:rPr>
                <w:rFonts w:ascii="Times New Roman" w:hAnsi="Times New Roman" w:eastAsia="宋体" w:cs="Times New Roman"/>
                <w:spacing w:val="-2"/>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613" w:type="pct"/>
            <w:vMerge w:val="continue"/>
            <w:vAlign w:val="center"/>
          </w:tcPr>
          <w:p>
            <w:pPr>
              <w:pStyle w:val="230"/>
              <w:spacing w:after="0"/>
              <w:jc w:val="center"/>
              <w:rPr>
                <w:rFonts w:ascii="Times New Roman" w:hAnsi="Times New Roman" w:eastAsia="宋体" w:cs="Times New Roman"/>
                <w:spacing w:val="-7"/>
                <w:sz w:val="18"/>
                <w:szCs w:val="18"/>
                <w:lang w:eastAsia="zh-CN"/>
              </w:rPr>
            </w:pPr>
          </w:p>
        </w:tc>
        <w:tc>
          <w:tcPr>
            <w:tcW w:w="2345" w:type="pct"/>
            <w:vAlign w:val="center"/>
          </w:tcPr>
          <w:p>
            <w:pPr>
              <w:pStyle w:val="230"/>
              <w:spacing w:after="0"/>
              <w:rPr>
                <w:rFonts w:hint="eastAsia" w:ascii="Times New Roman" w:hAnsi="Times New Roman" w:eastAsia="宋体" w:cs="Times New Roman"/>
                <w:spacing w:val="-3"/>
                <w:sz w:val="18"/>
                <w:szCs w:val="18"/>
                <w:lang w:eastAsia="zh-CN"/>
              </w:rPr>
            </w:pPr>
            <w:r>
              <w:rPr>
                <w:rFonts w:hint="eastAsia" w:ascii="Times New Roman" w:hAnsi="Times New Roman" w:eastAsia="宋体" w:cs="Times New Roman"/>
                <w:spacing w:val="-3"/>
                <w:sz w:val="18"/>
                <w:szCs w:val="18"/>
                <w:lang w:eastAsia="zh-CN"/>
              </w:rPr>
              <w:t>衬砌裂缝（长度、宽度、错台量）</w:t>
            </w:r>
          </w:p>
        </w:tc>
        <w:tc>
          <w:tcPr>
            <w:tcW w:w="605" w:type="pct"/>
            <w:vAlign w:val="center"/>
          </w:tcPr>
          <w:p>
            <w:pPr>
              <w:spacing w:line="240" w:lineRule="auto"/>
              <w:jc w:val="center"/>
              <w:rPr>
                <w:rFonts w:hint="eastAsia" w:ascii="Times New Roman" w:hAnsi="Times New Roman"/>
                <w:snapToGrid w:val="0"/>
                <w:color w:val="000000"/>
                <w:spacing w:val="-2"/>
                <w:sz w:val="18"/>
                <w:szCs w:val="18"/>
              </w:rPr>
            </w:pPr>
            <w:r>
              <w:rPr>
                <w:rFonts w:hint="eastAsia" w:ascii="Times New Roman" w:hAnsi="Times New Roman"/>
                <w:snapToGrid w:val="0"/>
                <w:color w:val="000000"/>
                <w:spacing w:val="-2"/>
                <w:sz w:val="18"/>
                <w:szCs w:val="18"/>
              </w:rPr>
              <w:t>0.1mm</w:t>
            </w:r>
          </w:p>
        </w:tc>
        <w:tc>
          <w:tcPr>
            <w:tcW w:w="1437" w:type="pct"/>
            <w:vMerge w:val="continue"/>
            <w:vAlign w:val="center"/>
          </w:tcPr>
          <w:p>
            <w:pPr>
              <w:pStyle w:val="230"/>
              <w:spacing w:after="0"/>
              <w:jc w:val="center"/>
              <w:rPr>
                <w:rFonts w:ascii="Times New Roman" w:hAnsi="Times New Roman" w:eastAsia="宋体" w:cs="Times New Roman"/>
                <w:spacing w:val="-2"/>
                <w:sz w:val="18"/>
                <w:szCs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613" w:type="pct"/>
            <w:vAlign w:val="center"/>
          </w:tcPr>
          <w:p>
            <w:pPr>
              <w:pStyle w:val="230"/>
              <w:spacing w:after="0"/>
              <w:jc w:val="center"/>
              <w:rPr>
                <w:rFonts w:ascii="Times New Roman" w:hAnsi="Times New Roman" w:eastAsia="宋体" w:cs="Times New Roman"/>
                <w:sz w:val="18"/>
                <w:szCs w:val="18"/>
              </w:rPr>
            </w:pPr>
            <w:r>
              <w:rPr>
                <w:rFonts w:ascii="Times New Roman" w:hAnsi="Times New Roman" w:eastAsia="宋体" w:cs="Times New Roman"/>
                <w:spacing w:val="-5"/>
                <w:sz w:val="18"/>
                <w:szCs w:val="18"/>
              </w:rPr>
              <w:t>受力监测</w:t>
            </w:r>
          </w:p>
        </w:tc>
        <w:tc>
          <w:tcPr>
            <w:tcW w:w="2345" w:type="pct"/>
            <w:vAlign w:val="center"/>
          </w:tcPr>
          <w:p>
            <w:pPr>
              <w:pStyle w:val="230"/>
              <w:spacing w:after="0"/>
              <w:jc w:val="center"/>
              <w:rPr>
                <w:rFonts w:ascii="Times New Roman" w:hAnsi="Times New Roman" w:eastAsia="宋体" w:cs="Times New Roman"/>
                <w:sz w:val="18"/>
                <w:szCs w:val="18"/>
                <w:lang w:eastAsia="zh-CN"/>
              </w:rPr>
            </w:pPr>
            <w:r>
              <w:rPr>
                <w:rFonts w:ascii="Times New Roman" w:hAnsi="Times New Roman" w:eastAsia="宋体" w:cs="Times New Roman"/>
                <w:spacing w:val="-3"/>
                <w:sz w:val="18"/>
                <w:szCs w:val="18"/>
                <w:lang w:eastAsia="zh-CN"/>
              </w:rPr>
              <w:t>衬砌混凝土表面</w:t>
            </w:r>
            <w:r>
              <w:rPr>
                <w:rFonts w:hint="eastAsia" w:ascii="Times New Roman" w:hAnsi="Times New Roman" w:eastAsia="宋体" w:cs="Times New Roman"/>
                <w:spacing w:val="-3"/>
                <w:sz w:val="18"/>
                <w:szCs w:val="18"/>
                <w:lang w:eastAsia="zh-CN"/>
              </w:rPr>
              <w:t>应力</w:t>
            </w:r>
            <w:r>
              <w:rPr>
                <w:rFonts w:ascii="Times New Roman" w:hAnsi="Times New Roman" w:eastAsia="宋体" w:cs="Times New Roman"/>
                <w:spacing w:val="-3"/>
                <w:sz w:val="18"/>
                <w:szCs w:val="18"/>
                <w:lang w:eastAsia="zh-CN"/>
              </w:rPr>
              <w:t>、衬砌外水压力</w:t>
            </w:r>
          </w:p>
        </w:tc>
        <w:tc>
          <w:tcPr>
            <w:tcW w:w="605" w:type="pct"/>
            <w:vAlign w:val="center"/>
          </w:tcPr>
          <w:p>
            <w:pPr>
              <w:spacing w:line="240" w:lineRule="auto"/>
              <w:jc w:val="center"/>
              <w:rPr>
                <w:rFonts w:ascii="Times New Roman" w:hAnsi="Times New Roman"/>
                <w:snapToGrid w:val="0"/>
                <w:color w:val="000000"/>
                <w:sz w:val="18"/>
                <w:szCs w:val="18"/>
              </w:rPr>
            </w:pPr>
            <w:r>
              <w:rPr>
                <w:rFonts w:ascii="Times New Roman" w:hAnsi="Times New Roman"/>
                <w:snapToGrid w:val="0"/>
                <w:color w:val="000000"/>
                <w:spacing w:val="-2"/>
                <w:sz w:val="18"/>
                <w:szCs w:val="18"/>
              </w:rPr>
              <w:t>0.01MPa</w:t>
            </w:r>
          </w:p>
        </w:tc>
        <w:tc>
          <w:tcPr>
            <w:tcW w:w="1437" w:type="pct"/>
            <w:vAlign w:val="center"/>
          </w:tcPr>
          <w:p>
            <w:pPr>
              <w:pStyle w:val="230"/>
              <w:spacing w:after="0"/>
              <w:jc w:val="center"/>
              <w:rPr>
                <w:rFonts w:ascii="Times New Roman" w:hAnsi="Times New Roman" w:eastAsia="宋体" w:cs="Times New Roman"/>
                <w:sz w:val="18"/>
                <w:szCs w:val="18"/>
                <w:lang w:eastAsia="zh-CN"/>
              </w:rPr>
            </w:pPr>
            <w:r>
              <w:rPr>
                <w:rFonts w:ascii="Times New Roman" w:hAnsi="Times New Roman" w:eastAsia="宋体" w:cs="Times New Roman"/>
                <w:spacing w:val="-2"/>
                <w:sz w:val="18"/>
                <w:szCs w:val="18"/>
                <w:lang w:eastAsia="zh-CN"/>
              </w:rPr>
              <w:t>动态：1 Hz兹；静态：1次/d</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613" w:type="pct"/>
            <w:vAlign w:val="center"/>
          </w:tcPr>
          <w:p>
            <w:pPr>
              <w:pStyle w:val="230"/>
              <w:spacing w:after="0"/>
              <w:jc w:val="center"/>
              <w:rPr>
                <w:rFonts w:ascii="Times New Roman" w:hAnsi="Times New Roman" w:eastAsia="宋体" w:cs="Times New Roman"/>
                <w:spacing w:val="-5"/>
                <w:sz w:val="18"/>
                <w:szCs w:val="18"/>
                <w:lang w:eastAsia="zh-CN"/>
              </w:rPr>
            </w:pPr>
            <w:r>
              <w:rPr>
                <w:rFonts w:ascii="Times New Roman" w:hAnsi="Times New Roman" w:eastAsia="宋体" w:cs="Times New Roman"/>
                <w:spacing w:val="-5"/>
                <w:sz w:val="18"/>
                <w:szCs w:val="18"/>
                <w:lang w:eastAsia="zh-CN"/>
              </w:rPr>
              <w:t>水位监测</w:t>
            </w:r>
          </w:p>
        </w:tc>
        <w:tc>
          <w:tcPr>
            <w:tcW w:w="2345" w:type="pct"/>
            <w:vAlign w:val="center"/>
          </w:tcPr>
          <w:p>
            <w:pPr>
              <w:pStyle w:val="230"/>
              <w:spacing w:after="0"/>
              <w:jc w:val="center"/>
              <w:rPr>
                <w:rFonts w:ascii="Times New Roman" w:hAnsi="Times New Roman" w:eastAsia="宋体" w:cs="Times New Roman"/>
                <w:spacing w:val="-3"/>
                <w:sz w:val="18"/>
                <w:szCs w:val="18"/>
                <w:lang w:eastAsia="zh-CN"/>
              </w:rPr>
            </w:pPr>
            <w:r>
              <w:rPr>
                <w:rFonts w:ascii="Times New Roman" w:hAnsi="Times New Roman" w:eastAsia="宋体" w:cs="Times New Roman"/>
                <w:spacing w:val="-3"/>
                <w:sz w:val="18"/>
                <w:szCs w:val="18"/>
                <w:lang w:eastAsia="zh-CN"/>
              </w:rPr>
              <w:t>地表水位</w:t>
            </w:r>
          </w:p>
        </w:tc>
        <w:tc>
          <w:tcPr>
            <w:tcW w:w="605" w:type="pct"/>
            <w:vAlign w:val="center"/>
          </w:tcPr>
          <w:p>
            <w:pPr>
              <w:spacing w:line="240" w:lineRule="auto"/>
              <w:jc w:val="center"/>
              <w:rPr>
                <w:rFonts w:ascii="Times New Roman" w:hAnsi="Times New Roman"/>
                <w:snapToGrid w:val="0"/>
                <w:color w:val="000000"/>
                <w:spacing w:val="-2"/>
                <w:sz w:val="18"/>
                <w:szCs w:val="18"/>
              </w:rPr>
            </w:pPr>
            <w:r>
              <w:rPr>
                <w:rFonts w:ascii="Times New Roman" w:hAnsi="Times New Roman"/>
                <w:snapToGrid w:val="0"/>
                <w:color w:val="000000"/>
                <w:spacing w:val="-2"/>
                <w:sz w:val="18"/>
                <w:szCs w:val="18"/>
              </w:rPr>
              <w:t>1mm</w:t>
            </w:r>
          </w:p>
        </w:tc>
        <w:tc>
          <w:tcPr>
            <w:tcW w:w="1437" w:type="pct"/>
            <w:vAlign w:val="center"/>
          </w:tcPr>
          <w:p>
            <w:pPr>
              <w:pStyle w:val="230"/>
              <w:spacing w:after="0"/>
              <w:jc w:val="center"/>
              <w:rPr>
                <w:rFonts w:ascii="Times New Roman" w:hAnsi="Times New Roman" w:eastAsia="宋体" w:cs="Times New Roman"/>
                <w:spacing w:val="-2"/>
                <w:sz w:val="18"/>
                <w:szCs w:val="18"/>
                <w:lang w:eastAsia="zh-CN"/>
              </w:rPr>
            </w:pPr>
            <w:r>
              <w:rPr>
                <w:rFonts w:ascii="Times New Roman" w:hAnsi="Times New Roman" w:eastAsia="宋体" w:cs="Times New Roman"/>
                <w:spacing w:val="-2"/>
                <w:sz w:val="18"/>
                <w:szCs w:val="18"/>
                <w:lang w:eastAsia="zh-CN"/>
              </w:rPr>
              <w:t>动态：1 Hz；静态：1次/d</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613" w:type="pct"/>
            <w:vAlign w:val="center"/>
          </w:tcPr>
          <w:p>
            <w:pPr>
              <w:pStyle w:val="230"/>
              <w:spacing w:after="0"/>
              <w:jc w:val="center"/>
              <w:rPr>
                <w:rFonts w:ascii="Times New Roman" w:hAnsi="Times New Roman" w:eastAsia="宋体" w:cs="Times New Roman"/>
                <w:spacing w:val="-5"/>
                <w:sz w:val="18"/>
                <w:szCs w:val="18"/>
                <w:lang w:eastAsia="zh-CN"/>
              </w:rPr>
            </w:pPr>
            <w:r>
              <w:rPr>
                <w:rFonts w:ascii="Times New Roman" w:hAnsi="Times New Roman" w:eastAsia="宋体" w:cs="Times New Roman"/>
                <w:spacing w:val="-5"/>
                <w:sz w:val="18"/>
                <w:szCs w:val="18"/>
                <w:lang w:eastAsia="zh-CN"/>
              </w:rPr>
              <w:t>转角监测</w:t>
            </w:r>
          </w:p>
        </w:tc>
        <w:tc>
          <w:tcPr>
            <w:tcW w:w="2345" w:type="pct"/>
            <w:vAlign w:val="center"/>
          </w:tcPr>
          <w:p>
            <w:pPr>
              <w:pStyle w:val="230"/>
              <w:spacing w:after="0"/>
              <w:jc w:val="center"/>
              <w:rPr>
                <w:rFonts w:ascii="Times New Roman" w:hAnsi="Times New Roman" w:eastAsia="宋体" w:cs="Times New Roman"/>
                <w:spacing w:val="-3"/>
                <w:sz w:val="18"/>
                <w:szCs w:val="18"/>
                <w:lang w:eastAsia="zh-CN"/>
              </w:rPr>
            </w:pPr>
            <w:r>
              <w:rPr>
                <w:rFonts w:ascii="Times New Roman" w:hAnsi="Times New Roman" w:eastAsia="宋体" w:cs="Times New Roman"/>
                <w:spacing w:val="-5"/>
                <w:sz w:val="18"/>
                <w:szCs w:val="18"/>
                <w:lang w:eastAsia="zh-CN"/>
              </w:rPr>
              <w:t>洞门倾斜监测</w:t>
            </w:r>
          </w:p>
        </w:tc>
        <w:tc>
          <w:tcPr>
            <w:tcW w:w="605" w:type="pct"/>
            <w:vAlign w:val="center"/>
          </w:tcPr>
          <w:p>
            <w:pPr>
              <w:spacing w:line="240" w:lineRule="auto"/>
              <w:jc w:val="center"/>
              <w:rPr>
                <w:rFonts w:ascii="Times New Roman" w:hAnsi="Times New Roman"/>
                <w:snapToGrid w:val="0"/>
                <w:color w:val="000000"/>
                <w:spacing w:val="-2"/>
                <w:sz w:val="18"/>
                <w:szCs w:val="18"/>
              </w:rPr>
            </w:pPr>
            <w:r>
              <w:rPr>
                <w:rFonts w:ascii="Times New Roman" w:hAnsi="Times New Roman"/>
                <w:snapToGrid w:val="0"/>
                <w:color w:val="000000"/>
                <w:spacing w:val="-2"/>
                <w:sz w:val="18"/>
                <w:szCs w:val="18"/>
              </w:rPr>
              <w:t>0.01°</w:t>
            </w:r>
          </w:p>
        </w:tc>
        <w:tc>
          <w:tcPr>
            <w:tcW w:w="1437" w:type="pct"/>
            <w:vAlign w:val="center"/>
          </w:tcPr>
          <w:p>
            <w:pPr>
              <w:pStyle w:val="230"/>
              <w:spacing w:after="0"/>
              <w:jc w:val="center"/>
              <w:rPr>
                <w:rFonts w:ascii="Times New Roman" w:hAnsi="Times New Roman" w:eastAsia="宋体" w:cs="Times New Roman"/>
                <w:spacing w:val="-2"/>
                <w:sz w:val="18"/>
                <w:szCs w:val="18"/>
                <w:lang w:eastAsia="zh-CN"/>
              </w:rPr>
            </w:pPr>
            <w:r>
              <w:rPr>
                <w:rFonts w:ascii="Times New Roman" w:hAnsi="Times New Roman" w:eastAsia="宋体" w:cs="Times New Roman"/>
                <w:spacing w:val="-2"/>
                <w:sz w:val="18"/>
                <w:szCs w:val="18"/>
                <w:lang w:eastAsia="zh-CN"/>
              </w:rPr>
              <w:t>动态：1 Hz；静态：1次/d</w:t>
            </w:r>
          </w:p>
        </w:tc>
      </w:tr>
    </w:tbl>
    <w:p>
      <w:pPr>
        <w:pStyle w:val="56"/>
        <w:ind w:firstLine="420"/>
      </w:pPr>
      <w:bookmarkStart w:id="99" w:name="_Toc199250253"/>
      <w:r>
        <w:t>注：隧道结构在正常服役状态下宜按静态频率采集，隧道结构处于高风险环境状态时宜采用动态频率；运营养护单位有特殊需求时，可另行制定采集频率。</w:t>
      </w:r>
      <w:bookmarkEnd w:id="99"/>
    </w:p>
    <w:p>
      <w:pPr>
        <w:pStyle w:val="165"/>
      </w:pPr>
      <w:r>
        <w:t>隧道车辆通行状况监测、隧道突发性异常事件监测宜采用智能识别与报警的视频监测方法</w:t>
      </w:r>
      <w:r>
        <w:rPr>
          <w:rFonts w:hint="eastAsia"/>
        </w:rPr>
        <w:t>。</w:t>
      </w:r>
    </w:p>
    <w:p>
      <w:pPr>
        <w:pStyle w:val="165"/>
      </w:pPr>
      <w:r>
        <w:t>监测仪器设备选择应符合下列规定：</w:t>
      </w:r>
    </w:p>
    <w:p>
      <w:pPr>
        <w:pStyle w:val="132"/>
      </w:pPr>
      <w:r>
        <w:t>监测传感器应选取质量可靠、数据传输稳定、耐久性良好的设备</w:t>
      </w:r>
      <w:r>
        <w:rPr>
          <w:rFonts w:hint="eastAsia"/>
        </w:rPr>
        <w:t>；</w:t>
      </w:r>
    </w:p>
    <w:p>
      <w:pPr>
        <w:pStyle w:val="132"/>
      </w:pPr>
      <w:r>
        <w:t>预埋在结构内部的埋入式传感器设计使用寿命不宜低于二十年；附着安装在结构上的非埋入式传感器设计使用寿命不宜低于五年，且易于更换</w:t>
      </w:r>
      <w:r>
        <w:rPr>
          <w:rFonts w:hint="eastAsia"/>
        </w:rPr>
        <w:t>；</w:t>
      </w:r>
    </w:p>
    <w:p>
      <w:pPr>
        <w:pStyle w:val="132"/>
      </w:pPr>
      <w:r>
        <w:t>监测传感器、采集设备应具备自诊断、定期储存功能，可在供电系统、传输系统短期异常时正常工作</w:t>
      </w:r>
      <w:r>
        <w:rPr>
          <w:rFonts w:hint="eastAsia"/>
        </w:rPr>
        <w:t>；</w:t>
      </w:r>
    </w:p>
    <w:p>
      <w:pPr>
        <w:pStyle w:val="132"/>
      </w:pPr>
      <w:r>
        <w:t>视频监测设备像素应大于等于400万，帧率应大于等于25FPS。</w:t>
      </w:r>
    </w:p>
    <w:p>
      <w:pPr>
        <w:pStyle w:val="104"/>
        <w:spacing w:before="312" w:after="312"/>
      </w:pPr>
      <w:bookmarkStart w:id="100" w:name="_Toc199250334"/>
      <w:bookmarkStart w:id="101" w:name="_Toc199250254"/>
      <w:bookmarkStart w:id="102" w:name="_Toc198752832"/>
      <w:r>
        <w:t>隧道洞口及洞门监测</w:t>
      </w:r>
      <w:bookmarkEnd w:id="100"/>
      <w:bookmarkEnd w:id="101"/>
      <w:bookmarkEnd w:id="102"/>
    </w:p>
    <w:p>
      <w:pPr>
        <w:pStyle w:val="105"/>
        <w:spacing w:before="156" w:after="156"/>
        <w:ind w:left="0"/>
      </w:pPr>
      <w:bookmarkStart w:id="103" w:name="_Toc199250335"/>
      <w:bookmarkStart w:id="104" w:name="_Toc199250255"/>
      <w:r>
        <w:t>监测内容及方法</w:t>
      </w:r>
      <w:bookmarkEnd w:id="103"/>
      <w:bookmarkEnd w:id="104"/>
    </w:p>
    <w:p>
      <w:pPr>
        <w:pStyle w:val="165"/>
      </w:pPr>
      <w:r>
        <w:t>隧道洞口临近冲沟或高边仰坡时，宜设置具有智能识别功能的视频监测，并满足夜间监测需要。</w:t>
      </w:r>
    </w:p>
    <w:p>
      <w:pPr>
        <w:pStyle w:val="165"/>
      </w:pPr>
      <w:r>
        <w:t>隧道洞口边仰坡冲刷滑移风险较高时，应增设地层水平位移、竖向位移监测。</w:t>
      </w:r>
    </w:p>
    <w:p>
      <w:pPr>
        <w:pStyle w:val="165"/>
      </w:pPr>
      <w:r>
        <w:t>地表水位对结构安全影响显著时，应对地表水位进行监测。</w:t>
      </w:r>
    </w:p>
    <w:p>
      <w:pPr>
        <w:pStyle w:val="165"/>
      </w:pPr>
      <w:r>
        <w:t>隧道洞口、洞门监测内容和方法</w:t>
      </w:r>
      <w:r>
        <w:rPr>
          <w:rFonts w:hint="eastAsia"/>
        </w:rPr>
        <w:t>应</w:t>
      </w:r>
      <w:r>
        <w:t>按照表4执行。</w:t>
      </w:r>
    </w:p>
    <w:p>
      <w:pPr>
        <w:pStyle w:val="112"/>
        <w:widowControl w:val="0"/>
        <w:spacing w:before="156" w:after="156"/>
        <w:rPr>
          <w:rFonts w:ascii="Times New Roman"/>
        </w:rPr>
      </w:pPr>
      <w:r>
        <w:rPr>
          <w:rFonts w:ascii="Times New Roman"/>
        </w:rPr>
        <w:t>隧道洞口、洞门监测内容及方法</w:t>
      </w:r>
    </w:p>
    <w:tbl>
      <w:tblPr>
        <w:tblStyle w:val="26"/>
        <w:tblW w:w="94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73"/>
        <w:gridCol w:w="3827"/>
        <w:gridCol w:w="41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tcBorders>
              <w:top w:val="single" w:color="auto" w:sz="12" w:space="0"/>
              <w:left w:val="single" w:color="auto" w:sz="12"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监测对象</w:t>
            </w:r>
          </w:p>
        </w:tc>
        <w:tc>
          <w:tcPr>
            <w:tcW w:w="3827" w:type="dxa"/>
            <w:tcBorders>
              <w:top w:val="single" w:color="auto" w:sz="12"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监测内容</w:t>
            </w:r>
          </w:p>
        </w:tc>
        <w:tc>
          <w:tcPr>
            <w:tcW w:w="4164" w:type="dxa"/>
            <w:tcBorders>
              <w:top w:val="single" w:color="auto" w:sz="12"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监测方法或设备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vMerge w:val="restart"/>
            <w:tcBorders>
              <w:top w:val="single" w:color="auto" w:sz="6" w:space="0"/>
              <w:left w:val="single" w:color="auto" w:sz="12"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洞口边仰坡</w:t>
            </w: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边仰坡滑塌示警、冲沟异常预警</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智能视频监测设备等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Times New Roman" w:hAnsi="Times New Roman"/>
                <w:sz w:val="18"/>
                <w:szCs w:val="18"/>
              </w:rPr>
            </w:pP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边仰坡地表水平、竖向位移</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bookmarkStart w:id="105" w:name="OLE_LINK10"/>
            <w:r>
              <w:rPr>
                <w:rFonts w:ascii="Times New Roman" w:hAnsi="Times New Roman"/>
                <w:sz w:val="18"/>
                <w:szCs w:val="18"/>
              </w:rPr>
              <w:t>视觉位移计、激光测距仪、全站仪</w:t>
            </w:r>
            <w:bookmarkEnd w:id="105"/>
            <w:r>
              <w:rPr>
                <w:rFonts w:hint="eastAsia" w:ascii="Times New Roman" w:hAnsi="Times New Roman"/>
                <w:sz w:val="18"/>
                <w:szCs w:val="18"/>
              </w:rPr>
              <w:t>、GNSS</w:t>
            </w:r>
            <w:r>
              <w:rPr>
                <w:rFonts w:ascii="Times New Roman" w:hAnsi="Times New Roman"/>
                <w:sz w:val="18"/>
                <w:szCs w:val="18"/>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Times New Roman" w:hAnsi="Times New Roman"/>
                <w:sz w:val="18"/>
                <w:szCs w:val="18"/>
              </w:rPr>
            </w:pP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边仰坡地层水平位移</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固定式测斜仪、滑动式测斜仪等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Times New Roman" w:hAnsi="Times New Roman"/>
                <w:sz w:val="18"/>
                <w:szCs w:val="18"/>
              </w:rPr>
            </w:pP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边仰坡地层竖向位移</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沉降仪、多点位移计等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vMerge w:val="restart"/>
            <w:tcBorders>
              <w:top w:val="single" w:color="auto" w:sz="6" w:space="0"/>
              <w:left w:val="single" w:color="auto" w:sz="12" w:space="0"/>
              <w:bottom w:val="single" w:color="auto" w:sz="12"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洞门</w:t>
            </w:r>
          </w:p>
          <w:p>
            <w:pPr>
              <w:jc w:val="center"/>
              <w:textAlignment w:val="center"/>
              <w:rPr>
                <w:rFonts w:ascii="Times New Roman" w:hAnsi="Times New Roman"/>
                <w:sz w:val="18"/>
                <w:szCs w:val="18"/>
              </w:rPr>
            </w:pPr>
            <w:r>
              <w:rPr>
                <w:rFonts w:ascii="Times New Roman" w:hAnsi="Times New Roman"/>
                <w:sz w:val="18"/>
                <w:szCs w:val="18"/>
              </w:rPr>
              <w:t>结构</w:t>
            </w: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洞门水平位移</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视觉位移计、激光测距仪、全站仪等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Times New Roman" w:hAnsi="Times New Roman"/>
                <w:sz w:val="18"/>
                <w:szCs w:val="18"/>
              </w:rPr>
            </w:pP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洞门竖向位移</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视觉位移计、激光测距仪、全站仪等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Times New Roman" w:hAnsi="Times New Roman"/>
                <w:sz w:val="18"/>
                <w:szCs w:val="18"/>
              </w:rPr>
            </w:pP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洞门倾斜度</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倾角仪、倾斜盘等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5300" w:type="dxa"/>
            <w:gridSpan w:val="2"/>
            <w:tcBorders>
              <w:top w:val="single" w:color="auto" w:sz="6" w:space="0"/>
              <w:left w:val="single" w:color="auto" w:sz="12" w:space="0"/>
              <w:bottom w:val="single" w:color="auto" w:sz="12"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地表水位</w:t>
            </w:r>
          </w:p>
        </w:tc>
        <w:tc>
          <w:tcPr>
            <w:tcW w:w="4164" w:type="dxa"/>
            <w:tcBorders>
              <w:top w:val="single" w:color="auto" w:sz="6" w:space="0"/>
              <w:left w:val="single" w:color="auto" w:sz="6" w:space="0"/>
              <w:bottom w:val="single" w:color="auto" w:sz="12"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z w:val="18"/>
                <w:szCs w:val="18"/>
              </w:rPr>
              <w:t>水尺法、水位计等</w:t>
            </w:r>
          </w:p>
        </w:tc>
      </w:tr>
    </w:tbl>
    <w:p>
      <w:pPr>
        <w:pStyle w:val="105"/>
        <w:spacing w:before="156" w:after="156"/>
        <w:ind w:left="0"/>
      </w:pPr>
      <w:bookmarkStart w:id="106" w:name="_Toc199250336"/>
      <w:bookmarkStart w:id="107" w:name="_Toc199250256"/>
      <w:r>
        <w:t>测点布置</w:t>
      </w:r>
      <w:bookmarkEnd w:id="106"/>
      <w:bookmarkEnd w:id="107"/>
    </w:p>
    <w:p>
      <w:pPr>
        <w:pStyle w:val="165"/>
      </w:pPr>
      <w:r>
        <w:t>隧道洞口段视频监测进出口应各不少于2个，冲沟视频监测宜不少于2个</w:t>
      </w:r>
      <w:r>
        <w:rPr>
          <w:rFonts w:hint="eastAsia"/>
        </w:rPr>
        <w:t>。</w:t>
      </w:r>
    </w:p>
    <w:p>
      <w:pPr>
        <w:pStyle w:val="165"/>
      </w:pPr>
      <w:r>
        <w:t>隧道洞门水平位移、竖向位移和倾斜度，宜在洞门立面不同高程处布设监测断面，监测断面不少于2个，每个监测断面布设2～3个监测点。</w:t>
      </w:r>
    </w:p>
    <w:p>
      <w:pPr>
        <w:pStyle w:val="165"/>
      </w:pPr>
      <w:r>
        <w:t>洞口边仰坡地表水平位移、竖向位移，监测断面不少于3个，每个断面不少于5个监测点，仰坡中心监测点应布设在隧道轴线正上方地表位置，监测点间距由中心监测点至距离中心监测点最远点由密至疏布置，间距2</w:t>
      </w:r>
      <w:r>
        <w:rPr>
          <w:rFonts w:hint="eastAsia"/>
        </w:rPr>
        <w:t>m</w:t>
      </w:r>
      <w:r>
        <w:t>～5m。</w:t>
      </w:r>
    </w:p>
    <w:p>
      <w:pPr>
        <w:pStyle w:val="165"/>
        <w:rPr>
          <w:rFonts w:ascii="Times New Roman"/>
        </w:rPr>
      </w:pPr>
      <w:r>
        <w:rPr>
          <w:rFonts w:ascii="Times New Roman"/>
        </w:rPr>
        <w:t>边仰坡地层水平位移、竖向位移每测孔不宜少于5个监测点，监测点间距不宜大于2m。</w:t>
      </w:r>
    </w:p>
    <w:p>
      <w:pPr>
        <w:pStyle w:val="104"/>
        <w:spacing w:before="312" w:after="312"/>
      </w:pPr>
      <w:bookmarkStart w:id="108" w:name="_Toc199250257"/>
      <w:bookmarkStart w:id="109" w:name="_Toc198752833"/>
      <w:bookmarkStart w:id="110" w:name="_Toc199250337"/>
      <w:r>
        <w:t>隧道衬砌结构监测</w:t>
      </w:r>
      <w:bookmarkEnd w:id="108"/>
      <w:bookmarkEnd w:id="109"/>
      <w:bookmarkEnd w:id="110"/>
    </w:p>
    <w:p>
      <w:pPr>
        <w:pStyle w:val="105"/>
        <w:spacing w:before="156" w:after="156"/>
        <w:ind w:left="0"/>
      </w:pPr>
      <w:bookmarkStart w:id="111" w:name="_Toc199250258"/>
      <w:bookmarkStart w:id="112" w:name="_Toc199250338"/>
      <w:r>
        <w:t>监测内容及方法</w:t>
      </w:r>
      <w:bookmarkEnd w:id="111"/>
      <w:bookmarkEnd w:id="112"/>
    </w:p>
    <w:p>
      <w:pPr>
        <w:pStyle w:val="165"/>
      </w:pPr>
      <w:r>
        <w:t>隧道衬砌结构监测内容和方法</w:t>
      </w:r>
      <w:r>
        <w:rPr>
          <w:rFonts w:hint="eastAsia"/>
        </w:rPr>
        <w:t>应</w:t>
      </w:r>
      <w:r>
        <w:t>按照表5执行。</w:t>
      </w:r>
    </w:p>
    <w:p>
      <w:pPr>
        <w:pStyle w:val="112"/>
        <w:widowControl w:val="0"/>
        <w:spacing w:before="156" w:after="156"/>
        <w:rPr>
          <w:rFonts w:ascii="Times New Roman"/>
        </w:rPr>
      </w:pPr>
      <w:r>
        <w:rPr>
          <w:rFonts w:ascii="Times New Roman"/>
        </w:rPr>
        <w:t>隧道衬砌结构监测内容及方法</w:t>
      </w:r>
    </w:p>
    <w:tbl>
      <w:tblPr>
        <w:tblStyle w:val="2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65"/>
        <w:gridCol w:w="2969"/>
        <w:gridCol w:w="493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4" w:hRule="exact"/>
          <w:tblHeader/>
          <w:jc w:val="center"/>
        </w:trPr>
        <w:tc>
          <w:tcPr>
            <w:tcW w:w="2421" w:type="pct"/>
            <w:gridSpan w:val="2"/>
            <w:vAlign w:val="center"/>
          </w:tcPr>
          <w:p>
            <w:pPr>
              <w:spacing w:line="240" w:lineRule="auto"/>
              <w:jc w:val="center"/>
              <w:rPr>
                <w:rFonts w:ascii="Times New Roman" w:hAnsi="Times New Roman"/>
                <w:bCs/>
                <w:sz w:val="18"/>
                <w:szCs w:val="18"/>
              </w:rPr>
            </w:pPr>
            <w:r>
              <w:rPr>
                <w:rFonts w:ascii="Times New Roman" w:hAnsi="Times New Roman"/>
                <w:bCs/>
                <w:sz w:val="18"/>
                <w:szCs w:val="18"/>
              </w:rPr>
              <w:t>监测内容</w:t>
            </w:r>
          </w:p>
        </w:tc>
        <w:tc>
          <w:tcPr>
            <w:tcW w:w="2579" w:type="pct"/>
            <w:vAlign w:val="center"/>
          </w:tcPr>
          <w:p>
            <w:pPr>
              <w:spacing w:line="240" w:lineRule="auto"/>
              <w:jc w:val="center"/>
              <w:rPr>
                <w:rFonts w:ascii="Times New Roman" w:hAnsi="Times New Roman"/>
                <w:bCs/>
                <w:sz w:val="18"/>
                <w:szCs w:val="18"/>
              </w:rPr>
            </w:pPr>
            <w:r>
              <w:rPr>
                <w:rFonts w:ascii="Times New Roman" w:hAnsi="Times New Roman"/>
                <w:bCs/>
                <w:sz w:val="18"/>
                <w:szCs w:val="18"/>
              </w:rPr>
              <w:t>监测方法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00" w:hRule="atLeast"/>
          <w:jc w:val="center"/>
        </w:trPr>
        <w:tc>
          <w:tcPr>
            <w:tcW w:w="870" w:type="pct"/>
            <w:vMerge w:val="restart"/>
            <w:vAlign w:val="center"/>
          </w:tcPr>
          <w:p>
            <w:pPr>
              <w:spacing w:line="240" w:lineRule="auto"/>
              <w:jc w:val="center"/>
              <w:rPr>
                <w:rFonts w:ascii="Times New Roman" w:hAnsi="Times New Roman"/>
                <w:sz w:val="18"/>
                <w:szCs w:val="18"/>
              </w:rPr>
            </w:pPr>
            <w:r>
              <w:rPr>
                <w:rFonts w:ascii="Times New Roman" w:hAnsi="Times New Roman"/>
                <w:sz w:val="18"/>
                <w:szCs w:val="18"/>
                <w:lang w:bidi="ar"/>
              </w:rPr>
              <w:t>变形监测</w:t>
            </w:r>
          </w:p>
        </w:tc>
        <w:tc>
          <w:tcPr>
            <w:tcW w:w="1551" w:type="pct"/>
            <w:vAlign w:val="center"/>
          </w:tcPr>
          <w:p>
            <w:pPr>
              <w:spacing w:line="240" w:lineRule="auto"/>
              <w:jc w:val="center"/>
              <w:rPr>
                <w:rFonts w:ascii="Times New Roman" w:hAnsi="Times New Roman"/>
                <w:sz w:val="18"/>
                <w:szCs w:val="18"/>
              </w:rPr>
            </w:pPr>
            <w:r>
              <w:rPr>
                <w:rFonts w:ascii="Times New Roman" w:hAnsi="Times New Roman"/>
                <w:sz w:val="18"/>
                <w:szCs w:val="18"/>
              </w:rPr>
              <w:t>净空收敛</w:t>
            </w:r>
          </w:p>
        </w:tc>
        <w:tc>
          <w:tcPr>
            <w:tcW w:w="2579" w:type="pct"/>
            <w:vMerge w:val="restart"/>
            <w:vAlign w:val="center"/>
          </w:tcPr>
          <w:p>
            <w:pPr>
              <w:spacing w:line="240" w:lineRule="auto"/>
              <w:jc w:val="center"/>
              <w:rPr>
                <w:rFonts w:ascii="Times New Roman" w:hAnsi="Times New Roman"/>
                <w:sz w:val="18"/>
                <w:szCs w:val="18"/>
              </w:rPr>
            </w:pPr>
            <w:r>
              <w:rPr>
                <w:rFonts w:ascii="Times New Roman" w:hAnsi="Times New Roman"/>
                <w:sz w:val="18"/>
                <w:szCs w:val="18"/>
              </w:rPr>
              <w:t>视觉位移计、激光测距仪、全站仪、静力水准仪等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jc w:val="center"/>
        </w:trPr>
        <w:tc>
          <w:tcPr>
            <w:tcW w:w="870" w:type="pct"/>
            <w:vMerge w:val="continue"/>
            <w:vAlign w:val="center"/>
          </w:tcPr>
          <w:p>
            <w:pPr>
              <w:widowControl/>
              <w:spacing w:line="240" w:lineRule="auto"/>
              <w:jc w:val="left"/>
              <w:rPr>
                <w:rFonts w:ascii="Times New Roman" w:hAnsi="Times New Roman"/>
                <w:sz w:val="18"/>
                <w:szCs w:val="18"/>
              </w:rPr>
            </w:pPr>
          </w:p>
        </w:tc>
        <w:tc>
          <w:tcPr>
            <w:tcW w:w="1551" w:type="pct"/>
            <w:vAlign w:val="center"/>
          </w:tcPr>
          <w:p>
            <w:pPr>
              <w:spacing w:line="240" w:lineRule="auto"/>
              <w:jc w:val="center"/>
              <w:rPr>
                <w:rFonts w:ascii="Times New Roman" w:hAnsi="Times New Roman"/>
                <w:sz w:val="18"/>
                <w:szCs w:val="18"/>
              </w:rPr>
            </w:pPr>
            <w:r>
              <w:rPr>
                <w:rFonts w:ascii="Times New Roman" w:hAnsi="Times New Roman"/>
                <w:sz w:val="18"/>
                <w:szCs w:val="18"/>
              </w:rPr>
              <w:t>拱顶下沉</w:t>
            </w:r>
          </w:p>
        </w:tc>
        <w:tc>
          <w:tcPr>
            <w:tcW w:w="2579" w:type="pct"/>
            <w:vMerge w:val="continue"/>
            <w:vAlign w:val="center"/>
          </w:tcPr>
          <w:p>
            <w:pPr>
              <w:widowControl/>
              <w:spacing w:line="240" w:lineRule="auto"/>
              <w:jc w:val="left"/>
              <w:rPr>
                <w:rFonts w:ascii="Times New Roman" w:hAnsi="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3" w:hRule="atLeast"/>
          <w:jc w:val="center"/>
        </w:trPr>
        <w:tc>
          <w:tcPr>
            <w:tcW w:w="870" w:type="pct"/>
            <w:vMerge w:val="continue"/>
            <w:vAlign w:val="center"/>
          </w:tcPr>
          <w:p>
            <w:pPr>
              <w:widowControl/>
              <w:spacing w:line="240" w:lineRule="auto"/>
              <w:jc w:val="left"/>
              <w:rPr>
                <w:rFonts w:ascii="Times New Roman" w:hAnsi="Times New Roman"/>
                <w:sz w:val="18"/>
                <w:szCs w:val="18"/>
              </w:rPr>
            </w:pPr>
          </w:p>
        </w:tc>
        <w:tc>
          <w:tcPr>
            <w:tcW w:w="1551" w:type="pct"/>
            <w:vAlign w:val="center"/>
          </w:tcPr>
          <w:p>
            <w:pPr>
              <w:spacing w:line="240" w:lineRule="auto"/>
              <w:jc w:val="center"/>
              <w:rPr>
                <w:rFonts w:ascii="Times New Roman" w:hAnsi="Times New Roman"/>
                <w:sz w:val="18"/>
                <w:szCs w:val="18"/>
              </w:rPr>
            </w:pPr>
            <w:r>
              <w:rPr>
                <w:rFonts w:ascii="Times New Roman" w:hAnsi="Times New Roman"/>
                <w:sz w:val="18"/>
                <w:szCs w:val="18"/>
              </w:rPr>
              <w:t>墙角沉降</w:t>
            </w:r>
          </w:p>
        </w:tc>
        <w:tc>
          <w:tcPr>
            <w:tcW w:w="2579" w:type="pct"/>
            <w:vMerge w:val="continue"/>
            <w:vAlign w:val="center"/>
          </w:tcPr>
          <w:p>
            <w:pPr>
              <w:widowControl/>
              <w:spacing w:line="240" w:lineRule="auto"/>
              <w:jc w:val="left"/>
              <w:rPr>
                <w:rFonts w:ascii="Times New Roman" w:hAnsi="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5" w:hRule="atLeast"/>
          <w:jc w:val="center"/>
        </w:trPr>
        <w:tc>
          <w:tcPr>
            <w:tcW w:w="870" w:type="pct"/>
            <w:vMerge w:val="restart"/>
            <w:vAlign w:val="center"/>
          </w:tcPr>
          <w:p>
            <w:pPr>
              <w:spacing w:line="240" w:lineRule="auto"/>
              <w:jc w:val="center"/>
              <w:rPr>
                <w:rFonts w:ascii="Times New Roman" w:hAnsi="Times New Roman"/>
                <w:sz w:val="18"/>
                <w:szCs w:val="18"/>
              </w:rPr>
            </w:pPr>
            <w:r>
              <w:rPr>
                <w:rFonts w:ascii="Times New Roman" w:hAnsi="Times New Roman"/>
                <w:sz w:val="18"/>
                <w:szCs w:val="18"/>
              </w:rPr>
              <w:t>受力监测</w:t>
            </w:r>
          </w:p>
        </w:tc>
        <w:tc>
          <w:tcPr>
            <w:tcW w:w="1551" w:type="pct"/>
            <w:vAlign w:val="center"/>
          </w:tcPr>
          <w:p>
            <w:pPr>
              <w:spacing w:line="240" w:lineRule="auto"/>
              <w:jc w:val="center"/>
              <w:rPr>
                <w:rFonts w:ascii="Times New Roman" w:hAnsi="Times New Roman"/>
                <w:sz w:val="18"/>
                <w:szCs w:val="18"/>
              </w:rPr>
            </w:pPr>
            <w:r>
              <w:rPr>
                <w:rFonts w:ascii="Times New Roman" w:hAnsi="Times New Roman"/>
                <w:sz w:val="18"/>
                <w:szCs w:val="18"/>
              </w:rPr>
              <w:t>衬砌混凝土表面应变</w:t>
            </w:r>
          </w:p>
        </w:tc>
        <w:tc>
          <w:tcPr>
            <w:tcW w:w="2579" w:type="pct"/>
            <w:vAlign w:val="center"/>
          </w:tcPr>
          <w:p>
            <w:pPr>
              <w:spacing w:line="240" w:lineRule="auto"/>
              <w:jc w:val="center"/>
              <w:rPr>
                <w:rFonts w:ascii="Times New Roman" w:hAnsi="Times New Roman"/>
                <w:sz w:val="18"/>
                <w:szCs w:val="18"/>
              </w:rPr>
            </w:pPr>
            <w:r>
              <w:rPr>
                <w:rFonts w:ascii="Times New Roman" w:hAnsi="Times New Roman"/>
                <w:sz w:val="18"/>
                <w:szCs w:val="18"/>
              </w:rPr>
              <w:t>应变计、分布式应变光缆等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exact"/>
          <w:jc w:val="center"/>
        </w:trPr>
        <w:tc>
          <w:tcPr>
            <w:tcW w:w="870" w:type="pct"/>
            <w:vMerge w:val="continue"/>
            <w:vAlign w:val="center"/>
          </w:tcPr>
          <w:p>
            <w:pPr>
              <w:widowControl/>
              <w:spacing w:line="240" w:lineRule="auto"/>
              <w:jc w:val="left"/>
              <w:rPr>
                <w:rFonts w:ascii="Times New Roman" w:hAnsi="Times New Roman"/>
                <w:sz w:val="18"/>
                <w:szCs w:val="18"/>
              </w:rPr>
            </w:pPr>
          </w:p>
        </w:tc>
        <w:tc>
          <w:tcPr>
            <w:tcW w:w="1551" w:type="pct"/>
            <w:vAlign w:val="center"/>
          </w:tcPr>
          <w:p>
            <w:pPr>
              <w:spacing w:line="240" w:lineRule="auto"/>
              <w:jc w:val="center"/>
              <w:rPr>
                <w:rFonts w:ascii="Times New Roman" w:hAnsi="Times New Roman"/>
                <w:sz w:val="18"/>
                <w:szCs w:val="18"/>
              </w:rPr>
            </w:pPr>
            <w:r>
              <w:rPr>
                <w:rFonts w:ascii="Times New Roman" w:hAnsi="Times New Roman"/>
                <w:sz w:val="18"/>
                <w:szCs w:val="18"/>
              </w:rPr>
              <w:t>衬砌外水压力</w:t>
            </w:r>
          </w:p>
        </w:tc>
        <w:tc>
          <w:tcPr>
            <w:tcW w:w="2579" w:type="pct"/>
            <w:vAlign w:val="center"/>
          </w:tcPr>
          <w:p>
            <w:pPr>
              <w:spacing w:line="240" w:lineRule="auto"/>
              <w:jc w:val="center"/>
              <w:rPr>
                <w:rFonts w:ascii="Times New Roman" w:hAnsi="Times New Roman"/>
                <w:sz w:val="18"/>
                <w:szCs w:val="18"/>
              </w:rPr>
            </w:pPr>
            <w:r>
              <w:rPr>
                <w:rFonts w:ascii="Times New Roman" w:hAnsi="Times New Roman"/>
                <w:sz w:val="18"/>
                <w:szCs w:val="18"/>
              </w:rPr>
              <w:t>渗压计、水压力表等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jc w:val="center"/>
        </w:trPr>
        <w:tc>
          <w:tcPr>
            <w:tcW w:w="870" w:type="pct"/>
            <w:vMerge w:val="restart"/>
            <w:vAlign w:val="center"/>
          </w:tcPr>
          <w:p>
            <w:pPr>
              <w:widowControl/>
              <w:spacing w:line="240" w:lineRule="auto"/>
              <w:jc w:val="center"/>
              <w:rPr>
                <w:rFonts w:ascii="Times New Roman" w:hAnsi="Times New Roman"/>
                <w:sz w:val="18"/>
                <w:szCs w:val="18"/>
              </w:rPr>
            </w:pPr>
            <w:r>
              <w:rPr>
                <w:rFonts w:ascii="Times New Roman" w:hAnsi="Times New Roman"/>
                <w:sz w:val="18"/>
                <w:szCs w:val="18"/>
              </w:rPr>
              <w:t>病害特征监测</w:t>
            </w:r>
          </w:p>
        </w:tc>
        <w:tc>
          <w:tcPr>
            <w:tcW w:w="1551" w:type="pct"/>
            <w:vAlign w:val="center"/>
          </w:tcPr>
          <w:p>
            <w:pPr>
              <w:spacing w:line="240" w:lineRule="auto"/>
              <w:jc w:val="center"/>
              <w:rPr>
                <w:rFonts w:ascii="Times New Roman" w:hAnsi="Times New Roman"/>
                <w:sz w:val="18"/>
                <w:szCs w:val="18"/>
              </w:rPr>
            </w:pPr>
            <w:r>
              <w:rPr>
                <w:rFonts w:ascii="Times New Roman" w:hAnsi="Times New Roman"/>
                <w:sz w:val="18"/>
                <w:szCs w:val="18"/>
              </w:rPr>
              <w:t>衬砌裂缝</w:t>
            </w:r>
          </w:p>
        </w:tc>
        <w:tc>
          <w:tcPr>
            <w:tcW w:w="2579" w:type="pct"/>
            <w:vAlign w:val="center"/>
          </w:tcPr>
          <w:p>
            <w:pPr>
              <w:spacing w:line="240" w:lineRule="auto"/>
              <w:jc w:val="center"/>
              <w:rPr>
                <w:rFonts w:ascii="Times New Roman" w:hAnsi="Times New Roman"/>
                <w:sz w:val="18"/>
                <w:szCs w:val="18"/>
              </w:rPr>
            </w:pPr>
            <w:r>
              <w:rPr>
                <w:rFonts w:ascii="Times New Roman" w:hAnsi="Times New Roman"/>
                <w:sz w:val="18"/>
                <w:szCs w:val="18"/>
              </w:rPr>
              <w:t>位移计、裂缝计</w:t>
            </w:r>
            <w:r>
              <w:rPr>
                <w:rFonts w:hint="eastAsia" w:ascii="Times New Roman" w:hAnsi="Times New Roman"/>
                <w:sz w:val="18"/>
                <w:szCs w:val="18"/>
              </w:rPr>
              <w:t>、尖端标记法</w:t>
            </w:r>
            <w:r>
              <w:rPr>
                <w:rFonts w:ascii="Times New Roman" w:hAnsi="Times New Roman"/>
                <w:sz w:val="18"/>
                <w:szCs w:val="18"/>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8" w:hRule="exact"/>
          <w:jc w:val="center"/>
        </w:trPr>
        <w:tc>
          <w:tcPr>
            <w:tcW w:w="870" w:type="pct"/>
            <w:vMerge w:val="continue"/>
            <w:vAlign w:val="center"/>
          </w:tcPr>
          <w:p>
            <w:pPr>
              <w:widowControl/>
              <w:spacing w:line="240" w:lineRule="auto"/>
              <w:jc w:val="center"/>
              <w:rPr>
                <w:rFonts w:ascii="Times New Roman" w:hAnsi="Times New Roman"/>
                <w:sz w:val="18"/>
                <w:szCs w:val="18"/>
              </w:rPr>
            </w:pPr>
          </w:p>
        </w:tc>
        <w:tc>
          <w:tcPr>
            <w:tcW w:w="1551" w:type="pct"/>
            <w:vAlign w:val="center"/>
          </w:tcPr>
          <w:p>
            <w:pPr>
              <w:spacing w:line="240" w:lineRule="auto"/>
              <w:jc w:val="center"/>
              <w:rPr>
                <w:rFonts w:ascii="Times New Roman" w:hAnsi="Times New Roman"/>
                <w:sz w:val="18"/>
                <w:szCs w:val="18"/>
              </w:rPr>
            </w:pPr>
            <w:r>
              <w:rPr>
                <w:rFonts w:ascii="Times New Roman" w:hAnsi="Times New Roman"/>
                <w:sz w:val="18"/>
                <w:szCs w:val="18"/>
              </w:rPr>
              <w:t>渗漏水</w:t>
            </w:r>
          </w:p>
        </w:tc>
        <w:tc>
          <w:tcPr>
            <w:tcW w:w="2579" w:type="pct"/>
            <w:vAlign w:val="center"/>
          </w:tcPr>
          <w:p>
            <w:pPr>
              <w:spacing w:line="240" w:lineRule="auto"/>
              <w:jc w:val="center"/>
              <w:rPr>
                <w:rFonts w:ascii="Times New Roman" w:hAnsi="Times New Roman"/>
                <w:sz w:val="18"/>
                <w:szCs w:val="18"/>
              </w:rPr>
            </w:pPr>
            <w:r>
              <w:rPr>
                <w:rFonts w:ascii="Times New Roman" w:hAnsi="Times New Roman"/>
                <w:sz w:val="18"/>
                <w:szCs w:val="18"/>
              </w:rPr>
              <w:t>红外热成像仪、固定式流量计等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exact"/>
          <w:jc w:val="center"/>
        </w:trPr>
        <w:tc>
          <w:tcPr>
            <w:tcW w:w="870" w:type="pct"/>
            <w:vMerge w:val="continue"/>
            <w:vAlign w:val="center"/>
          </w:tcPr>
          <w:p>
            <w:pPr>
              <w:widowControl/>
              <w:spacing w:line="240" w:lineRule="auto"/>
              <w:jc w:val="center"/>
              <w:rPr>
                <w:rFonts w:ascii="Times New Roman" w:hAnsi="Times New Roman"/>
                <w:sz w:val="18"/>
                <w:szCs w:val="18"/>
              </w:rPr>
            </w:pPr>
          </w:p>
        </w:tc>
        <w:tc>
          <w:tcPr>
            <w:tcW w:w="1551" w:type="pct"/>
            <w:vAlign w:val="center"/>
          </w:tcPr>
          <w:p>
            <w:pPr>
              <w:spacing w:line="240" w:lineRule="auto"/>
              <w:jc w:val="center"/>
              <w:rPr>
                <w:rFonts w:hint="eastAsia" w:ascii="Times New Roman" w:hAnsi="Times New Roman"/>
                <w:sz w:val="18"/>
                <w:szCs w:val="18"/>
              </w:rPr>
            </w:pPr>
            <w:r>
              <w:rPr>
                <w:rFonts w:hint="eastAsia" w:ascii="Times New Roman" w:hAnsi="Times New Roman"/>
                <w:sz w:val="18"/>
                <w:szCs w:val="18"/>
              </w:rPr>
              <w:t>路面隆沉</w:t>
            </w:r>
          </w:p>
        </w:tc>
        <w:tc>
          <w:tcPr>
            <w:tcW w:w="2579" w:type="pct"/>
            <w:vAlign w:val="center"/>
          </w:tcPr>
          <w:p>
            <w:pPr>
              <w:spacing w:line="240" w:lineRule="auto"/>
              <w:jc w:val="center"/>
              <w:rPr>
                <w:rFonts w:ascii="Times New Roman" w:hAnsi="Times New Roman"/>
                <w:sz w:val="18"/>
                <w:szCs w:val="18"/>
              </w:rPr>
            </w:pPr>
            <w:r>
              <w:rPr>
                <w:rFonts w:ascii="Times New Roman" w:hAnsi="Times New Roman"/>
                <w:sz w:val="18"/>
                <w:szCs w:val="18"/>
              </w:rPr>
              <w:t>视觉位移计、激光测距仪、全站仪、静力水准仪等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exact"/>
          <w:jc w:val="center"/>
        </w:trPr>
        <w:tc>
          <w:tcPr>
            <w:tcW w:w="870" w:type="pct"/>
            <w:vMerge w:val="continue"/>
            <w:vAlign w:val="center"/>
          </w:tcPr>
          <w:p>
            <w:pPr>
              <w:widowControl/>
              <w:spacing w:line="240" w:lineRule="auto"/>
              <w:jc w:val="center"/>
              <w:rPr>
                <w:rFonts w:ascii="Times New Roman" w:hAnsi="Times New Roman"/>
                <w:sz w:val="18"/>
                <w:szCs w:val="18"/>
              </w:rPr>
            </w:pPr>
          </w:p>
        </w:tc>
        <w:tc>
          <w:tcPr>
            <w:tcW w:w="1551" w:type="pct"/>
            <w:vAlign w:val="center"/>
          </w:tcPr>
          <w:p>
            <w:pPr>
              <w:spacing w:line="240" w:lineRule="auto"/>
              <w:jc w:val="center"/>
              <w:rPr>
                <w:rFonts w:hint="eastAsia" w:ascii="Times New Roman" w:hAnsi="Times New Roman"/>
                <w:sz w:val="18"/>
                <w:szCs w:val="18"/>
                <w:highlight w:val="yellow"/>
              </w:rPr>
            </w:pPr>
            <w:r>
              <w:rPr>
                <w:rFonts w:hint="eastAsia" w:ascii="Times New Roman" w:hAnsi="Times New Roman"/>
                <w:sz w:val="18"/>
                <w:szCs w:val="18"/>
              </w:rPr>
              <w:t>围岩内部位移</w:t>
            </w:r>
          </w:p>
        </w:tc>
        <w:tc>
          <w:tcPr>
            <w:tcW w:w="2579" w:type="pct"/>
            <w:vAlign w:val="center"/>
          </w:tcPr>
          <w:p>
            <w:pPr>
              <w:spacing w:line="240" w:lineRule="auto"/>
              <w:jc w:val="center"/>
              <w:rPr>
                <w:rFonts w:ascii="Times New Roman" w:hAnsi="Times New Roman"/>
                <w:sz w:val="18"/>
                <w:szCs w:val="18"/>
              </w:rPr>
            </w:pPr>
            <w:r>
              <w:rPr>
                <w:rFonts w:ascii="Times New Roman" w:hAnsi="Times New Roman"/>
                <w:sz w:val="18"/>
                <w:szCs w:val="18"/>
              </w:rPr>
              <w:t>沉降仪、多点位移计等</w:t>
            </w:r>
          </w:p>
        </w:tc>
      </w:tr>
    </w:tbl>
    <w:p>
      <w:pPr>
        <w:pStyle w:val="165"/>
      </w:pPr>
      <w:bookmarkStart w:id="113" w:name="_Toc199250259"/>
      <w:bookmarkStart w:id="114" w:name="_Toc199250339"/>
      <w:r>
        <w:t>穿越特殊地质</w:t>
      </w:r>
      <w:r>
        <w:rPr>
          <w:rFonts w:hint="eastAsia"/>
        </w:rPr>
        <w:t>地段</w:t>
      </w:r>
      <w:r>
        <w:t>的隧道衬砌结构监测内容和方法应按照表6</w:t>
      </w:r>
      <w:r>
        <w:rPr>
          <w:rFonts w:hint="eastAsia"/>
        </w:rPr>
        <w:t>执行</w:t>
      </w:r>
      <w:r>
        <w:t>。</w:t>
      </w:r>
      <w:bookmarkEnd w:id="113"/>
      <w:bookmarkEnd w:id="114"/>
    </w:p>
    <w:p>
      <w:pPr>
        <w:pStyle w:val="112"/>
        <w:widowControl w:val="0"/>
        <w:spacing w:before="156" w:after="156"/>
        <w:rPr>
          <w:rFonts w:ascii="Times New Roman"/>
        </w:rPr>
      </w:pPr>
      <w:r>
        <w:rPr>
          <w:rFonts w:ascii="Times New Roman"/>
        </w:rPr>
        <w:t>特殊地质</w:t>
      </w:r>
      <w:r>
        <w:rPr>
          <w:rFonts w:hint="eastAsia" w:ascii="Times New Roman"/>
        </w:rPr>
        <w:t>地段隧道</w:t>
      </w:r>
      <w:r>
        <w:rPr>
          <w:rFonts w:ascii="Times New Roman"/>
        </w:rPr>
        <w:t>衬砌结构监测内容</w:t>
      </w:r>
    </w:p>
    <w:tbl>
      <w:tblPr>
        <w:tblStyle w:val="26"/>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0" w:type="dxa"/>
          <w:bottom w:w="0" w:type="dxa"/>
          <w:right w:w="0" w:type="dxa"/>
        </w:tblCellMar>
      </w:tblPr>
      <w:tblGrid>
        <w:gridCol w:w="786"/>
        <w:gridCol w:w="1847"/>
        <w:gridCol w:w="1064"/>
        <w:gridCol w:w="1017"/>
        <w:gridCol w:w="944"/>
        <w:gridCol w:w="807"/>
        <w:gridCol w:w="1075"/>
        <w:gridCol w:w="1075"/>
        <w:gridCol w:w="7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465" w:hRule="atLeast"/>
        </w:trPr>
        <w:tc>
          <w:tcPr>
            <w:tcW w:w="419" w:type="pct"/>
            <w:vMerge w:val="restart"/>
            <w:vAlign w:val="center"/>
          </w:tcPr>
          <w:p>
            <w:pPr>
              <w:pStyle w:val="230"/>
              <w:spacing w:after="0"/>
              <w:jc w:val="center"/>
              <w:rPr>
                <w:rFonts w:ascii="宋体" w:hAnsi="宋体" w:eastAsia="宋体" w:cs="Times New Roman"/>
                <w:spacing w:val="-11"/>
                <w:sz w:val="18"/>
                <w:szCs w:val="18"/>
                <w:lang w:eastAsia="zh-CN"/>
              </w:rPr>
            </w:pPr>
            <w:r>
              <w:rPr>
                <w:rFonts w:ascii="宋体" w:hAnsi="宋体" w:eastAsia="宋体" w:cs="Times New Roman"/>
                <w:spacing w:val="-11"/>
                <w:sz w:val="18"/>
                <w:szCs w:val="18"/>
              </w:rPr>
              <w:t>监测</w:t>
            </w:r>
          </w:p>
          <w:p>
            <w:pPr>
              <w:pStyle w:val="230"/>
              <w:spacing w:after="0"/>
              <w:jc w:val="center"/>
              <w:rPr>
                <w:rFonts w:ascii="宋体" w:hAnsi="宋体" w:eastAsia="宋体" w:cs="Times New Roman"/>
                <w:sz w:val="18"/>
                <w:szCs w:val="18"/>
              </w:rPr>
            </w:pPr>
            <w:r>
              <w:rPr>
                <w:rFonts w:ascii="宋体" w:hAnsi="宋体" w:eastAsia="宋体" w:cs="Times New Roman"/>
                <w:spacing w:val="-14"/>
                <w:sz w:val="18"/>
                <w:szCs w:val="18"/>
              </w:rPr>
              <w:t>类别</w:t>
            </w:r>
          </w:p>
        </w:tc>
        <w:tc>
          <w:tcPr>
            <w:tcW w:w="984" w:type="pct"/>
            <w:vMerge w:val="restart"/>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7"/>
                <w:sz w:val="18"/>
                <w:szCs w:val="18"/>
              </w:rPr>
              <w:t>监测内容</w:t>
            </w:r>
          </w:p>
        </w:tc>
        <w:tc>
          <w:tcPr>
            <w:tcW w:w="3597" w:type="pct"/>
            <w:gridSpan w:val="7"/>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4"/>
                <w:sz w:val="18"/>
                <w:szCs w:val="18"/>
              </w:rPr>
              <w:t>特殊地质类型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83" w:hRule="atLeast"/>
        </w:trPr>
        <w:tc>
          <w:tcPr>
            <w:tcW w:w="419" w:type="pct"/>
            <w:vMerge w:val="continue"/>
            <w:vAlign w:val="center"/>
          </w:tcPr>
          <w:p>
            <w:pPr>
              <w:spacing w:line="240" w:lineRule="auto"/>
              <w:jc w:val="center"/>
              <w:rPr>
                <w:rFonts w:ascii="宋体" w:hAnsi="宋体"/>
                <w:snapToGrid w:val="0"/>
                <w:color w:val="000000"/>
                <w:sz w:val="18"/>
                <w:szCs w:val="18"/>
              </w:rPr>
            </w:pPr>
          </w:p>
        </w:tc>
        <w:tc>
          <w:tcPr>
            <w:tcW w:w="984" w:type="pct"/>
            <w:vMerge w:val="continue"/>
            <w:vAlign w:val="center"/>
          </w:tcPr>
          <w:p>
            <w:pPr>
              <w:spacing w:line="240" w:lineRule="auto"/>
              <w:jc w:val="center"/>
              <w:rPr>
                <w:rFonts w:ascii="宋体" w:hAnsi="宋体"/>
                <w:snapToGrid w:val="0"/>
                <w:color w:val="000000"/>
                <w:sz w:val="18"/>
                <w:szCs w:val="18"/>
              </w:rPr>
            </w:pP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9"/>
                <w:sz w:val="18"/>
                <w:szCs w:val="18"/>
              </w:rPr>
              <w:t>高地应</w:t>
            </w:r>
            <w:r>
              <w:rPr>
                <w:rFonts w:ascii="宋体" w:hAnsi="宋体" w:eastAsia="宋体" w:cs="Times New Roman"/>
                <w:spacing w:val="-7"/>
                <w:sz w:val="18"/>
                <w:szCs w:val="18"/>
              </w:rPr>
              <w:t>力软岩</w:t>
            </w:r>
          </w:p>
        </w:tc>
        <w:tc>
          <w:tcPr>
            <w:tcW w:w="542" w:type="pct"/>
            <w:vAlign w:val="center"/>
          </w:tcPr>
          <w:p>
            <w:pPr>
              <w:pStyle w:val="230"/>
              <w:spacing w:after="0"/>
              <w:jc w:val="center"/>
              <w:rPr>
                <w:rFonts w:ascii="宋体" w:hAnsi="宋体" w:eastAsia="宋体" w:cs="Times New Roman"/>
                <w:spacing w:val="-9"/>
                <w:sz w:val="18"/>
                <w:szCs w:val="18"/>
              </w:rPr>
            </w:pPr>
            <w:r>
              <w:rPr>
                <w:rFonts w:ascii="宋体" w:hAnsi="宋体" w:eastAsia="宋体" w:cs="Times New Roman"/>
                <w:spacing w:val="-9"/>
                <w:sz w:val="18"/>
                <w:szCs w:val="18"/>
              </w:rPr>
              <w:t>高压富水区</w:t>
            </w:r>
          </w:p>
        </w:tc>
        <w:tc>
          <w:tcPr>
            <w:tcW w:w="503" w:type="pct"/>
            <w:vAlign w:val="center"/>
          </w:tcPr>
          <w:p>
            <w:pPr>
              <w:pStyle w:val="230"/>
              <w:spacing w:after="0"/>
              <w:jc w:val="center"/>
              <w:rPr>
                <w:rFonts w:ascii="宋体" w:hAnsi="宋体" w:eastAsia="宋体" w:cs="Times New Roman"/>
                <w:spacing w:val="-9"/>
                <w:sz w:val="18"/>
                <w:szCs w:val="18"/>
              </w:rPr>
            </w:pPr>
            <w:r>
              <w:rPr>
                <w:rFonts w:ascii="宋体" w:hAnsi="宋体" w:eastAsia="宋体" w:cs="Times New Roman"/>
                <w:spacing w:val="-9"/>
                <w:sz w:val="18"/>
                <w:szCs w:val="18"/>
              </w:rPr>
              <w:t>湿陷性黄土</w:t>
            </w:r>
          </w:p>
        </w:tc>
        <w:tc>
          <w:tcPr>
            <w:tcW w:w="430" w:type="pct"/>
            <w:vAlign w:val="center"/>
          </w:tcPr>
          <w:p>
            <w:pPr>
              <w:pStyle w:val="230"/>
              <w:spacing w:after="0"/>
              <w:jc w:val="center"/>
              <w:rPr>
                <w:rFonts w:ascii="宋体" w:hAnsi="宋体" w:eastAsia="宋体" w:cs="Times New Roman"/>
                <w:spacing w:val="-9"/>
                <w:sz w:val="18"/>
                <w:szCs w:val="18"/>
              </w:rPr>
            </w:pPr>
            <w:r>
              <w:rPr>
                <w:rFonts w:ascii="宋体" w:hAnsi="宋体" w:eastAsia="宋体" w:cs="Times New Roman"/>
                <w:spacing w:val="-9"/>
                <w:sz w:val="18"/>
                <w:szCs w:val="18"/>
              </w:rPr>
              <w:t>多年冻土</w:t>
            </w:r>
          </w:p>
        </w:tc>
        <w:tc>
          <w:tcPr>
            <w:tcW w:w="573" w:type="pct"/>
            <w:vAlign w:val="center"/>
          </w:tcPr>
          <w:p>
            <w:pPr>
              <w:pStyle w:val="230"/>
              <w:spacing w:after="0"/>
              <w:jc w:val="center"/>
              <w:rPr>
                <w:rFonts w:ascii="宋体" w:hAnsi="宋体" w:eastAsia="宋体" w:cs="Times New Roman"/>
                <w:spacing w:val="-9"/>
                <w:sz w:val="18"/>
                <w:szCs w:val="18"/>
              </w:rPr>
            </w:pPr>
            <w:r>
              <w:rPr>
                <w:rFonts w:ascii="宋体" w:hAnsi="宋体" w:eastAsia="宋体" w:cs="Times New Roman"/>
                <w:spacing w:val="-9"/>
                <w:sz w:val="18"/>
                <w:szCs w:val="18"/>
              </w:rPr>
              <w:t>断裂破碎带</w:t>
            </w:r>
          </w:p>
        </w:tc>
        <w:tc>
          <w:tcPr>
            <w:tcW w:w="573" w:type="pct"/>
            <w:vAlign w:val="center"/>
          </w:tcPr>
          <w:p>
            <w:pPr>
              <w:pStyle w:val="230"/>
              <w:spacing w:after="0"/>
              <w:jc w:val="center"/>
              <w:rPr>
                <w:rFonts w:ascii="宋体" w:hAnsi="宋体" w:eastAsia="宋体" w:cs="Times New Roman"/>
                <w:spacing w:val="-9"/>
                <w:sz w:val="18"/>
                <w:szCs w:val="18"/>
              </w:rPr>
            </w:pPr>
            <w:r>
              <w:rPr>
                <w:rFonts w:ascii="宋体" w:hAnsi="宋体" w:eastAsia="宋体" w:cs="Times New Roman"/>
                <w:spacing w:val="-9"/>
                <w:sz w:val="18"/>
                <w:szCs w:val="18"/>
              </w:rPr>
              <w:t>岩溶发育区</w:t>
            </w:r>
          </w:p>
        </w:tc>
        <w:tc>
          <w:tcPr>
            <w:tcW w:w="409" w:type="pct"/>
            <w:vAlign w:val="center"/>
          </w:tcPr>
          <w:p>
            <w:pPr>
              <w:pStyle w:val="230"/>
              <w:spacing w:after="0"/>
              <w:jc w:val="center"/>
              <w:rPr>
                <w:rFonts w:ascii="宋体" w:hAnsi="宋体" w:eastAsia="宋体" w:cs="Times New Roman"/>
                <w:spacing w:val="-9"/>
                <w:sz w:val="18"/>
                <w:szCs w:val="18"/>
              </w:rPr>
            </w:pPr>
            <w:r>
              <w:rPr>
                <w:rFonts w:ascii="宋体" w:hAnsi="宋体" w:eastAsia="宋体" w:cs="Times New Roman"/>
                <w:spacing w:val="-9"/>
                <w:sz w:val="18"/>
                <w:szCs w:val="18"/>
              </w:rPr>
              <w:t>采空区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8" w:hRule="atLeast"/>
        </w:trPr>
        <w:tc>
          <w:tcPr>
            <w:tcW w:w="419" w:type="pct"/>
            <w:vMerge w:val="restart"/>
            <w:vAlign w:val="center"/>
          </w:tcPr>
          <w:p>
            <w:pPr>
              <w:pStyle w:val="230"/>
              <w:spacing w:after="0"/>
              <w:jc w:val="center"/>
              <w:rPr>
                <w:rFonts w:ascii="宋体" w:hAnsi="宋体" w:eastAsia="宋体" w:cs="Times New Roman"/>
                <w:spacing w:val="-13"/>
                <w:sz w:val="18"/>
                <w:szCs w:val="18"/>
                <w:lang w:eastAsia="zh-CN"/>
              </w:rPr>
            </w:pPr>
            <w:r>
              <w:rPr>
                <w:rFonts w:ascii="宋体" w:hAnsi="宋体" w:eastAsia="宋体" w:cs="Times New Roman"/>
                <w:spacing w:val="-13"/>
                <w:sz w:val="18"/>
                <w:szCs w:val="18"/>
              </w:rPr>
              <w:t>变形</w:t>
            </w:r>
          </w:p>
          <w:p>
            <w:pPr>
              <w:pStyle w:val="230"/>
              <w:spacing w:after="0"/>
              <w:jc w:val="center"/>
              <w:rPr>
                <w:rFonts w:ascii="宋体" w:hAnsi="宋体" w:eastAsia="宋体" w:cs="Times New Roman"/>
                <w:sz w:val="18"/>
                <w:szCs w:val="18"/>
              </w:rPr>
            </w:pPr>
            <w:r>
              <w:rPr>
                <w:rFonts w:ascii="宋体" w:hAnsi="宋体" w:eastAsia="宋体" w:cs="Times New Roman"/>
                <w:spacing w:val="-9"/>
                <w:sz w:val="18"/>
                <w:szCs w:val="18"/>
              </w:rPr>
              <w:t>监测</w:t>
            </w:r>
          </w:p>
        </w:tc>
        <w:tc>
          <w:tcPr>
            <w:tcW w:w="984" w:type="pct"/>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4"/>
                <w:sz w:val="18"/>
                <w:szCs w:val="18"/>
              </w:rPr>
              <w:t>净空收敛</w:t>
            </w: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8" w:hRule="atLeast"/>
        </w:trPr>
        <w:tc>
          <w:tcPr>
            <w:tcW w:w="419" w:type="pct"/>
            <w:vMerge w:val="continue"/>
            <w:vAlign w:val="center"/>
          </w:tcPr>
          <w:p>
            <w:pPr>
              <w:spacing w:line="240" w:lineRule="auto"/>
              <w:jc w:val="center"/>
              <w:rPr>
                <w:rFonts w:ascii="宋体" w:hAnsi="宋体"/>
                <w:snapToGrid w:val="0"/>
                <w:color w:val="000000"/>
                <w:sz w:val="18"/>
                <w:szCs w:val="18"/>
              </w:rPr>
            </w:pPr>
          </w:p>
        </w:tc>
        <w:tc>
          <w:tcPr>
            <w:tcW w:w="984" w:type="pct"/>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3"/>
                <w:sz w:val="18"/>
                <w:szCs w:val="18"/>
              </w:rPr>
              <w:t>拱顶下沉</w:t>
            </w: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19" w:type="pct"/>
            <w:vMerge w:val="continue"/>
            <w:vAlign w:val="center"/>
          </w:tcPr>
          <w:p>
            <w:pPr>
              <w:spacing w:line="240" w:lineRule="auto"/>
              <w:jc w:val="center"/>
              <w:rPr>
                <w:rFonts w:ascii="宋体" w:hAnsi="宋体"/>
                <w:snapToGrid w:val="0"/>
                <w:color w:val="000000"/>
                <w:sz w:val="18"/>
                <w:szCs w:val="18"/>
              </w:rPr>
            </w:pPr>
          </w:p>
        </w:tc>
        <w:tc>
          <w:tcPr>
            <w:tcW w:w="984" w:type="pct"/>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3"/>
                <w:sz w:val="18"/>
                <w:szCs w:val="18"/>
              </w:rPr>
              <w:t>墙脚沉降</w:t>
            </w: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8" w:hRule="atLeast"/>
        </w:trPr>
        <w:tc>
          <w:tcPr>
            <w:tcW w:w="419" w:type="pct"/>
            <w:vMerge w:val="restart"/>
            <w:vAlign w:val="center"/>
          </w:tcPr>
          <w:p>
            <w:pPr>
              <w:pStyle w:val="230"/>
              <w:spacing w:after="0"/>
              <w:jc w:val="center"/>
              <w:rPr>
                <w:rFonts w:ascii="宋体" w:hAnsi="宋体" w:eastAsia="宋体" w:cs="Times New Roman"/>
                <w:spacing w:val="-10"/>
                <w:sz w:val="18"/>
                <w:szCs w:val="18"/>
                <w:lang w:eastAsia="zh-CN"/>
              </w:rPr>
            </w:pPr>
            <w:r>
              <w:rPr>
                <w:rFonts w:ascii="宋体" w:hAnsi="宋体" w:eastAsia="宋体" w:cs="Times New Roman"/>
                <w:spacing w:val="-10"/>
                <w:sz w:val="18"/>
                <w:szCs w:val="18"/>
              </w:rPr>
              <w:t>受力</w:t>
            </w:r>
          </w:p>
          <w:p>
            <w:pPr>
              <w:pStyle w:val="230"/>
              <w:spacing w:after="0"/>
              <w:jc w:val="center"/>
              <w:rPr>
                <w:rFonts w:ascii="宋体" w:hAnsi="宋体" w:eastAsia="宋体" w:cs="Times New Roman"/>
                <w:sz w:val="18"/>
                <w:szCs w:val="18"/>
              </w:rPr>
            </w:pPr>
            <w:r>
              <w:rPr>
                <w:rFonts w:ascii="宋体" w:hAnsi="宋体" w:eastAsia="宋体" w:cs="Times New Roman"/>
                <w:spacing w:val="-9"/>
                <w:sz w:val="18"/>
                <w:szCs w:val="18"/>
              </w:rPr>
              <w:t>监测</w:t>
            </w:r>
          </w:p>
        </w:tc>
        <w:tc>
          <w:tcPr>
            <w:tcW w:w="984" w:type="pct"/>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1"/>
                <w:sz w:val="18"/>
                <w:szCs w:val="18"/>
              </w:rPr>
              <w:t>衬砌外水压力</w:t>
            </w: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419" w:type="pct"/>
            <w:vMerge w:val="continue"/>
            <w:vAlign w:val="center"/>
          </w:tcPr>
          <w:p>
            <w:pPr>
              <w:spacing w:line="240" w:lineRule="auto"/>
              <w:jc w:val="center"/>
              <w:rPr>
                <w:rFonts w:ascii="宋体" w:hAnsi="宋体"/>
                <w:snapToGrid w:val="0"/>
                <w:color w:val="000000"/>
                <w:sz w:val="18"/>
                <w:szCs w:val="18"/>
              </w:rPr>
            </w:pPr>
          </w:p>
        </w:tc>
        <w:tc>
          <w:tcPr>
            <w:tcW w:w="984" w:type="pct"/>
            <w:vAlign w:val="center"/>
          </w:tcPr>
          <w:p>
            <w:pPr>
              <w:pStyle w:val="230"/>
              <w:spacing w:after="0"/>
              <w:jc w:val="center"/>
              <w:rPr>
                <w:rFonts w:ascii="宋体" w:hAnsi="宋体" w:eastAsia="宋体" w:cs="Times New Roman"/>
                <w:sz w:val="18"/>
                <w:szCs w:val="18"/>
              </w:rPr>
            </w:pPr>
            <w:r>
              <w:rPr>
                <w:rFonts w:ascii="宋体" w:hAnsi="宋体" w:eastAsia="宋体" w:cs="Times New Roman"/>
                <w:spacing w:val="-1"/>
                <w:sz w:val="18"/>
                <w:szCs w:val="18"/>
              </w:rPr>
              <w:t>衬砌</w:t>
            </w:r>
            <w:r>
              <w:rPr>
                <w:rFonts w:ascii="宋体" w:hAnsi="宋体" w:eastAsia="宋体" w:cs="Times New Roman"/>
                <w:spacing w:val="-1"/>
                <w:sz w:val="18"/>
                <w:szCs w:val="18"/>
                <w:lang w:eastAsia="zh-CN"/>
              </w:rPr>
              <w:t>混凝土表面应变</w:t>
            </w: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419" w:type="pct"/>
            <w:vMerge w:val="restart"/>
            <w:vAlign w:val="center"/>
          </w:tcPr>
          <w:p>
            <w:pPr>
              <w:spacing w:line="240" w:lineRule="auto"/>
              <w:jc w:val="center"/>
              <w:rPr>
                <w:rFonts w:ascii="宋体" w:hAnsi="宋体"/>
                <w:snapToGrid w:val="0"/>
                <w:color w:val="000000"/>
                <w:sz w:val="18"/>
                <w:szCs w:val="18"/>
              </w:rPr>
            </w:pPr>
            <w:r>
              <w:rPr>
                <w:rFonts w:ascii="宋体" w:hAnsi="宋体"/>
                <w:snapToGrid w:val="0"/>
                <w:color w:val="000000"/>
                <w:sz w:val="18"/>
                <w:szCs w:val="18"/>
              </w:rPr>
              <w:t>病害特征监测</w:t>
            </w:r>
          </w:p>
        </w:tc>
        <w:tc>
          <w:tcPr>
            <w:tcW w:w="984" w:type="pct"/>
            <w:vAlign w:val="center"/>
          </w:tcPr>
          <w:p>
            <w:pPr>
              <w:spacing w:line="240" w:lineRule="auto"/>
              <w:jc w:val="center"/>
              <w:rPr>
                <w:rFonts w:ascii="宋体" w:hAnsi="宋体"/>
                <w:sz w:val="18"/>
                <w:szCs w:val="18"/>
              </w:rPr>
            </w:pPr>
            <w:r>
              <w:rPr>
                <w:rFonts w:ascii="宋体" w:hAnsi="宋体"/>
                <w:sz w:val="18"/>
                <w:szCs w:val="18"/>
              </w:rPr>
              <w:t>衬砌裂缝</w:t>
            </w: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419" w:type="pct"/>
            <w:vMerge w:val="continue"/>
            <w:vAlign w:val="center"/>
          </w:tcPr>
          <w:p>
            <w:pPr>
              <w:spacing w:line="240" w:lineRule="auto"/>
              <w:jc w:val="center"/>
              <w:rPr>
                <w:rFonts w:ascii="宋体" w:hAnsi="宋体"/>
                <w:snapToGrid w:val="0"/>
                <w:color w:val="000000"/>
                <w:sz w:val="18"/>
                <w:szCs w:val="18"/>
              </w:rPr>
            </w:pPr>
          </w:p>
        </w:tc>
        <w:tc>
          <w:tcPr>
            <w:tcW w:w="984" w:type="pct"/>
            <w:vAlign w:val="center"/>
          </w:tcPr>
          <w:p>
            <w:pPr>
              <w:spacing w:line="240" w:lineRule="auto"/>
              <w:jc w:val="center"/>
              <w:rPr>
                <w:rFonts w:ascii="宋体" w:hAnsi="宋体"/>
                <w:sz w:val="18"/>
                <w:szCs w:val="18"/>
              </w:rPr>
            </w:pPr>
            <w:r>
              <w:rPr>
                <w:rFonts w:ascii="宋体" w:hAnsi="宋体"/>
                <w:sz w:val="18"/>
                <w:szCs w:val="18"/>
              </w:rPr>
              <w:t>渗漏水</w:t>
            </w:r>
          </w:p>
        </w:tc>
        <w:tc>
          <w:tcPr>
            <w:tcW w:w="567"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469" w:hRule="atLeast"/>
        </w:trPr>
        <w:tc>
          <w:tcPr>
            <w:tcW w:w="419" w:type="pct"/>
            <w:vMerge w:val="continue"/>
            <w:vAlign w:val="center"/>
          </w:tcPr>
          <w:p>
            <w:pPr>
              <w:spacing w:line="240" w:lineRule="auto"/>
              <w:jc w:val="center"/>
              <w:rPr>
                <w:rFonts w:ascii="宋体" w:hAnsi="宋体"/>
                <w:snapToGrid w:val="0"/>
                <w:color w:val="000000"/>
                <w:sz w:val="18"/>
                <w:szCs w:val="18"/>
              </w:rPr>
            </w:pPr>
          </w:p>
        </w:tc>
        <w:tc>
          <w:tcPr>
            <w:tcW w:w="984" w:type="pct"/>
            <w:vAlign w:val="center"/>
          </w:tcPr>
          <w:p>
            <w:pPr>
              <w:spacing w:line="240" w:lineRule="auto"/>
              <w:jc w:val="center"/>
              <w:rPr>
                <w:rFonts w:ascii="宋体" w:hAnsi="宋体"/>
                <w:sz w:val="18"/>
                <w:szCs w:val="18"/>
              </w:rPr>
            </w:pPr>
            <w:r>
              <w:rPr>
                <w:rFonts w:hint="eastAsia" w:ascii="宋体" w:hAnsi="宋体"/>
                <w:sz w:val="18"/>
                <w:szCs w:val="18"/>
              </w:rPr>
              <w:t>路面</w:t>
            </w:r>
            <w:r>
              <w:rPr>
                <w:rFonts w:ascii="宋体" w:hAnsi="宋体"/>
                <w:sz w:val="18"/>
                <w:szCs w:val="18"/>
              </w:rPr>
              <w:t>隆沉</w:t>
            </w:r>
          </w:p>
        </w:tc>
        <w:tc>
          <w:tcPr>
            <w:tcW w:w="567"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469" w:hRule="atLeast"/>
        </w:trPr>
        <w:tc>
          <w:tcPr>
            <w:tcW w:w="419" w:type="pct"/>
            <w:vMerge w:val="continue"/>
            <w:vAlign w:val="center"/>
          </w:tcPr>
          <w:p>
            <w:pPr>
              <w:spacing w:line="240" w:lineRule="auto"/>
              <w:jc w:val="center"/>
              <w:rPr>
                <w:rFonts w:ascii="宋体" w:hAnsi="宋体"/>
                <w:snapToGrid w:val="0"/>
                <w:color w:val="000000"/>
                <w:sz w:val="18"/>
                <w:szCs w:val="18"/>
              </w:rPr>
            </w:pPr>
          </w:p>
        </w:tc>
        <w:tc>
          <w:tcPr>
            <w:tcW w:w="984" w:type="pct"/>
            <w:vAlign w:val="center"/>
          </w:tcPr>
          <w:p>
            <w:pPr>
              <w:spacing w:line="240" w:lineRule="auto"/>
              <w:jc w:val="center"/>
              <w:rPr>
                <w:rFonts w:hint="eastAsia" w:ascii="宋体" w:hAnsi="宋体"/>
                <w:sz w:val="18"/>
                <w:szCs w:val="18"/>
              </w:rPr>
            </w:pPr>
            <w:r>
              <w:rPr>
                <w:rFonts w:hint="eastAsia" w:ascii="宋体" w:hAnsi="宋体"/>
                <w:spacing w:val="-2"/>
                <w:sz w:val="18"/>
                <w:szCs w:val="18"/>
              </w:rPr>
              <w:t>围岩内部</w:t>
            </w:r>
            <w:r>
              <w:rPr>
                <w:rFonts w:ascii="宋体" w:hAnsi="宋体"/>
                <w:spacing w:val="-2"/>
                <w:sz w:val="18"/>
                <w:szCs w:val="18"/>
              </w:rPr>
              <w:t>位移</w:t>
            </w:r>
          </w:p>
        </w:tc>
        <w:tc>
          <w:tcPr>
            <w:tcW w:w="567"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42"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03"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430"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573"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c>
          <w:tcPr>
            <w:tcW w:w="409" w:type="pct"/>
            <w:vAlign w:val="center"/>
          </w:tcPr>
          <w:p>
            <w:pPr>
              <w:pStyle w:val="230"/>
              <w:spacing w:after="0"/>
              <w:jc w:val="center"/>
              <w:rPr>
                <w:rFonts w:ascii="宋体" w:hAnsi="宋体" w:eastAsia="宋体" w:cs="Times New Roman"/>
                <w:position w:val="1"/>
                <w:sz w:val="18"/>
                <w:szCs w:val="18"/>
              </w:rPr>
            </w:pPr>
            <w:r>
              <w:rPr>
                <w:rFonts w:ascii="宋体" w:hAnsi="宋体" w:eastAsia="宋体" w:cs="Times New Roman"/>
                <w:position w:val="1"/>
                <w:sz w:val="18"/>
                <w:szCs w:val="18"/>
              </w:rPr>
              <w:t>○</w:t>
            </w:r>
          </w:p>
        </w:tc>
      </w:tr>
    </w:tbl>
    <w:p>
      <w:pPr>
        <w:pStyle w:val="56"/>
        <w:ind w:firstLine="0" w:firstLineChars="0"/>
        <w:rPr>
          <w:rFonts w:hAnsi="宋体"/>
          <w:spacing w:val="-10"/>
          <w:sz w:val="18"/>
          <w:szCs w:val="18"/>
        </w:rPr>
      </w:pPr>
      <w:r>
        <w:rPr>
          <w:rFonts w:hAnsi="宋体"/>
          <w:spacing w:val="-10"/>
          <w:sz w:val="18"/>
          <w:szCs w:val="18"/>
        </w:rPr>
        <w:t>注：</w:t>
      </w:r>
      <w:r>
        <w:rPr>
          <w:rFonts w:hAnsi="宋体"/>
          <w:spacing w:val="-57"/>
          <w:sz w:val="18"/>
          <w:szCs w:val="18"/>
        </w:rPr>
        <w:t xml:space="preserve"> </w:t>
      </w:r>
      <w:r>
        <w:rPr>
          <w:rFonts w:hAnsi="宋体"/>
          <w:spacing w:val="-10"/>
          <w:sz w:val="18"/>
          <w:szCs w:val="18"/>
        </w:rPr>
        <w:t>●为必测项，</w:t>
      </w:r>
      <w:r>
        <w:rPr>
          <w:rFonts w:hAnsi="宋体"/>
          <w:spacing w:val="-77"/>
          <w:sz w:val="18"/>
          <w:szCs w:val="18"/>
        </w:rPr>
        <w:t xml:space="preserve"> </w:t>
      </w:r>
      <w:r>
        <w:rPr>
          <w:rFonts w:hAnsi="宋体"/>
          <w:spacing w:val="-10"/>
          <w:sz w:val="18"/>
          <w:szCs w:val="18"/>
        </w:rPr>
        <w:t>○为选测项。</w:t>
      </w:r>
    </w:p>
    <w:p>
      <w:pPr>
        <w:pStyle w:val="105"/>
        <w:spacing w:before="156" w:after="156"/>
        <w:ind w:left="0"/>
      </w:pPr>
      <w:bookmarkStart w:id="115" w:name="_Toc199250260"/>
      <w:bookmarkStart w:id="116" w:name="_Toc199250340"/>
      <w:r>
        <w:t>测点布置</w:t>
      </w:r>
      <w:bookmarkEnd w:id="115"/>
      <w:bookmarkEnd w:id="116"/>
    </w:p>
    <w:p>
      <w:pPr>
        <w:pStyle w:val="165"/>
      </w:pPr>
      <w:r>
        <w:t>隧道衬砌结构变形监测断面测点</w:t>
      </w:r>
      <w:r>
        <w:rPr>
          <w:rFonts w:hint="eastAsia"/>
        </w:rPr>
        <w:t>应对称</w:t>
      </w:r>
      <w:r>
        <w:t>布设在拱顶、</w:t>
      </w:r>
      <w:r>
        <w:rPr>
          <w:rFonts w:hint="eastAsia"/>
        </w:rPr>
        <w:t>拱腰</w:t>
      </w:r>
      <w:r>
        <w:t>与边墙部位，单洞三车道隧道</w:t>
      </w:r>
      <w:r>
        <w:rPr>
          <w:rFonts w:hint="eastAsia"/>
        </w:rPr>
        <w:t>宜</w:t>
      </w:r>
      <w:r>
        <w:t>在边墙部位增加测点，并应满足下列要求：</w:t>
      </w:r>
    </w:p>
    <w:p>
      <w:pPr>
        <w:pStyle w:val="132"/>
        <w:rPr>
          <w:rFonts w:hint="eastAsia"/>
        </w:rPr>
      </w:pPr>
      <w:r>
        <w:t>净空收敛、拱顶下沉每个</w:t>
      </w:r>
      <w:r>
        <w:rPr>
          <w:rFonts w:hint="eastAsia"/>
        </w:rPr>
        <w:t>监测</w:t>
      </w:r>
      <w:r>
        <w:t>断面不少于3个监测点</w:t>
      </w:r>
      <w:r>
        <w:rPr>
          <w:rFonts w:hint="eastAsia"/>
        </w:rPr>
        <w:t>；</w:t>
      </w:r>
    </w:p>
    <w:p>
      <w:pPr>
        <w:pStyle w:val="132"/>
        <w:rPr>
          <w:rFonts w:hint="eastAsia"/>
        </w:rPr>
      </w:pPr>
      <w:r>
        <w:t>墙角沉降测点在两侧墙脚对称布设。</w:t>
      </w:r>
    </w:p>
    <w:p>
      <w:pPr>
        <w:pStyle w:val="165"/>
      </w:pPr>
      <w:r>
        <w:t>隧道衬砌结构受力监测断面测点</w:t>
      </w:r>
      <w:r>
        <w:rPr>
          <w:rFonts w:hint="eastAsia"/>
        </w:rPr>
        <w:t>应对称</w:t>
      </w:r>
      <w:r>
        <w:t>布设在拱顶、拱</w:t>
      </w:r>
      <w:r>
        <w:rPr>
          <w:rFonts w:hint="eastAsia"/>
        </w:rPr>
        <w:t>腰</w:t>
      </w:r>
      <w:r>
        <w:t>与边墙部位，单洞三车道隧道</w:t>
      </w:r>
      <w:r>
        <w:rPr>
          <w:rFonts w:hint="eastAsia"/>
        </w:rPr>
        <w:t>宜</w:t>
      </w:r>
      <w:r>
        <w:t>在边墙部位增加测点，并应满足下列要求：</w:t>
      </w:r>
    </w:p>
    <w:p>
      <w:pPr>
        <w:pStyle w:val="132"/>
        <w:rPr>
          <w:rFonts w:hint="eastAsia"/>
        </w:rPr>
      </w:pPr>
      <w:r>
        <w:t>衬砌混凝土表面应变监测断面不少于2个，每个监测断面不少于3个监测点，且应避开施工缝、沉降缝等接缝</w:t>
      </w:r>
      <w:r>
        <w:rPr>
          <w:rFonts w:hint="eastAsia"/>
        </w:rPr>
        <w:t>；</w:t>
      </w:r>
    </w:p>
    <w:p>
      <w:pPr>
        <w:pStyle w:val="132"/>
      </w:pPr>
      <w:r>
        <w:t>衬砌外水压力监测断面不少于2个，每个监测断面不少于3个监测点，测点</w:t>
      </w:r>
      <w:r>
        <w:rPr>
          <w:rFonts w:hint="eastAsia"/>
        </w:rPr>
        <w:t>应</w:t>
      </w:r>
      <w:r>
        <w:t>布设在防水板外侧边墙、墙脚处，且在墙脚布设至少1个监测点；高水压引起衬砌裂缝时，在病害中心位置附近墙脚处钻孔埋设，钻孔时设置防突水装置。</w:t>
      </w:r>
    </w:p>
    <w:p>
      <w:pPr>
        <w:pStyle w:val="165"/>
      </w:pPr>
      <w:r>
        <w:t>衬砌裂缝监测应选取代表性裂缝进行监测，并应满足下列要求：</w:t>
      </w:r>
    </w:p>
    <w:p>
      <w:pPr>
        <w:pStyle w:val="132"/>
      </w:pPr>
      <w:r>
        <w:t>裂缝宽度监测点</w:t>
      </w:r>
      <w:r>
        <w:rPr>
          <w:rFonts w:hint="eastAsia"/>
        </w:rPr>
        <w:t>应</w:t>
      </w:r>
      <w:r>
        <w:t>布设在裂缝最宽处；</w:t>
      </w:r>
    </w:p>
    <w:p>
      <w:pPr>
        <w:pStyle w:val="132"/>
      </w:pPr>
      <w:bookmarkStart w:id="117" w:name="_Hlk60246020"/>
      <w:r>
        <w:t>裂缝长度</w:t>
      </w:r>
      <w:r>
        <w:rPr>
          <w:rFonts w:hint="eastAsia"/>
        </w:rPr>
        <w:t>宜采用尖端标记法监测</w:t>
      </w:r>
      <w:r>
        <w:t>；</w:t>
      </w:r>
    </w:p>
    <w:bookmarkEnd w:id="117"/>
    <w:p>
      <w:pPr>
        <w:pStyle w:val="132"/>
      </w:pPr>
      <w:r>
        <w:t>裂缝错台量监测点</w:t>
      </w:r>
      <w:r>
        <w:rPr>
          <w:rFonts w:hint="eastAsia"/>
        </w:rPr>
        <w:t>应</w:t>
      </w:r>
      <w:r>
        <w:t>布设在最大错台处，环形裂缝的错台量监测点不</w:t>
      </w:r>
      <w:r>
        <w:rPr>
          <w:rFonts w:hint="eastAsia"/>
        </w:rPr>
        <w:t>应</w:t>
      </w:r>
      <w:r>
        <w:t>少于2个。</w:t>
      </w:r>
    </w:p>
    <w:p>
      <w:pPr>
        <w:pStyle w:val="165"/>
      </w:pPr>
      <w:r>
        <w:t>衬砌渗漏水监测应选取代表性渗漏水点进行监测，渗漏水测点</w:t>
      </w:r>
      <w:r>
        <w:rPr>
          <w:rFonts w:hint="eastAsia"/>
        </w:rPr>
        <w:t>应</w:t>
      </w:r>
      <w:r>
        <w:t>布设在渗漏水中心区。</w:t>
      </w:r>
    </w:p>
    <w:p>
      <w:pPr>
        <w:pStyle w:val="165"/>
      </w:pPr>
      <w:r>
        <w:t>路面隆沉监测断面测点</w:t>
      </w:r>
      <w:r>
        <w:rPr>
          <w:rFonts w:hint="eastAsia"/>
        </w:rPr>
        <w:t>应对称</w:t>
      </w:r>
      <w:r>
        <w:t>布设在</w:t>
      </w:r>
      <w:r>
        <w:rPr>
          <w:rFonts w:hint="eastAsia"/>
        </w:rPr>
        <w:t>路面中线及车道边缘线两侧，</w:t>
      </w:r>
      <w:r>
        <w:t>并应满足下列要求：</w:t>
      </w:r>
    </w:p>
    <w:p>
      <w:pPr>
        <w:pStyle w:val="132"/>
        <w:rPr>
          <w:rFonts w:hint="eastAsia"/>
        </w:rPr>
      </w:pPr>
      <w:r>
        <w:t>每个</w:t>
      </w:r>
      <w:r>
        <w:rPr>
          <w:rFonts w:hint="eastAsia"/>
        </w:rPr>
        <w:t>监测</w:t>
      </w:r>
      <w:r>
        <w:t>断面不少于3个监测点</w:t>
      </w:r>
      <w:r>
        <w:rPr>
          <w:rFonts w:hint="eastAsia"/>
        </w:rPr>
        <w:t>，病害严重时宜加密监测点；</w:t>
      </w:r>
    </w:p>
    <w:p>
      <w:pPr>
        <w:pStyle w:val="132"/>
      </w:pPr>
      <w:r>
        <w:rPr>
          <w:rFonts w:hint="eastAsia"/>
        </w:rPr>
        <w:t>监测断面宜与净空收敛、拱顶下沉、墙角沉降布设在同一断面；</w:t>
      </w:r>
    </w:p>
    <w:p>
      <w:pPr>
        <w:pStyle w:val="165"/>
        <w:rPr>
          <w:rFonts w:ascii="Times New Roman"/>
        </w:rPr>
      </w:pPr>
      <w:bookmarkStart w:id="118" w:name="_Toc199250341"/>
      <w:bookmarkStart w:id="119" w:name="_Toc199250261"/>
      <w:r>
        <w:rPr>
          <w:rFonts w:hint="eastAsia"/>
        </w:rPr>
        <w:t>围岩内部位移监测</w:t>
      </w:r>
      <w:r>
        <w:t>应满足</w:t>
      </w:r>
      <w:r>
        <w:rPr>
          <w:rFonts w:ascii="Times New Roman"/>
        </w:rPr>
        <w:t>下列要求：</w:t>
      </w:r>
      <w:bookmarkEnd w:id="118"/>
      <w:bookmarkEnd w:id="119"/>
    </w:p>
    <w:p>
      <w:pPr>
        <w:pStyle w:val="132"/>
      </w:pPr>
      <w:r>
        <w:rPr>
          <w:rFonts w:hint="eastAsia"/>
        </w:rPr>
        <w:t>围岩内部位移</w:t>
      </w:r>
      <w:r>
        <w:t>监测点应</w:t>
      </w:r>
      <w:r>
        <w:rPr>
          <w:rFonts w:hint="eastAsia"/>
        </w:rPr>
        <w:t>选取代表性位置</w:t>
      </w:r>
      <w:r>
        <w:t>钻孔埋设</w:t>
      </w:r>
      <w:r>
        <w:rPr>
          <w:rFonts w:hint="eastAsia"/>
        </w:rPr>
        <w:t>，</w:t>
      </w:r>
      <w:r>
        <w:t>每测孔不少于5个监测点，监测点间距不大于2m</w:t>
      </w:r>
      <w:r>
        <w:rPr>
          <w:rFonts w:hint="eastAsia"/>
        </w:rPr>
        <w:t>；</w:t>
      </w:r>
    </w:p>
    <w:p>
      <w:pPr>
        <w:pStyle w:val="132"/>
      </w:pPr>
      <w:r>
        <w:rPr>
          <w:rFonts w:hint="eastAsia"/>
        </w:rPr>
        <w:t>隧道路面存在隆沉时，宜对隧底围岩内部位移进行监测，</w:t>
      </w:r>
      <w:r>
        <w:t>监测点宜在路面隆沉量最大处钻孔埋设，钻孔深度应至仰拱或仰拱结构以下3m，每个测孔不宜少于3个监测点，监测点宜布设在介质分层处。</w:t>
      </w:r>
    </w:p>
    <w:p>
      <w:pPr>
        <w:pStyle w:val="104"/>
        <w:spacing w:before="312" w:after="312"/>
      </w:pPr>
      <w:bookmarkStart w:id="120" w:name="_Toc199250342"/>
      <w:bookmarkStart w:id="121" w:name="_Toc199250262"/>
      <w:r>
        <w:t>隧道</w:t>
      </w:r>
      <w:r>
        <w:rPr>
          <w:rFonts w:hint="eastAsia"/>
        </w:rPr>
        <w:t>洞内外气候环境</w:t>
      </w:r>
      <w:r>
        <w:t>监测</w:t>
      </w:r>
      <w:bookmarkEnd w:id="120"/>
      <w:bookmarkEnd w:id="121"/>
    </w:p>
    <w:p>
      <w:pPr>
        <w:pStyle w:val="56"/>
        <w:ind w:firstLine="420"/>
      </w:pPr>
      <w:r>
        <w:t>隧道洞内外气候环境监测按《公路长大隧道结构监测系统试点建设技术指南》、DB62/T 4972执行。</w:t>
      </w:r>
    </w:p>
    <w:p>
      <w:pPr>
        <w:pStyle w:val="104"/>
        <w:spacing w:before="312" w:after="312"/>
      </w:pPr>
      <w:bookmarkStart w:id="122" w:name="_Toc199250343"/>
      <w:bookmarkStart w:id="123" w:name="_Toc199250263"/>
      <w:bookmarkStart w:id="124" w:name="_Toc198752834"/>
      <w:bookmarkStart w:id="125" w:name="_Toc171428748"/>
      <w:r>
        <w:t>隧道机电设施运行状况监测</w:t>
      </w:r>
      <w:bookmarkEnd w:id="122"/>
      <w:bookmarkEnd w:id="123"/>
      <w:bookmarkEnd w:id="124"/>
    </w:p>
    <w:p>
      <w:pPr>
        <w:pStyle w:val="105"/>
        <w:spacing w:before="156" w:after="156"/>
        <w:ind w:left="0"/>
      </w:pPr>
      <w:bookmarkStart w:id="126" w:name="_Toc199250264"/>
      <w:bookmarkStart w:id="127" w:name="_Toc199250344"/>
      <w:r>
        <w:t>一般规定</w:t>
      </w:r>
      <w:bookmarkEnd w:id="126"/>
      <w:bookmarkEnd w:id="127"/>
    </w:p>
    <w:p>
      <w:pPr>
        <w:pStyle w:val="165"/>
      </w:pPr>
      <w:r>
        <w:t>隧道机电设施运行状况监测应采用物联网、数据融合等技术，对隧道机电设施的运行参数、工作状态等进行实时监测和精准记录。</w:t>
      </w:r>
    </w:p>
    <w:p>
      <w:pPr>
        <w:pStyle w:val="165"/>
      </w:pPr>
      <w:r>
        <w:t>隧道机电设施运行状况监测应对隧道供配电系统、隧道监控系统、隧道通风系统和隧道消防系统的主要机电设施进行监测。</w:t>
      </w:r>
    </w:p>
    <w:p>
      <w:pPr>
        <w:pStyle w:val="165"/>
      </w:pPr>
      <w:r>
        <w:t>监测数据宜通过以太网、RS485、CAN总线或无线传输等方式实时上传。</w:t>
      </w:r>
    </w:p>
    <w:p>
      <w:pPr>
        <w:pStyle w:val="165"/>
      </w:pPr>
      <w:r>
        <w:t>隧道机电设施运行状况监测应符合JTG D70/2等相关规范要求。</w:t>
      </w:r>
    </w:p>
    <w:p>
      <w:pPr>
        <w:pStyle w:val="105"/>
        <w:spacing w:before="156" w:after="156"/>
        <w:ind w:left="0"/>
        <w:rPr>
          <w:rFonts w:eastAsia="宋体"/>
        </w:rPr>
      </w:pPr>
      <w:bookmarkStart w:id="128" w:name="_Toc199250265"/>
      <w:bookmarkStart w:id="129" w:name="_Toc199250345"/>
      <w:r>
        <w:t>隧道供配电设施监测内容及方法</w:t>
      </w:r>
      <w:bookmarkEnd w:id="128"/>
      <w:bookmarkEnd w:id="129"/>
    </w:p>
    <w:p>
      <w:pPr>
        <w:pStyle w:val="56"/>
        <w:ind w:firstLine="420"/>
      </w:pPr>
      <w:r>
        <w:t>隧道供配电设施监测内容及方法</w:t>
      </w:r>
      <w:r>
        <w:rPr>
          <w:rFonts w:hint="eastAsia"/>
        </w:rPr>
        <w:t>应</w:t>
      </w:r>
      <w:r>
        <w:t>按照表7执行。</w:t>
      </w:r>
    </w:p>
    <w:p>
      <w:pPr>
        <w:pStyle w:val="112"/>
        <w:widowControl w:val="0"/>
        <w:spacing w:before="156" w:after="156"/>
        <w:rPr>
          <w:rFonts w:ascii="Times New Roman"/>
        </w:rPr>
      </w:pPr>
      <w:r>
        <w:rPr>
          <w:rFonts w:ascii="Times New Roman"/>
        </w:rPr>
        <w:t>隧道供配电设施监测内容及方法</w:t>
      </w:r>
    </w:p>
    <w:tbl>
      <w:tblPr>
        <w:tblStyle w:val="26"/>
        <w:tblW w:w="94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73"/>
        <w:gridCol w:w="3827"/>
        <w:gridCol w:w="41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473" w:type="dxa"/>
            <w:tcBorders>
              <w:top w:val="single" w:color="auto" w:sz="12" w:space="0"/>
              <w:left w:val="single" w:color="auto" w:sz="12"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监测对象</w:t>
            </w:r>
          </w:p>
        </w:tc>
        <w:tc>
          <w:tcPr>
            <w:tcW w:w="3827" w:type="dxa"/>
            <w:tcBorders>
              <w:top w:val="single" w:color="auto" w:sz="12" w:space="0"/>
              <w:left w:val="single" w:color="auto" w:sz="6"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监测内容</w:t>
            </w:r>
          </w:p>
        </w:tc>
        <w:tc>
          <w:tcPr>
            <w:tcW w:w="4164" w:type="dxa"/>
            <w:tcBorders>
              <w:top w:val="single" w:color="auto" w:sz="12" w:space="0"/>
              <w:left w:val="single" w:color="auto" w:sz="6" w:space="0"/>
              <w:bottom w:val="single" w:color="auto" w:sz="6" w:space="0"/>
              <w:right w:val="single" w:color="auto" w:sz="12"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监测方法或设备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73" w:type="dxa"/>
            <w:vMerge w:val="restart"/>
            <w:tcBorders>
              <w:top w:val="single" w:color="auto" w:sz="6" w:space="0"/>
              <w:left w:val="single" w:color="auto" w:sz="12"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高、低压开</w:t>
            </w:r>
          </w:p>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关柜</w:t>
            </w:r>
          </w:p>
        </w:tc>
        <w:tc>
          <w:tcPr>
            <w:tcW w:w="3827"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三相电压电流、有功功率、无功功率、</w:t>
            </w:r>
          </w:p>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功率因数、频率等</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eastAsia="仿宋_GB2312"/>
                <w:sz w:val="18"/>
                <w:szCs w:val="18"/>
              </w:rPr>
            </w:pPr>
            <w:r>
              <w:rPr>
                <w:rFonts w:ascii="Times New Roman" w:hAnsi="Times New Roman"/>
                <w:spacing w:val="-3"/>
                <w:sz w:val="18"/>
                <w:szCs w:val="18"/>
              </w:rPr>
              <w:t>电力监控仪表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3" w:type="dxa"/>
            <w:vMerge w:val="continue"/>
            <w:tcBorders>
              <w:left w:val="single" w:color="auto" w:sz="12" w:space="0"/>
              <w:bottom w:val="single" w:color="auto" w:sz="6" w:space="0"/>
              <w:right w:val="single" w:color="auto" w:sz="6" w:space="0"/>
            </w:tcBorders>
            <w:vAlign w:val="center"/>
          </w:tcPr>
          <w:p>
            <w:pPr>
              <w:widowControl/>
              <w:jc w:val="left"/>
              <w:rPr>
                <w:rFonts w:ascii="Times New Roman" w:hAnsi="Times New Roman"/>
                <w:sz w:val="18"/>
                <w:szCs w:val="18"/>
              </w:rPr>
            </w:pPr>
          </w:p>
        </w:tc>
        <w:tc>
          <w:tcPr>
            <w:tcW w:w="3827" w:type="dxa"/>
            <w:tcBorders>
              <w:top w:val="single" w:color="auto" w:sz="6" w:space="0"/>
              <w:left w:val="single" w:color="auto" w:sz="6"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进出线开关位置、故障状态</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pacing w:val="-3"/>
                <w:sz w:val="18"/>
                <w:szCs w:val="18"/>
              </w:rPr>
              <w:t>电力监控仪表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3" w:type="dxa"/>
            <w:tcBorders>
              <w:top w:val="single" w:color="auto" w:sz="6" w:space="0"/>
              <w:left w:val="single" w:color="auto" w:sz="12"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应急电源</w:t>
            </w:r>
          </w:p>
        </w:tc>
        <w:tc>
          <w:tcPr>
            <w:tcW w:w="3827"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输入电压电流、输出电压电</w:t>
            </w:r>
            <w:r>
              <w:rPr>
                <w:rFonts w:hint="eastAsia" w:ascii="Times New Roman" w:hAnsi="Times New Roman" w:eastAsia="宋体" w:cs="Times New Roman"/>
                <w:spacing w:val="-3"/>
                <w:sz w:val="18"/>
                <w:szCs w:val="18"/>
                <w:lang w:val="en-US" w:eastAsia="zh-CN"/>
              </w:rPr>
              <w:t>流</w:t>
            </w:r>
            <w:r>
              <w:rPr>
                <w:rFonts w:ascii="Times New Roman" w:hAnsi="Times New Roman" w:eastAsia="宋体" w:cs="Times New Roman"/>
                <w:spacing w:val="-3"/>
                <w:sz w:val="18"/>
                <w:szCs w:val="18"/>
                <w:lang w:val="en-US" w:eastAsia="zh-CN"/>
              </w:rPr>
              <w:t>、输出频率、充电电流、蓄电池电压、蓄电池温度</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pacing w:val="-3"/>
                <w:sz w:val="18"/>
                <w:szCs w:val="18"/>
              </w:rPr>
              <w:t>电力监控仪表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3" w:type="dxa"/>
            <w:tcBorders>
              <w:top w:val="single" w:color="auto" w:sz="6" w:space="0"/>
              <w:left w:val="single" w:color="auto" w:sz="12"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电力变压器</w:t>
            </w:r>
          </w:p>
        </w:tc>
        <w:tc>
          <w:tcPr>
            <w:tcW w:w="3827"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变压器温度、风机启动信号、接地状态、</w:t>
            </w:r>
          </w:p>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工作状态、三相电压电流</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pacing w:val="-3"/>
                <w:sz w:val="18"/>
                <w:szCs w:val="18"/>
              </w:rPr>
              <w:t>电力监控仪表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3" w:type="dxa"/>
            <w:tcBorders>
              <w:top w:val="single" w:color="auto" w:sz="6" w:space="0"/>
              <w:left w:val="single" w:color="auto" w:sz="12"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柴油发电机组</w:t>
            </w:r>
          </w:p>
        </w:tc>
        <w:tc>
          <w:tcPr>
            <w:tcW w:w="3827"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工作状态、输出功率、输出电压电流、</w:t>
            </w:r>
          </w:p>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油压、电池容量</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pacing w:val="-3"/>
                <w:sz w:val="18"/>
                <w:szCs w:val="18"/>
              </w:rPr>
              <w:t>电力监控仪表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73" w:type="dxa"/>
            <w:tcBorders>
              <w:top w:val="single" w:color="auto" w:sz="6" w:space="0"/>
              <w:left w:val="single" w:color="auto" w:sz="12"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照明调光控制</w:t>
            </w:r>
          </w:p>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系统</w:t>
            </w:r>
          </w:p>
        </w:tc>
        <w:tc>
          <w:tcPr>
            <w:tcW w:w="3827"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工作状态、输出控制信号</w:t>
            </w:r>
          </w:p>
        </w:tc>
        <w:tc>
          <w:tcPr>
            <w:tcW w:w="4164" w:type="dxa"/>
            <w:tcBorders>
              <w:top w:val="single" w:color="auto" w:sz="6" w:space="0"/>
              <w:left w:val="single" w:color="auto" w:sz="6" w:space="0"/>
              <w:bottom w:val="single" w:color="auto" w:sz="6" w:space="0"/>
              <w:right w:val="single" w:color="auto" w:sz="12" w:space="0"/>
            </w:tcBorders>
            <w:vAlign w:val="center"/>
          </w:tcPr>
          <w:p>
            <w:pPr>
              <w:jc w:val="center"/>
              <w:textAlignment w:val="center"/>
              <w:rPr>
                <w:rFonts w:ascii="Times New Roman" w:hAnsi="Times New Roman"/>
                <w:sz w:val="18"/>
                <w:szCs w:val="18"/>
              </w:rPr>
            </w:pPr>
            <w:r>
              <w:rPr>
                <w:rFonts w:ascii="Times New Roman" w:hAnsi="Times New Roman"/>
                <w:spacing w:val="-3"/>
                <w:sz w:val="18"/>
                <w:szCs w:val="18"/>
              </w:rPr>
              <w:t>电力监控仪表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5300" w:type="dxa"/>
            <w:gridSpan w:val="2"/>
            <w:tcBorders>
              <w:top w:val="single" w:color="auto" w:sz="6" w:space="0"/>
              <w:left w:val="single" w:color="auto" w:sz="12" w:space="0"/>
              <w:bottom w:val="single" w:color="auto" w:sz="12"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隧道变电所</w:t>
            </w:r>
          </w:p>
        </w:tc>
        <w:tc>
          <w:tcPr>
            <w:tcW w:w="4164" w:type="dxa"/>
            <w:tcBorders>
              <w:top w:val="single" w:color="auto" w:sz="6" w:space="0"/>
              <w:left w:val="single" w:color="auto" w:sz="6" w:space="0"/>
              <w:bottom w:val="single" w:color="auto" w:sz="12"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温湿度</w:t>
            </w:r>
            <w:r>
              <w:rPr>
                <w:rFonts w:hint="eastAsia" w:ascii="Times New Roman" w:hAnsi="Times New Roman" w:eastAsia="宋体" w:cs="Times New Roman"/>
                <w:spacing w:val="-3"/>
                <w:sz w:val="18"/>
                <w:szCs w:val="18"/>
                <w:lang w:val="en-US" w:eastAsia="zh-CN"/>
              </w:rPr>
              <w:t>监测</w:t>
            </w:r>
            <w:r>
              <w:rPr>
                <w:rFonts w:ascii="Times New Roman" w:hAnsi="Times New Roman" w:eastAsia="宋体" w:cs="Times New Roman"/>
                <w:spacing w:val="-3"/>
                <w:sz w:val="18"/>
                <w:szCs w:val="18"/>
                <w:lang w:val="en-US" w:eastAsia="zh-CN"/>
              </w:rPr>
              <w:t>、漏水</w:t>
            </w:r>
            <w:r>
              <w:rPr>
                <w:rFonts w:hint="eastAsia" w:ascii="Times New Roman" w:hAnsi="Times New Roman" w:eastAsia="宋体" w:cs="Times New Roman"/>
                <w:spacing w:val="-3"/>
                <w:sz w:val="18"/>
                <w:szCs w:val="18"/>
                <w:lang w:val="en-US" w:eastAsia="zh-CN"/>
              </w:rPr>
              <w:t>监测</w:t>
            </w:r>
            <w:r>
              <w:rPr>
                <w:rFonts w:ascii="Times New Roman" w:hAnsi="Times New Roman" w:eastAsia="宋体" w:cs="Times New Roman"/>
                <w:spacing w:val="-3"/>
                <w:sz w:val="18"/>
                <w:szCs w:val="18"/>
                <w:lang w:val="en-US" w:eastAsia="zh-CN"/>
              </w:rPr>
              <w:t>、烟雾探测、</w:t>
            </w:r>
          </w:p>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入侵检测、门磁监控等</w:t>
            </w:r>
          </w:p>
        </w:tc>
      </w:tr>
    </w:tbl>
    <w:p>
      <w:pPr>
        <w:pStyle w:val="105"/>
        <w:widowControl w:val="0"/>
        <w:spacing w:before="156" w:after="156" w:line="400" w:lineRule="exact"/>
        <w:ind w:left="0"/>
        <w:rPr>
          <w:rFonts w:ascii="Times New Roman"/>
          <w:kern w:val="2"/>
          <w:szCs w:val="22"/>
        </w:rPr>
      </w:pPr>
      <w:bookmarkStart w:id="130" w:name="_Toc199250266"/>
      <w:bookmarkStart w:id="131" w:name="_Toc199250346"/>
      <w:r>
        <w:rPr>
          <w:rFonts w:ascii="Times New Roman"/>
          <w:kern w:val="2"/>
          <w:szCs w:val="22"/>
        </w:rPr>
        <w:t>隧道监控设施监测内容及方法</w:t>
      </w:r>
      <w:bookmarkEnd w:id="130"/>
      <w:bookmarkEnd w:id="131"/>
    </w:p>
    <w:p>
      <w:pPr>
        <w:pStyle w:val="56"/>
        <w:ind w:firstLine="420"/>
      </w:pPr>
      <w:r>
        <w:t>隧道监控设施监测内容及方法</w:t>
      </w:r>
      <w:r>
        <w:rPr>
          <w:rFonts w:hint="eastAsia"/>
        </w:rPr>
        <w:t>应</w:t>
      </w:r>
      <w:r>
        <w:t>按照表8执行。</w:t>
      </w:r>
    </w:p>
    <w:p>
      <w:pPr>
        <w:pStyle w:val="112"/>
        <w:widowControl w:val="0"/>
        <w:spacing w:before="156" w:after="156"/>
        <w:rPr>
          <w:rFonts w:ascii="Times New Roman"/>
        </w:rPr>
      </w:pPr>
      <w:r>
        <w:rPr>
          <w:rFonts w:ascii="Times New Roman"/>
        </w:rPr>
        <w:t>隧道监控设施监测内容及方法</w:t>
      </w:r>
    </w:p>
    <w:tbl>
      <w:tblPr>
        <w:tblStyle w:val="26"/>
        <w:tblW w:w="94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71"/>
        <w:gridCol w:w="3856"/>
        <w:gridCol w:w="39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671" w:type="dxa"/>
            <w:tcBorders>
              <w:top w:val="single" w:color="auto" w:sz="12" w:space="0"/>
              <w:left w:val="single" w:color="auto" w:sz="12"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监测对象</w:t>
            </w:r>
          </w:p>
        </w:tc>
        <w:tc>
          <w:tcPr>
            <w:tcW w:w="3856" w:type="dxa"/>
            <w:tcBorders>
              <w:top w:val="single" w:color="auto" w:sz="12" w:space="0"/>
              <w:left w:val="single" w:color="auto" w:sz="6"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监测内容</w:t>
            </w:r>
          </w:p>
        </w:tc>
        <w:tc>
          <w:tcPr>
            <w:tcW w:w="3937" w:type="dxa"/>
            <w:tcBorders>
              <w:top w:val="single" w:color="auto" w:sz="12" w:space="0"/>
              <w:left w:val="single" w:color="auto" w:sz="6" w:space="0"/>
              <w:bottom w:val="single" w:color="auto" w:sz="6" w:space="0"/>
              <w:right w:val="single" w:color="auto" w:sz="12"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监测方法或设备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671" w:type="dxa"/>
            <w:tcBorders>
              <w:top w:val="single" w:color="auto" w:sz="6" w:space="0"/>
              <w:left w:val="single" w:color="auto" w:sz="12"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摄像机</w:t>
            </w:r>
          </w:p>
        </w:tc>
        <w:tc>
          <w:tcPr>
            <w:tcW w:w="3856"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供电状态、通信连接状态、焦距调节功能、</w:t>
            </w:r>
          </w:p>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云台转动速率</w:t>
            </w:r>
          </w:p>
        </w:tc>
        <w:tc>
          <w:tcPr>
            <w:tcW w:w="3937"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分布式智能监控箱、设备状态自反馈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71" w:type="dxa"/>
            <w:tcBorders>
              <w:top w:val="single" w:color="auto" w:sz="6" w:space="0"/>
              <w:left w:val="single" w:color="auto" w:sz="12"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区域控制器</w:t>
            </w:r>
          </w:p>
        </w:tc>
        <w:tc>
          <w:tcPr>
            <w:tcW w:w="3856"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电源及运行状态、控制指令发送功能、</w:t>
            </w:r>
          </w:p>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数据存储功能</w:t>
            </w:r>
          </w:p>
        </w:tc>
        <w:tc>
          <w:tcPr>
            <w:tcW w:w="3937"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智能采集终端、设备状态自反馈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71" w:type="dxa"/>
            <w:tcBorders>
              <w:top w:val="single" w:color="auto" w:sz="6" w:space="0"/>
              <w:left w:val="single" w:color="auto" w:sz="12" w:space="0"/>
              <w:bottom w:val="single" w:color="auto" w:sz="6" w:space="0"/>
              <w:right w:val="single" w:color="auto" w:sz="6" w:space="0"/>
            </w:tcBorders>
            <w:vAlign w:val="center"/>
          </w:tcPr>
          <w:p>
            <w:pPr>
              <w:jc w:val="center"/>
              <w:textAlignment w:val="center"/>
              <w:rPr>
                <w:rFonts w:ascii="Times New Roman" w:hAnsi="Times New Roman"/>
                <w:sz w:val="18"/>
                <w:szCs w:val="18"/>
              </w:rPr>
            </w:pPr>
            <w:r>
              <w:rPr>
                <w:rFonts w:ascii="Times New Roman" w:hAnsi="Times New Roman"/>
                <w:sz w:val="18"/>
                <w:szCs w:val="18"/>
              </w:rPr>
              <w:t>交通管控设施</w:t>
            </w:r>
          </w:p>
        </w:tc>
        <w:tc>
          <w:tcPr>
            <w:tcW w:w="3856"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供电状态、通信连接状态、</w:t>
            </w:r>
          </w:p>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指令接收功能</w:t>
            </w:r>
          </w:p>
        </w:tc>
        <w:tc>
          <w:tcPr>
            <w:tcW w:w="3937"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智能采集终端、设备状态自反馈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71" w:type="dxa"/>
            <w:tcBorders>
              <w:top w:val="single" w:color="auto" w:sz="6" w:space="0"/>
              <w:left w:val="single" w:color="auto" w:sz="12"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环境检测设施</w:t>
            </w:r>
          </w:p>
        </w:tc>
        <w:tc>
          <w:tcPr>
            <w:tcW w:w="3856"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供电状态、通信连接状态、数据采集功能</w:t>
            </w:r>
          </w:p>
        </w:tc>
        <w:tc>
          <w:tcPr>
            <w:tcW w:w="3937"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智能采集终端、设备状态自反馈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71" w:type="dxa"/>
            <w:tcBorders>
              <w:top w:val="single" w:color="auto" w:sz="6" w:space="0"/>
              <w:left w:val="single" w:color="auto" w:sz="12"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火灾报警设施</w:t>
            </w:r>
          </w:p>
        </w:tc>
        <w:tc>
          <w:tcPr>
            <w:tcW w:w="3856"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供电状态、通信连接状态、工作状态</w:t>
            </w:r>
          </w:p>
        </w:tc>
        <w:tc>
          <w:tcPr>
            <w:tcW w:w="3937"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智能采集终端、设备状态自反馈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71" w:type="dxa"/>
            <w:tcBorders>
              <w:top w:val="single" w:color="auto" w:sz="6" w:space="0"/>
              <w:left w:val="single" w:color="auto" w:sz="12"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紧急电话主机及广播</w:t>
            </w:r>
          </w:p>
        </w:tc>
        <w:tc>
          <w:tcPr>
            <w:tcW w:w="3856" w:type="dxa"/>
            <w:tcBorders>
              <w:top w:val="single" w:color="auto" w:sz="6" w:space="0"/>
              <w:left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供电状态、通信连接状态</w:t>
            </w:r>
          </w:p>
        </w:tc>
        <w:tc>
          <w:tcPr>
            <w:tcW w:w="3937" w:type="dxa"/>
            <w:tcBorders>
              <w:top w:val="single" w:color="auto" w:sz="6" w:space="0"/>
              <w:left w:val="single" w:color="auto" w:sz="6" w:space="0"/>
              <w:bottom w:val="single" w:color="auto" w:sz="12"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智能采集终端、设备状态自反馈</w:t>
            </w:r>
          </w:p>
        </w:tc>
      </w:tr>
    </w:tbl>
    <w:p>
      <w:pPr>
        <w:pStyle w:val="105"/>
        <w:widowControl w:val="0"/>
        <w:spacing w:before="156" w:after="156" w:line="400" w:lineRule="exact"/>
        <w:ind w:left="0"/>
        <w:rPr>
          <w:rFonts w:ascii="Times New Roman"/>
          <w:kern w:val="2"/>
          <w:szCs w:val="22"/>
        </w:rPr>
      </w:pPr>
      <w:bookmarkStart w:id="132" w:name="_Toc199250267"/>
      <w:bookmarkStart w:id="133" w:name="_Toc199250347"/>
      <w:r>
        <w:rPr>
          <w:rFonts w:ascii="Times New Roman"/>
          <w:kern w:val="2"/>
          <w:szCs w:val="22"/>
        </w:rPr>
        <w:t>隧道通风设施监测内容及方法</w:t>
      </w:r>
      <w:bookmarkEnd w:id="132"/>
      <w:bookmarkEnd w:id="133"/>
    </w:p>
    <w:p>
      <w:pPr>
        <w:pStyle w:val="56"/>
        <w:ind w:firstLine="420"/>
      </w:pPr>
      <w:r>
        <w:t>隧道通风设施监测内容及方法</w:t>
      </w:r>
      <w:r>
        <w:rPr>
          <w:rFonts w:hint="eastAsia"/>
        </w:rPr>
        <w:t>应</w:t>
      </w:r>
      <w:r>
        <w:t>按照表9执行。</w:t>
      </w:r>
    </w:p>
    <w:p>
      <w:pPr>
        <w:pStyle w:val="112"/>
        <w:widowControl w:val="0"/>
        <w:spacing w:before="156" w:after="156"/>
        <w:rPr>
          <w:rFonts w:ascii="Times New Roman"/>
        </w:rPr>
      </w:pPr>
      <w:r>
        <w:rPr>
          <w:rFonts w:ascii="Times New Roman"/>
        </w:rPr>
        <w:t>隧道通风设施监测内容及方法</w:t>
      </w:r>
    </w:p>
    <w:tbl>
      <w:tblPr>
        <w:tblStyle w:val="26"/>
        <w:tblW w:w="94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71"/>
        <w:gridCol w:w="4085"/>
        <w:gridCol w:w="370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671" w:type="dxa"/>
            <w:tcBorders>
              <w:top w:val="single" w:color="auto" w:sz="12" w:space="0"/>
              <w:left w:val="single" w:color="auto" w:sz="12"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监测对象</w:t>
            </w:r>
          </w:p>
        </w:tc>
        <w:tc>
          <w:tcPr>
            <w:tcW w:w="4085" w:type="dxa"/>
            <w:tcBorders>
              <w:top w:val="single" w:color="auto" w:sz="12" w:space="0"/>
              <w:left w:val="single" w:color="auto" w:sz="6"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监测内容</w:t>
            </w:r>
          </w:p>
        </w:tc>
        <w:tc>
          <w:tcPr>
            <w:tcW w:w="3708" w:type="dxa"/>
            <w:tcBorders>
              <w:top w:val="single" w:color="auto" w:sz="12" w:space="0"/>
              <w:left w:val="single" w:color="auto" w:sz="6" w:space="0"/>
              <w:bottom w:val="single" w:color="auto" w:sz="6" w:space="0"/>
              <w:right w:val="single" w:color="auto" w:sz="12"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监测方法或设备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671" w:type="dxa"/>
            <w:tcBorders>
              <w:top w:val="single" w:color="auto" w:sz="6" w:space="0"/>
              <w:left w:val="single" w:color="auto" w:sz="12"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pacing w:val="-3"/>
                <w:sz w:val="18"/>
                <w:szCs w:val="18"/>
                <w:lang w:val="en-US" w:eastAsia="zh-CN"/>
              </w:rPr>
              <w:t>射流风机</w:t>
            </w:r>
          </w:p>
        </w:tc>
        <w:tc>
          <w:tcPr>
            <w:tcW w:w="4085"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正转运行状态、反转运行状态、手动/自动控制状态、运行电压及电流</w:t>
            </w:r>
          </w:p>
        </w:tc>
        <w:tc>
          <w:tcPr>
            <w:tcW w:w="3708" w:type="dxa"/>
            <w:tcBorders>
              <w:top w:val="single" w:color="auto" w:sz="6" w:space="0"/>
              <w:left w:val="single" w:color="auto" w:sz="6" w:space="0"/>
              <w:bottom w:val="single" w:color="auto" w:sz="6" w:space="0"/>
              <w:right w:val="single" w:color="auto" w:sz="12" w:space="0"/>
            </w:tcBorders>
            <w:vAlign w:val="center"/>
          </w:tcPr>
          <w:p>
            <w:pPr>
              <w:jc w:val="center"/>
              <w:rPr>
                <w:rFonts w:ascii="Times New Roman" w:hAnsi="Times New Roman"/>
                <w:spacing w:val="-3"/>
                <w:sz w:val="18"/>
                <w:szCs w:val="18"/>
              </w:rPr>
            </w:pPr>
            <w:r>
              <w:rPr>
                <w:rFonts w:ascii="Times New Roman" w:hAnsi="Times New Roman"/>
                <w:spacing w:val="-3"/>
                <w:sz w:val="18"/>
                <w:szCs w:val="18"/>
              </w:rPr>
              <w:t>智能采集终端、设备状态自反馈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71" w:type="dxa"/>
            <w:tcBorders>
              <w:top w:val="single" w:color="auto" w:sz="6" w:space="0"/>
              <w:left w:val="single" w:color="auto" w:sz="12"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z w:val="18"/>
                <w:szCs w:val="18"/>
                <w:lang w:val="en-US" w:eastAsia="zh-CN"/>
              </w:rPr>
              <w:t>轴流风机</w:t>
            </w:r>
          </w:p>
        </w:tc>
        <w:tc>
          <w:tcPr>
            <w:tcW w:w="4085" w:type="dxa"/>
            <w:tcBorders>
              <w:top w:val="single" w:color="auto" w:sz="6" w:space="0"/>
              <w:left w:val="single" w:color="auto" w:sz="6" w:space="0"/>
              <w:right w:val="single" w:color="auto" w:sz="6"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启停状态、旁路接触器状态、本地/远程控制状态、高压软启动器运行状态、电动风阀状态</w:t>
            </w:r>
          </w:p>
        </w:tc>
        <w:tc>
          <w:tcPr>
            <w:tcW w:w="3708" w:type="dxa"/>
            <w:tcBorders>
              <w:top w:val="single" w:color="auto" w:sz="6" w:space="0"/>
              <w:left w:val="single" w:color="auto" w:sz="6" w:space="0"/>
              <w:bottom w:val="single" w:color="auto" w:sz="12" w:space="0"/>
              <w:right w:val="single" w:color="auto" w:sz="12" w:space="0"/>
            </w:tcBorders>
            <w:vAlign w:val="center"/>
          </w:tcPr>
          <w:p>
            <w:pPr>
              <w:jc w:val="center"/>
              <w:rPr>
                <w:rFonts w:ascii="Times New Roman" w:hAnsi="Times New Roman"/>
                <w:spacing w:val="-3"/>
                <w:sz w:val="18"/>
                <w:szCs w:val="18"/>
              </w:rPr>
            </w:pPr>
            <w:r>
              <w:rPr>
                <w:rFonts w:ascii="Times New Roman" w:hAnsi="Times New Roman"/>
                <w:spacing w:val="-3"/>
                <w:sz w:val="18"/>
                <w:szCs w:val="18"/>
              </w:rPr>
              <w:t>智能采集终端、设备状态自反馈</w:t>
            </w:r>
          </w:p>
        </w:tc>
      </w:tr>
    </w:tbl>
    <w:p>
      <w:pPr>
        <w:pStyle w:val="105"/>
        <w:widowControl w:val="0"/>
        <w:spacing w:before="156" w:after="156" w:line="400" w:lineRule="exact"/>
        <w:ind w:left="0"/>
        <w:rPr>
          <w:rFonts w:ascii="Times New Roman"/>
          <w:kern w:val="2"/>
          <w:szCs w:val="22"/>
        </w:rPr>
      </w:pPr>
      <w:bookmarkStart w:id="134" w:name="_Toc199250268"/>
      <w:bookmarkStart w:id="135" w:name="_Toc199250348"/>
      <w:r>
        <w:rPr>
          <w:rFonts w:ascii="Times New Roman"/>
          <w:kern w:val="2"/>
          <w:szCs w:val="22"/>
        </w:rPr>
        <w:t>隧道消防设施监测内容及方法</w:t>
      </w:r>
      <w:bookmarkEnd w:id="134"/>
      <w:bookmarkEnd w:id="135"/>
    </w:p>
    <w:p>
      <w:pPr>
        <w:pStyle w:val="56"/>
        <w:ind w:firstLine="420"/>
      </w:pPr>
      <w:r>
        <w:t>隧道消防设施监测内容及方法</w:t>
      </w:r>
      <w:r>
        <w:rPr>
          <w:rFonts w:hint="eastAsia"/>
        </w:rPr>
        <w:t>应</w:t>
      </w:r>
      <w:r>
        <w:t>按照表10执行。</w:t>
      </w:r>
    </w:p>
    <w:p>
      <w:pPr>
        <w:pStyle w:val="112"/>
        <w:widowControl w:val="0"/>
        <w:spacing w:before="156" w:after="156"/>
        <w:rPr>
          <w:rFonts w:ascii="Times New Roman"/>
        </w:rPr>
      </w:pPr>
      <w:r>
        <w:rPr>
          <w:rFonts w:ascii="Times New Roman"/>
        </w:rPr>
        <w:t>隧道消防设施监测内容及方法</w:t>
      </w:r>
    </w:p>
    <w:tbl>
      <w:tblPr>
        <w:tblStyle w:val="26"/>
        <w:tblW w:w="94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71"/>
        <w:gridCol w:w="4085"/>
        <w:gridCol w:w="370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671" w:type="dxa"/>
            <w:tcBorders>
              <w:top w:val="single" w:color="auto" w:sz="12" w:space="0"/>
              <w:left w:val="single" w:color="auto" w:sz="12"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监测对象</w:t>
            </w:r>
          </w:p>
        </w:tc>
        <w:tc>
          <w:tcPr>
            <w:tcW w:w="4085" w:type="dxa"/>
            <w:tcBorders>
              <w:top w:val="single" w:color="auto" w:sz="12" w:space="0"/>
              <w:left w:val="single" w:color="auto" w:sz="6" w:space="0"/>
              <w:bottom w:val="single" w:color="auto" w:sz="6" w:space="0"/>
              <w:right w:val="single" w:color="auto" w:sz="6"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监测内容</w:t>
            </w:r>
          </w:p>
        </w:tc>
        <w:tc>
          <w:tcPr>
            <w:tcW w:w="3708" w:type="dxa"/>
            <w:tcBorders>
              <w:top w:val="single" w:color="auto" w:sz="12" w:space="0"/>
              <w:left w:val="single" w:color="auto" w:sz="6" w:space="0"/>
              <w:bottom w:val="single" w:color="auto" w:sz="6" w:space="0"/>
              <w:right w:val="single" w:color="auto" w:sz="12" w:space="0"/>
            </w:tcBorders>
            <w:vAlign w:val="center"/>
          </w:tcPr>
          <w:p>
            <w:pPr>
              <w:jc w:val="center"/>
              <w:textAlignment w:val="center"/>
              <w:rPr>
                <w:rFonts w:ascii="Times New Roman" w:hAnsi="Times New Roman"/>
                <w:bCs/>
                <w:sz w:val="18"/>
                <w:szCs w:val="18"/>
              </w:rPr>
            </w:pPr>
            <w:r>
              <w:rPr>
                <w:rFonts w:ascii="Times New Roman" w:hAnsi="Times New Roman"/>
                <w:bCs/>
                <w:sz w:val="18"/>
                <w:szCs w:val="18"/>
              </w:rPr>
              <w:t>监测方法或设备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671" w:type="dxa"/>
            <w:tcBorders>
              <w:top w:val="single" w:color="auto" w:sz="6" w:space="0"/>
              <w:left w:val="single" w:color="auto" w:sz="12"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z w:val="18"/>
                <w:szCs w:val="18"/>
                <w:lang w:val="en-US" w:eastAsia="zh-CN"/>
              </w:rPr>
              <w:t>消防水泵、排污泵</w:t>
            </w:r>
          </w:p>
        </w:tc>
        <w:tc>
          <w:tcPr>
            <w:tcW w:w="4085"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z w:val="18"/>
                <w:szCs w:val="18"/>
                <w:lang w:val="en-US" w:eastAsia="zh-CN"/>
              </w:rPr>
              <w:t>压力、流量、电机电流、运行状态</w:t>
            </w:r>
          </w:p>
        </w:tc>
        <w:tc>
          <w:tcPr>
            <w:tcW w:w="3708"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压力传感器、流量传感器、设备状态自反馈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671" w:type="dxa"/>
            <w:vMerge w:val="restart"/>
            <w:tcBorders>
              <w:top w:val="single" w:color="auto" w:sz="6" w:space="0"/>
              <w:left w:val="single" w:color="auto" w:sz="12"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z w:val="18"/>
                <w:szCs w:val="18"/>
                <w:lang w:val="en-US" w:eastAsia="zh-CN"/>
              </w:rPr>
              <w:t>消防管道</w:t>
            </w:r>
          </w:p>
        </w:tc>
        <w:tc>
          <w:tcPr>
            <w:tcW w:w="4085"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z w:val="18"/>
                <w:szCs w:val="18"/>
                <w:lang w:val="en-US" w:eastAsia="zh-CN"/>
              </w:rPr>
              <w:t>起始端、中间段以及末端管道压力</w:t>
            </w:r>
          </w:p>
        </w:tc>
        <w:tc>
          <w:tcPr>
            <w:tcW w:w="3708"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压力传感器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671" w:type="dxa"/>
            <w:vMerge w:val="continue"/>
            <w:tcBorders>
              <w:left w:val="single" w:color="auto" w:sz="12"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p>
        </w:tc>
        <w:tc>
          <w:tcPr>
            <w:tcW w:w="4085" w:type="dxa"/>
            <w:tcBorders>
              <w:top w:val="single" w:color="auto" w:sz="6" w:space="0"/>
              <w:left w:val="single" w:color="auto" w:sz="6" w:space="0"/>
              <w:bottom w:val="single" w:color="auto" w:sz="6"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z w:val="18"/>
                <w:szCs w:val="18"/>
                <w:lang w:val="en-US" w:eastAsia="zh-CN"/>
              </w:rPr>
              <w:t>外壁温度、保温设施</w:t>
            </w:r>
          </w:p>
        </w:tc>
        <w:tc>
          <w:tcPr>
            <w:tcW w:w="3708" w:type="dxa"/>
            <w:tcBorders>
              <w:top w:val="single" w:color="auto" w:sz="6" w:space="0"/>
              <w:left w:val="single" w:color="auto" w:sz="6" w:space="0"/>
              <w:bottom w:val="single" w:color="auto" w:sz="6"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温度传感器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71" w:type="dxa"/>
            <w:vMerge w:val="continue"/>
            <w:tcBorders>
              <w:left w:val="single" w:color="auto" w:sz="12"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p>
        </w:tc>
        <w:tc>
          <w:tcPr>
            <w:tcW w:w="4085" w:type="dxa"/>
            <w:tcBorders>
              <w:top w:val="single" w:color="auto" w:sz="6" w:space="0"/>
              <w:left w:val="single" w:color="auto" w:sz="6" w:space="0"/>
              <w:right w:val="single" w:color="auto" w:sz="6" w:space="0"/>
            </w:tcBorders>
            <w:vAlign w:val="center"/>
          </w:tcPr>
          <w:p>
            <w:pPr>
              <w:pStyle w:val="230"/>
              <w:spacing w:after="0"/>
              <w:jc w:val="center"/>
              <w:rPr>
                <w:rFonts w:ascii="Times New Roman" w:hAnsi="Times New Roman" w:eastAsia="宋体" w:cs="Times New Roman"/>
                <w:sz w:val="18"/>
                <w:szCs w:val="18"/>
                <w:lang w:val="en-US" w:eastAsia="zh-CN"/>
              </w:rPr>
            </w:pPr>
            <w:r>
              <w:rPr>
                <w:rFonts w:ascii="Times New Roman" w:hAnsi="Times New Roman" w:eastAsia="宋体" w:cs="Times New Roman"/>
                <w:sz w:val="18"/>
                <w:szCs w:val="18"/>
                <w:lang w:val="en-US" w:eastAsia="zh-CN"/>
              </w:rPr>
              <w:t>闸阀、蝶阀、止回阀阀门状态</w:t>
            </w:r>
          </w:p>
        </w:tc>
        <w:tc>
          <w:tcPr>
            <w:tcW w:w="3708" w:type="dxa"/>
            <w:tcBorders>
              <w:top w:val="single" w:color="auto" w:sz="6" w:space="0"/>
              <w:left w:val="single" w:color="auto" w:sz="6" w:space="0"/>
              <w:bottom w:val="single" w:color="auto" w:sz="12" w:space="0"/>
              <w:right w:val="single" w:color="auto" w:sz="12" w:space="0"/>
            </w:tcBorders>
            <w:vAlign w:val="center"/>
          </w:tcPr>
          <w:p>
            <w:pPr>
              <w:pStyle w:val="230"/>
              <w:spacing w:after="0"/>
              <w:jc w:val="center"/>
              <w:rPr>
                <w:rFonts w:ascii="Times New Roman" w:hAnsi="Times New Roman" w:eastAsia="宋体" w:cs="Times New Roman"/>
                <w:spacing w:val="-3"/>
                <w:sz w:val="18"/>
                <w:szCs w:val="18"/>
                <w:lang w:val="en-US" w:eastAsia="zh-CN"/>
              </w:rPr>
            </w:pPr>
            <w:r>
              <w:rPr>
                <w:rFonts w:ascii="Times New Roman" w:hAnsi="Times New Roman" w:eastAsia="宋体" w:cs="Times New Roman"/>
                <w:spacing w:val="-3"/>
                <w:sz w:val="18"/>
                <w:szCs w:val="18"/>
                <w:lang w:val="en-US" w:eastAsia="zh-CN"/>
              </w:rPr>
              <w:t>智能采集终端、设备状态自反馈</w:t>
            </w:r>
          </w:p>
        </w:tc>
      </w:tr>
    </w:tbl>
    <w:p>
      <w:pPr>
        <w:pStyle w:val="104"/>
        <w:spacing w:before="312" w:after="312"/>
      </w:pPr>
      <w:bookmarkStart w:id="136" w:name="_Toc198752835"/>
      <w:bookmarkStart w:id="137" w:name="_Toc199250349"/>
      <w:bookmarkStart w:id="138" w:name="_Toc199250269"/>
      <w:r>
        <w:t>隧道车辆通行状况监测</w:t>
      </w:r>
      <w:bookmarkEnd w:id="136"/>
      <w:bookmarkEnd w:id="137"/>
      <w:bookmarkEnd w:id="138"/>
    </w:p>
    <w:p>
      <w:pPr>
        <w:pStyle w:val="165"/>
      </w:pPr>
      <w:r>
        <w:t>隧道车辆通行状况应运用智能感知、机器视觉、数据分析等技术</w:t>
      </w:r>
      <w:r>
        <w:rPr>
          <w:rFonts w:hint="eastAsia"/>
        </w:rPr>
        <w:t>进行</w:t>
      </w:r>
      <w:r>
        <w:t>监测</w:t>
      </w:r>
      <w:r>
        <w:rPr>
          <w:rFonts w:hint="eastAsia"/>
        </w:rPr>
        <w:t>与</w:t>
      </w:r>
      <w:r>
        <w:t>预警。</w:t>
      </w:r>
    </w:p>
    <w:p>
      <w:pPr>
        <w:pStyle w:val="165"/>
      </w:pPr>
      <w:r>
        <w:t>隧道车辆通行状况</w:t>
      </w:r>
      <w:r>
        <w:rPr>
          <w:rFonts w:hint="eastAsia"/>
        </w:rPr>
        <w:t>监测应包括以下内容：</w:t>
      </w:r>
    </w:p>
    <w:p>
      <w:pPr>
        <w:pStyle w:val="132"/>
      </w:pPr>
      <w:r>
        <w:t>交通量、平均车速、通行效率、交通异常事件</w:t>
      </w:r>
      <w:r>
        <w:rPr>
          <w:rFonts w:hint="eastAsia"/>
        </w:rPr>
        <w:t>;</w:t>
      </w:r>
    </w:p>
    <w:p>
      <w:pPr>
        <w:pStyle w:val="132"/>
      </w:pPr>
      <w:r>
        <w:t>隧道内“两客一危”等重点营运车辆的在途数量及行驶数据</w:t>
      </w:r>
      <w:r>
        <w:rPr>
          <w:rFonts w:hint="eastAsia"/>
        </w:rPr>
        <w:t>的实时监测;</w:t>
      </w:r>
    </w:p>
    <w:p>
      <w:pPr>
        <w:pStyle w:val="132"/>
        <w:rPr>
          <w:rFonts w:hint="eastAsia"/>
        </w:rPr>
      </w:pPr>
      <w:r>
        <w:t>交通拥堵、车辆缓行</w:t>
      </w:r>
      <w:r>
        <w:rPr>
          <w:rFonts w:hint="eastAsia"/>
        </w:rPr>
        <w:t>等</w:t>
      </w:r>
      <w:r>
        <w:t>交通运行态势</w:t>
      </w:r>
      <w:r>
        <w:rPr>
          <w:rFonts w:hint="eastAsia"/>
        </w:rPr>
        <w:t>或</w:t>
      </w:r>
      <w:r>
        <w:t>实时路况进行实时监测</w:t>
      </w:r>
      <w:r>
        <w:rPr>
          <w:rFonts w:hint="eastAsia"/>
        </w:rPr>
        <w:t>;</w:t>
      </w:r>
    </w:p>
    <w:p>
      <w:pPr>
        <w:pStyle w:val="132"/>
      </w:pPr>
      <w:r>
        <w:rPr>
          <w:rFonts w:hint="eastAsia"/>
        </w:rPr>
        <w:t>隧道内</w:t>
      </w:r>
      <w:r>
        <w:t>车辆频繁换道、长时间压线行驶、违法变道、超速行驶、违章停车等交通违章事件进行实时监测。</w:t>
      </w:r>
    </w:p>
    <w:bookmarkEnd w:id="125"/>
    <w:p>
      <w:pPr>
        <w:pStyle w:val="104"/>
        <w:spacing w:before="312" w:after="312"/>
      </w:pPr>
      <w:bookmarkStart w:id="139" w:name="_Toc199250270"/>
      <w:bookmarkStart w:id="140" w:name="_Toc199250350"/>
      <w:bookmarkStart w:id="141" w:name="_Toc198752836"/>
      <w:r>
        <w:t>隧道突发性异常事件监测</w:t>
      </w:r>
      <w:bookmarkEnd w:id="139"/>
      <w:bookmarkEnd w:id="140"/>
      <w:bookmarkEnd w:id="141"/>
    </w:p>
    <w:p>
      <w:pPr>
        <w:pStyle w:val="165"/>
      </w:pPr>
      <w:r>
        <w:t>隧道突发性异常事件监测</w:t>
      </w:r>
      <w:r>
        <w:rPr>
          <w:rFonts w:hint="eastAsia"/>
        </w:rPr>
        <w:t>宜</w:t>
      </w:r>
      <w:r>
        <w:t>采用基于雷视融合、机器视觉与人工智能分析的智能视频监控技术</w:t>
      </w:r>
      <w:r>
        <w:rPr>
          <w:rFonts w:hint="eastAsia"/>
        </w:rPr>
        <w:t>。</w:t>
      </w:r>
    </w:p>
    <w:p>
      <w:pPr>
        <w:pStyle w:val="165"/>
      </w:pPr>
      <w:r>
        <w:t>隧道突发性异常事件监测</w:t>
      </w:r>
      <w:r>
        <w:rPr>
          <w:rFonts w:hint="eastAsia"/>
        </w:rPr>
        <w:t>应主要</w:t>
      </w:r>
      <w:r>
        <w:t>包括衬砌突发掉块、路面突发隆沉、隧道内突泥涌水、交通事故、车辆起火、抛洒物等。</w:t>
      </w:r>
    </w:p>
    <w:p>
      <w:pPr>
        <w:pStyle w:val="104"/>
        <w:spacing w:before="312" w:after="312"/>
        <w:rPr>
          <w:rFonts w:eastAsia="宋体"/>
          <w:szCs w:val="21"/>
        </w:rPr>
      </w:pPr>
      <w:bookmarkStart w:id="142" w:name="_Toc199250271"/>
      <w:bookmarkStart w:id="143" w:name="_Toc199250351"/>
      <w:bookmarkStart w:id="144" w:name="_Toc198752837"/>
      <w:r>
        <w:t>监测数据分析及应用</w:t>
      </w:r>
      <w:bookmarkEnd w:id="142"/>
      <w:bookmarkEnd w:id="143"/>
      <w:bookmarkEnd w:id="144"/>
      <w:bookmarkStart w:id="145" w:name="bookmark43"/>
      <w:bookmarkEnd w:id="145"/>
      <w:bookmarkStart w:id="146" w:name="bookmark44"/>
      <w:bookmarkEnd w:id="146"/>
    </w:p>
    <w:p>
      <w:pPr>
        <w:pStyle w:val="105"/>
        <w:spacing w:before="156" w:after="156"/>
        <w:ind w:left="0"/>
      </w:pPr>
      <w:bookmarkStart w:id="147" w:name="_Toc199250352"/>
      <w:bookmarkStart w:id="148" w:name="_Toc199250272"/>
      <w:r>
        <w:t>数据分析</w:t>
      </w:r>
      <w:bookmarkEnd w:id="147"/>
      <w:bookmarkEnd w:id="148"/>
    </w:p>
    <w:p>
      <w:pPr>
        <w:pStyle w:val="165"/>
      </w:pPr>
      <w:r>
        <w:rPr>
          <w:rFonts w:hint="eastAsia"/>
        </w:rPr>
        <w:t>应对</w:t>
      </w:r>
      <w:r>
        <w:t>隧址区气候环境、隧道洞口段、隧道衬砌结构与洞内环境</w:t>
      </w:r>
      <w:r>
        <w:rPr>
          <w:rFonts w:hint="eastAsia"/>
        </w:rPr>
        <w:t>等主要监测数据进行分析</w:t>
      </w:r>
      <w:r>
        <w:t>，</w:t>
      </w:r>
      <w:r>
        <w:rPr>
          <w:rFonts w:hint="eastAsia"/>
        </w:rPr>
        <w:t>也可结合</w:t>
      </w:r>
      <w:r>
        <w:t>隧道养护经常检查、定期检查等数据</w:t>
      </w:r>
      <w:r>
        <w:rPr>
          <w:rFonts w:hint="eastAsia"/>
        </w:rPr>
        <w:t>进行分析</w:t>
      </w:r>
      <w:r>
        <w:t>。</w:t>
      </w:r>
    </w:p>
    <w:p>
      <w:pPr>
        <w:pStyle w:val="165"/>
      </w:pPr>
      <w:r>
        <w:t>数据分析可采用特征值统计分析</w:t>
      </w:r>
      <w:r>
        <w:rPr>
          <w:rFonts w:hint="eastAsia"/>
        </w:rPr>
        <w:t>法</w:t>
      </w:r>
      <w:r>
        <w:t>、相关性分析比较法、趋势性分析</w:t>
      </w:r>
      <w:r>
        <w:rPr>
          <w:rFonts w:hint="eastAsia"/>
        </w:rPr>
        <w:t>法</w:t>
      </w:r>
      <w:r>
        <w:t>、机器学习等。</w:t>
      </w:r>
    </w:p>
    <w:p>
      <w:pPr>
        <w:pStyle w:val="165"/>
      </w:pPr>
      <w:r>
        <w:t>数据分析样板时长，根据监测内容的特征确定。</w:t>
      </w:r>
    </w:p>
    <w:p>
      <w:pPr>
        <w:pStyle w:val="165"/>
      </w:pPr>
      <w:r>
        <w:t>隧址区气候环境与隧道洞内环境监测数据分析</w:t>
      </w:r>
      <w:r>
        <w:rPr>
          <w:rFonts w:hint="eastAsia"/>
        </w:rPr>
        <w:t>应</w:t>
      </w:r>
      <w:r>
        <w:t>符合下列规定：</w:t>
      </w:r>
    </w:p>
    <w:p>
      <w:pPr>
        <w:pStyle w:val="132"/>
      </w:pPr>
      <w:r>
        <w:t>温度监测数据应分析最高温度、最低温度、最大温差，温度沿隧道纵向分布规律</w:t>
      </w:r>
      <w:r>
        <w:rPr>
          <w:rFonts w:hint="eastAsia"/>
        </w:rPr>
        <w:t>等；</w:t>
      </w:r>
    </w:p>
    <w:p>
      <w:pPr>
        <w:pStyle w:val="132"/>
      </w:pPr>
      <w:r>
        <w:t>湿度监测数据应分析最大值、平均值和超限持续时间及沿隧道纵向分布规律</w:t>
      </w:r>
      <w:r>
        <w:rPr>
          <w:rFonts w:hint="eastAsia"/>
        </w:rPr>
        <w:t>等；</w:t>
      </w:r>
    </w:p>
    <w:p>
      <w:pPr>
        <w:pStyle w:val="132"/>
        <w:rPr>
          <w:rFonts w:hint="eastAsia"/>
        </w:rPr>
      </w:pPr>
      <w:r>
        <w:t>雨量监测数据宜</w:t>
      </w:r>
      <w:r>
        <w:rPr>
          <w:rFonts w:hint="eastAsia"/>
        </w:rPr>
        <w:t>分析</w:t>
      </w:r>
      <w:r>
        <w:t>10min平均降雨量。</w:t>
      </w:r>
    </w:p>
    <w:p>
      <w:pPr>
        <w:pStyle w:val="165"/>
      </w:pPr>
      <w:r>
        <w:t>变形监测数据分析</w:t>
      </w:r>
      <w:r>
        <w:rPr>
          <w:rFonts w:hint="eastAsia"/>
        </w:rPr>
        <w:t>应</w:t>
      </w:r>
      <w:r>
        <w:t>符合下列规定：</w:t>
      </w:r>
    </w:p>
    <w:p>
      <w:pPr>
        <w:pStyle w:val="132"/>
      </w:pPr>
      <w:r>
        <w:t>应分析监测数据日变化量和累计变化量时程曲线、各测点监测数据平面分布图等</w:t>
      </w:r>
      <w:r>
        <w:rPr>
          <w:rFonts w:hint="eastAsia"/>
        </w:rPr>
        <w:t>；</w:t>
      </w:r>
    </w:p>
    <w:p>
      <w:pPr>
        <w:pStyle w:val="132"/>
      </w:pPr>
      <w:r>
        <w:t>分析结果应与隧道病害监测数据进行关联分析。</w:t>
      </w:r>
    </w:p>
    <w:p>
      <w:pPr>
        <w:pStyle w:val="165"/>
      </w:pPr>
      <w:r>
        <w:t>受力监测数据分析</w:t>
      </w:r>
      <w:r>
        <w:rPr>
          <w:rFonts w:hint="eastAsia"/>
        </w:rPr>
        <w:t>应</w:t>
      </w:r>
      <w:r>
        <w:t>符合下列规定：</w:t>
      </w:r>
    </w:p>
    <w:p>
      <w:pPr>
        <w:pStyle w:val="132"/>
      </w:pPr>
      <w:r>
        <w:t>受力监测数据分析结果应与隧道病害监测数据进行关联分析</w:t>
      </w:r>
      <w:r>
        <w:rPr>
          <w:rFonts w:hint="eastAsia"/>
        </w:rPr>
        <w:t>，应</w:t>
      </w:r>
      <w:r>
        <w:t>分析水压力、衬砌应力监测数据日变化量和累计变化量时程曲线、各测点监测数据平面分布图等</w:t>
      </w:r>
      <w:r>
        <w:rPr>
          <w:rFonts w:hint="eastAsia"/>
        </w:rPr>
        <w:t>；</w:t>
      </w:r>
    </w:p>
    <w:p>
      <w:pPr>
        <w:pStyle w:val="132"/>
      </w:pPr>
      <w:r>
        <w:t>水压力监测数据</w:t>
      </w:r>
      <w:r>
        <w:rPr>
          <w:rFonts w:hint="eastAsia"/>
        </w:rPr>
        <w:t>分析</w:t>
      </w:r>
      <w:r>
        <w:t>宜采用比较法、特征值统计法、关联分析法，并结合隧址区水文地质及历年气象资料进行趋势预测</w:t>
      </w:r>
      <w:r>
        <w:rPr>
          <w:rFonts w:hint="eastAsia"/>
        </w:rPr>
        <w:t>；</w:t>
      </w:r>
    </w:p>
    <w:p>
      <w:pPr>
        <w:pStyle w:val="132"/>
      </w:pPr>
      <w:r>
        <w:t>衬砌应力监测数据</w:t>
      </w:r>
      <w:r>
        <w:rPr>
          <w:rFonts w:hint="eastAsia"/>
        </w:rPr>
        <w:t>分析宜</w:t>
      </w:r>
      <w:r>
        <w:t>采用数值分析法、特征值统计法，</w:t>
      </w:r>
      <w:r>
        <w:rPr>
          <w:rFonts w:hint="eastAsia"/>
        </w:rPr>
        <w:t>并与</w:t>
      </w:r>
      <w:r>
        <w:t>衬砌应力应变、变形与外荷载、环境</w:t>
      </w:r>
      <w:r>
        <w:rPr>
          <w:rFonts w:hint="eastAsia"/>
        </w:rPr>
        <w:t>作用等数据分析进行关联；</w:t>
      </w:r>
    </w:p>
    <w:p>
      <w:pPr>
        <w:pStyle w:val="132"/>
      </w:pPr>
      <w:r>
        <w:rPr>
          <w:rFonts w:hint="eastAsia"/>
        </w:rPr>
        <w:t>水压力、衬砌应力</w:t>
      </w:r>
      <w:r>
        <w:t>分析结果应与隧道病害监测数据进行关联分析。</w:t>
      </w:r>
    </w:p>
    <w:p>
      <w:pPr>
        <w:pStyle w:val="165"/>
      </w:pPr>
      <w:r>
        <w:t>机电设施运行状况监测数据分析</w:t>
      </w:r>
      <w:r>
        <w:rPr>
          <w:rFonts w:hint="eastAsia"/>
        </w:rPr>
        <w:t>应</w:t>
      </w:r>
      <w:r>
        <w:t>符合下列规定：</w:t>
      </w:r>
    </w:p>
    <w:p>
      <w:pPr>
        <w:pStyle w:val="132"/>
      </w:pPr>
      <w:r>
        <w:t>运行参数分析应包括电压、电流、功率、频率、功率因数、通信连接状态、风机启停状态、管道压力及流量等实时数据与历史数据的统计分析，包含最大值、最小值、平均值及变化趋势</w:t>
      </w:r>
      <w:r>
        <w:rPr>
          <w:rFonts w:hint="eastAsia"/>
        </w:rPr>
        <w:t>；</w:t>
      </w:r>
    </w:p>
    <w:p>
      <w:pPr>
        <w:pStyle w:val="132"/>
      </w:pPr>
      <w:r>
        <w:t>故障诊断分析应对高低压开关柜故障状态、蓄电池电压异常、风机故障、消防阀门异常、监控设备通信中断等异常信号进行识别，统计异常发生频次、持续时间及设备定位，结合历史故障库进行关联分析</w:t>
      </w:r>
      <w:r>
        <w:rPr>
          <w:rFonts w:hint="eastAsia"/>
        </w:rPr>
        <w:t>；</w:t>
      </w:r>
    </w:p>
    <w:p>
      <w:pPr>
        <w:pStyle w:val="132"/>
        <w:rPr>
          <w:rFonts w:hint="eastAsia"/>
        </w:rPr>
      </w:pPr>
      <w:r>
        <w:t>设备运行状态分析应</w:t>
      </w:r>
      <w:r>
        <w:rPr>
          <w:rFonts w:hint="eastAsia"/>
        </w:rPr>
        <w:t>对</w:t>
      </w:r>
      <w:r>
        <w:t>供配电设备（变压器、柴油发电机等）、通风设备（射流风机、轴流风机等）、消防设备（水泵、阀门等）、监控设备（摄像机、情报板等）的工作状态（运行/停机/故障）、控制模式（手动/自动/远程）及指令响应效率</w:t>
      </w:r>
      <w:r>
        <w:rPr>
          <w:rFonts w:hint="eastAsia"/>
        </w:rPr>
        <w:t>进行分析。</w:t>
      </w:r>
    </w:p>
    <w:p>
      <w:pPr>
        <w:pStyle w:val="165"/>
      </w:pPr>
      <w:r>
        <w:t>车辆通行状况监测数据分析</w:t>
      </w:r>
      <w:r>
        <w:rPr>
          <w:rFonts w:hint="eastAsia"/>
        </w:rPr>
        <w:t>应</w:t>
      </w:r>
      <w:r>
        <w:t>符合下列规定：</w:t>
      </w:r>
    </w:p>
    <w:p>
      <w:pPr>
        <w:pStyle w:val="132"/>
      </w:pPr>
      <w:r>
        <w:t>分析隧道内行驶车辆的平均速度、平均时间占有率、平均空间占有率、平均排队长度、平均车头间距等宏观交通量参数，总结车道利用率及变化趋势，评估隧道通行效率</w:t>
      </w:r>
      <w:r>
        <w:rPr>
          <w:rFonts w:hint="eastAsia"/>
        </w:rPr>
        <w:t>；</w:t>
      </w:r>
    </w:p>
    <w:p>
      <w:pPr>
        <w:pStyle w:val="132"/>
      </w:pPr>
      <w:r>
        <w:rPr>
          <w:rFonts w:hint="eastAsia"/>
        </w:rPr>
        <w:t>对</w:t>
      </w:r>
      <w:r>
        <w:t>车辆频繁换道、长时间压线行驶、违法变道、超速行驶、违章停车等交通违章事件发生位置、时段及车辆类型</w:t>
      </w:r>
      <w:r>
        <w:rPr>
          <w:rFonts w:hint="eastAsia"/>
        </w:rPr>
        <w:t>进行分析</w:t>
      </w:r>
      <w:r>
        <w:t>，</w:t>
      </w:r>
      <w:r>
        <w:rPr>
          <w:rFonts w:hint="eastAsia"/>
        </w:rPr>
        <w:t>并可</w:t>
      </w:r>
      <w:r>
        <w:t>建立违章行为热力图。</w:t>
      </w:r>
    </w:p>
    <w:p>
      <w:pPr>
        <w:pStyle w:val="165"/>
      </w:pPr>
      <w:r>
        <w:t>隧道突发性异常事件监测数据分析</w:t>
      </w:r>
      <w:r>
        <w:rPr>
          <w:rFonts w:hint="eastAsia"/>
        </w:rPr>
        <w:t>应</w:t>
      </w:r>
      <w:r>
        <w:t>符合下列规定：</w:t>
      </w:r>
    </w:p>
    <w:p>
      <w:pPr>
        <w:pStyle w:val="132"/>
      </w:pPr>
      <w:r>
        <w:rPr>
          <w:rFonts w:hint="eastAsia"/>
        </w:rPr>
        <w:t>对</w:t>
      </w:r>
      <w:r>
        <w:t>衬砌掉块、突泥涌水、交通事故等事件的发生频次、持续时间及空间分布</w:t>
      </w:r>
      <w:r>
        <w:rPr>
          <w:rFonts w:hint="eastAsia"/>
        </w:rPr>
        <w:t>等进行分析</w:t>
      </w:r>
      <w:r>
        <w:t>，</w:t>
      </w:r>
      <w:r>
        <w:rPr>
          <w:rFonts w:hint="eastAsia"/>
        </w:rPr>
        <w:t>并可</w:t>
      </w:r>
      <w:r>
        <w:t>建立突发性异常事件监测预测模型</w:t>
      </w:r>
      <w:r>
        <w:rPr>
          <w:rFonts w:hint="eastAsia"/>
        </w:rPr>
        <w:t>；</w:t>
      </w:r>
    </w:p>
    <w:p>
      <w:pPr>
        <w:pStyle w:val="132"/>
      </w:pPr>
      <w:r>
        <w:rPr>
          <w:rFonts w:hint="eastAsia"/>
        </w:rPr>
        <w:t>对</w:t>
      </w:r>
      <w:r>
        <w:t>事件发生到系统报警、人工确认及处置完成的全流程时间链</w:t>
      </w:r>
      <w:r>
        <w:rPr>
          <w:rFonts w:hint="eastAsia"/>
        </w:rPr>
        <w:t>进行分析</w:t>
      </w:r>
      <w:r>
        <w:t>，评估应急响应效率。</w:t>
      </w:r>
    </w:p>
    <w:p>
      <w:pPr>
        <w:pStyle w:val="165"/>
      </w:pPr>
      <w:r>
        <w:t>数据分析报告</w:t>
      </w:r>
      <w:r>
        <w:rPr>
          <w:rFonts w:hint="eastAsia"/>
        </w:rPr>
        <w:t>应</w:t>
      </w:r>
      <w:r>
        <w:t>符合下列要求：</w:t>
      </w:r>
    </w:p>
    <w:p>
      <w:pPr>
        <w:pStyle w:val="132"/>
        <w:rPr>
          <w:rFonts w:hint="eastAsia"/>
        </w:rPr>
      </w:pPr>
      <w:r>
        <w:t>反应监测对象的真实状态</w:t>
      </w:r>
      <w:r>
        <w:rPr>
          <w:rFonts w:hint="eastAsia"/>
        </w:rPr>
        <w:t>，</w:t>
      </w:r>
      <w:r>
        <w:t>包括但不限于异常信息统计和异常事件记录</w:t>
      </w:r>
      <w:r>
        <w:rPr>
          <w:rFonts w:hint="eastAsia"/>
        </w:rPr>
        <w:t>；</w:t>
      </w:r>
    </w:p>
    <w:p>
      <w:pPr>
        <w:pStyle w:val="132"/>
        <w:rPr>
          <w:kern w:val="2"/>
          <w:szCs w:val="22"/>
        </w:rPr>
      </w:pPr>
      <w:r>
        <w:rPr>
          <w:kern w:val="2"/>
          <w:szCs w:val="22"/>
        </w:rPr>
        <w:t>异常信息统计应包括异常场景、异常设备、报警次数、异常极值</w:t>
      </w:r>
      <w:r>
        <w:rPr>
          <w:rFonts w:hint="eastAsia"/>
          <w:kern w:val="2"/>
          <w:szCs w:val="22"/>
        </w:rPr>
        <w:t>；</w:t>
      </w:r>
    </w:p>
    <w:p>
      <w:pPr>
        <w:pStyle w:val="132"/>
        <w:rPr>
          <w:kern w:val="2"/>
          <w:szCs w:val="22"/>
        </w:rPr>
      </w:pPr>
      <w:r>
        <w:rPr>
          <w:kern w:val="2"/>
          <w:szCs w:val="22"/>
        </w:rPr>
        <w:t>异常事件记录应包括异常事件、起止日期、事件描述及处治措施</w:t>
      </w:r>
      <w:r>
        <w:rPr>
          <w:rFonts w:hint="eastAsia"/>
          <w:kern w:val="2"/>
          <w:szCs w:val="22"/>
        </w:rPr>
        <w:t>；</w:t>
      </w:r>
    </w:p>
    <w:p>
      <w:pPr>
        <w:pStyle w:val="132"/>
        <w:rPr>
          <w:kern w:val="2"/>
          <w:szCs w:val="22"/>
        </w:rPr>
      </w:pPr>
      <w:r>
        <w:rPr>
          <w:kern w:val="2"/>
          <w:szCs w:val="22"/>
        </w:rPr>
        <w:t>月报应以异常信息统计为主。</w:t>
      </w:r>
    </w:p>
    <w:p>
      <w:pPr>
        <w:pStyle w:val="132"/>
        <w:rPr>
          <w:kern w:val="2"/>
          <w:szCs w:val="22"/>
        </w:rPr>
      </w:pPr>
      <w:r>
        <w:rPr>
          <w:kern w:val="2"/>
          <w:szCs w:val="22"/>
        </w:rPr>
        <w:t>季报和年报应包括但不限于异常信息统计及异常事件记录。</w:t>
      </w:r>
    </w:p>
    <w:p>
      <w:pPr>
        <w:pStyle w:val="56"/>
        <w:ind w:firstLine="420"/>
      </w:pPr>
    </w:p>
    <w:bookmarkEnd w:id="28"/>
    <w:p>
      <w:pPr>
        <w:pStyle w:val="56"/>
        <w:ind w:firstLine="0" w:firstLineChars="0"/>
        <w:jc w:val="center"/>
      </w:pPr>
      <w:bookmarkStart w:id="149"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9"/>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dit="forms" w:enforcement="1" w:cryptProviderType="rsaAES" w:cryptAlgorithmClass="hash" w:cryptAlgorithmType="typeAny" w:cryptAlgorithmSid="14" w:cryptSpinCount="100000" w:hash="78lfDhJRx0UBao8zIqn/DBUa3qiliDLf97yczfTEzP9qOQUBXveDkMtYFeWlAuN6+W4trhR4q4t0bB/ow4x54w==" w:salt="+CFsiTMY7lfnkvH42oEQd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B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17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2BEA"/>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4B2"/>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8B9"/>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2CC2"/>
    <w:rsid w:val="00BD52D7"/>
    <w:rsid w:val="00BD5AD2"/>
    <w:rsid w:val="00BE22F3"/>
    <w:rsid w:val="00BE5B52"/>
    <w:rsid w:val="00BE7B8D"/>
    <w:rsid w:val="00BF0993"/>
    <w:rsid w:val="00BF10A9"/>
    <w:rsid w:val="00BF1703"/>
    <w:rsid w:val="00BF1B27"/>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B90"/>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829"/>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EB3342"/>
    <w:rsid w:val="19D713A7"/>
    <w:rsid w:val="1EDA0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425"/>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Text"/>
    <w:basedOn w:val="1"/>
    <w:semiHidden/>
    <w:qFormat/>
    <w:uiPriority w:val="0"/>
    <w:pPr>
      <w:widowControl/>
      <w:kinsoku w:val="0"/>
      <w:autoSpaceDE w:val="0"/>
      <w:autoSpaceDN w:val="0"/>
      <w:snapToGrid w:val="0"/>
      <w:spacing w:after="160" w:line="240" w:lineRule="auto"/>
      <w:jc w:val="left"/>
      <w:textAlignment w:val="baseline"/>
    </w:pPr>
    <w:rPr>
      <w:rFonts w:ascii="仿宋_GB2312" w:hAnsi="仿宋_GB2312" w:eastAsia="仿宋_GB2312" w:cs="仿宋_GB2312"/>
      <w:snapToGrid w:val="0"/>
      <w:color w:val="000000"/>
      <w:kern w:val="0"/>
      <w:sz w:val="24"/>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23E969C54424C9F8B73DA383CAAA4E8"/>
        <w:style w:val=""/>
        <w:category>
          <w:name w:val="常规"/>
          <w:gallery w:val="placeholder"/>
        </w:category>
        <w:types>
          <w:type w:val="bbPlcHdr"/>
        </w:types>
        <w:behaviors>
          <w:behavior w:val="content"/>
        </w:behaviors>
        <w:description w:val=""/>
        <w:guid w:val="{BF43D599-0796-47E2-ABD9-E720A52B13C2}"/>
      </w:docPartPr>
      <w:docPartBody>
        <w:p>
          <w:pPr>
            <w:pStyle w:val="5"/>
          </w:pPr>
          <w:r>
            <w:rPr>
              <w:rStyle w:val="4"/>
              <w:rFonts w:hint="eastAsia"/>
            </w:rPr>
            <w:t>单击或点击此处输入文字。</w:t>
          </w:r>
        </w:p>
      </w:docPartBody>
    </w:docPart>
    <w:docPart>
      <w:docPartPr>
        <w:name w:val="EFB87C8F167047DEA3CAC7DAA8535E42"/>
        <w:style w:val=""/>
        <w:category>
          <w:name w:val="常规"/>
          <w:gallery w:val="placeholder"/>
        </w:category>
        <w:types>
          <w:type w:val="bbPlcHdr"/>
        </w:types>
        <w:behaviors>
          <w:behavior w:val="content"/>
        </w:behaviors>
        <w:description w:val=""/>
        <w:guid w:val="{CEEFDFDE-F9C1-4DB2-989B-36828BB62EDA}"/>
      </w:docPartPr>
      <w:docPartBody>
        <w:p>
          <w:pPr>
            <w:pStyle w:val="6"/>
          </w:pPr>
          <w:r>
            <w:rPr>
              <w:rStyle w:val="4"/>
              <w:rFonts w:hint="eastAsia"/>
            </w:rPr>
            <w:t>选择一项。</w:t>
          </w:r>
        </w:p>
      </w:docPartBody>
    </w:docPart>
    <w:docPart>
      <w:docPartPr>
        <w:name w:val="9206142747434244B89DD45951E89318"/>
        <w:style w:val=""/>
        <w:category>
          <w:name w:val="常规"/>
          <w:gallery w:val="placeholder"/>
        </w:category>
        <w:types>
          <w:type w:val="bbPlcHdr"/>
        </w:types>
        <w:behaviors>
          <w:behavior w:val="content"/>
        </w:behaviors>
        <w:description w:val=""/>
        <w:guid w:val="{E353633F-7AC8-4B14-A154-9227DB45502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481"/>
    <w:rsid w:val="00635DFC"/>
    <w:rsid w:val="008A13D3"/>
    <w:rsid w:val="008D2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23E969C54424C9F8B73DA383CAAA4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FB87C8F167047DEA3CAC7DAA8535E4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206142747434244B89DD45951E8931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6566F-1A0E-47FD-9381-4EC5B7C620A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4350</Words>
  <Characters>5439</Characters>
  <Lines>906</Lines>
  <Paragraphs>815</Paragraphs>
  <TotalTime>30</TotalTime>
  <ScaleCrop>false</ScaleCrop>
  <LinksUpToDate>false</LinksUpToDate>
  <CharactersWithSpaces>8974</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2025-05-27T06:33:00Z</dcterms:created>
  <dc:creator>user</dc:creator>
  <dc:description>&lt;config cover="true" show_menu="true" version="1.0.0" doctype="SDKXY"&gt;_x000d_
&lt;/config&gt;</dc:description>
  <cp:lastModifiedBy>Administrator</cp:lastModifiedBy>
  <cp:lastPrinted>2020-08-30T10:00:00Z</cp:lastPrinted>
  <dcterms:modified xsi:type="dcterms:W3CDTF">2025-05-28T01:18:23Z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2052-11.8.2.9067</vt:lpwstr>
  </property>
</Properties>
</file>