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adjustRightInd w:val="0"/>
        <w:snapToGrid w:val="0"/>
        <w:ind w:right="420" w:rightChars="200"/>
        <w:jc w:val="center"/>
        <w:rPr>
          <w:rFonts w:ascii="仿宋_GB2312"/>
          <w:b/>
          <w:spacing w:val="20"/>
          <w:sz w:val="44"/>
          <w:szCs w:val="44"/>
        </w:rPr>
      </w:pPr>
      <w:r>
        <w:rPr>
          <w:rFonts w:hint="eastAsia" w:ascii="仿宋_GB2312"/>
          <w:b/>
          <w:spacing w:val="20"/>
          <w:sz w:val="44"/>
          <w:szCs w:val="44"/>
        </w:rPr>
        <w:t>甘肃省地方标准</w:t>
      </w:r>
    </w:p>
    <w:p>
      <w:pPr>
        <w:adjustRightInd w:val="0"/>
        <w:snapToGrid w:val="0"/>
        <w:ind w:right="420" w:rightChars="200"/>
        <w:jc w:val="center"/>
        <w:rPr>
          <w:rFonts w:ascii="仿宋_GB2312"/>
          <w:b/>
          <w:spacing w:val="20"/>
          <w:sz w:val="44"/>
          <w:szCs w:val="44"/>
        </w:rPr>
      </w:pPr>
    </w:p>
    <w:p>
      <w:pPr>
        <w:pStyle w:val="2"/>
      </w:pPr>
    </w:p>
    <w:p>
      <w:pPr>
        <w:widowControl/>
        <w:spacing w:line="700" w:lineRule="exact"/>
        <w:jc w:val="center"/>
        <w:rPr>
          <w:rFonts w:ascii="仿宋_GB2312"/>
          <w:b/>
          <w:spacing w:val="20"/>
          <w:sz w:val="32"/>
          <w:szCs w:val="32"/>
        </w:rPr>
      </w:pPr>
      <w:bookmarkStart w:id="0" w:name="_Toc198975812"/>
      <w:r>
        <w:rPr>
          <w:b/>
          <w:bCs/>
          <w:spacing w:val="20"/>
          <w:sz w:val="32"/>
          <w:szCs w:val="32"/>
        </w:rPr>
        <w:t>《</w:t>
      </w:r>
      <w:r>
        <w:rPr>
          <w:rFonts w:ascii="Times New Roman" w:hAnsi="Times New Roman" w:eastAsia="黑体" w:cs="Times New Roman"/>
          <w:bCs/>
          <w:kern w:val="0"/>
          <w:sz w:val="32"/>
          <w:szCs w:val="32"/>
        </w:rPr>
        <w:t>公路半刚性基层非开挖式地聚物注浆加固处置技术规程</w:t>
      </w:r>
      <w:r>
        <w:rPr>
          <w:b/>
          <w:bCs/>
          <w:spacing w:val="20"/>
          <w:sz w:val="32"/>
          <w:szCs w:val="32"/>
        </w:rPr>
        <w:t>》</w:t>
      </w:r>
    </w:p>
    <w:p>
      <w:pPr>
        <w:adjustRightInd w:val="0"/>
        <w:snapToGrid w:val="0"/>
        <w:ind w:right="420" w:rightChars="200"/>
        <w:jc w:val="center"/>
        <w:rPr>
          <w:rFonts w:hint="default" w:ascii="Times New Roman" w:hAnsi="Times New Roman" w:cs="Times New Roman"/>
          <w:b w:val="0"/>
          <w:bCs/>
          <w:spacing w:val="20"/>
          <w:sz w:val="32"/>
          <w:szCs w:val="32"/>
        </w:rPr>
      </w:pPr>
      <w:r>
        <w:rPr>
          <w:rFonts w:hint="default" w:ascii="Times New Roman" w:hAnsi="Times New Roman" w:cs="Times New Roman"/>
          <w:b w:val="0"/>
          <w:bCs/>
          <w:spacing w:val="20"/>
          <w:sz w:val="32"/>
          <w:szCs w:val="32"/>
        </w:rPr>
        <w:t>(20</w:t>
      </w:r>
      <w:r>
        <w:rPr>
          <w:rFonts w:hint="default" w:ascii="Times New Roman" w:hAnsi="Times New Roman" w:cs="Times New Roman"/>
          <w:b w:val="0"/>
          <w:bCs/>
          <w:spacing w:val="20"/>
          <w:sz w:val="32"/>
          <w:szCs w:val="32"/>
          <w:lang w:val="en-US" w:eastAsia="zh-CN"/>
        </w:rPr>
        <w:t>24</w:t>
      </w:r>
      <w:r>
        <w:rPr>
          <w:rFonts w:hint="default" w:ascii="Times New Roman" w:hAnsi="Times New Roman" w:cs="Times New Roman"/>
          <w:b w:val="0"/>
          <w:bCs/>
          <w:spacing w:val="20"/>
          <w:sz w:val="32"/>
          <w:szCs w:val="32"/>
        </w:rPr>
        <w:t>-T-0</w:t>
      </w:r>
      <w:r>
        <w:rPr>
          <w:rFonts w:hint="default" w:ascii="Times New Roman" w:hAnsi="Times New Roman" w:cs="Times New Roman"/>
          <w:b w:val="0"/>
          <w:bCs/>
          <w:spacing w:val="20"/>
          <w:sz w:val="32"/>
          <w:szCs w:val="32"/>
          <w:lang w:val="en-US" w:eastAsia="zh-CN"/>
        </w:rPr>
        <w:t>5</w:t>
      </w:r>
      <w:r>
        <w:rPr>
          <w:rFonts w:hint="default" w:ascii="Times New Roman" w:hAnsi="Times New Roman" w:cs="Times New Roman"/>
          <w:b w:val="0"/>
          <w:bCs/>
          <w:spacing w:val="20"/>
          <w:sz w:val="32"/>
          <w:szCs w:val="32"/>
        </w:rPr>
        <w:t>1)</w:t>
      </w:r>
    </w:p>
    <w:bookmarkEnd w:id="0"/>
    <w:p>
      <w:pPr>
        <w:ind w:firstLine="963"/>
        <w:jc w:val="center"/>
        <w:rPr>
          <w:rFonts w:ascii="仿宋_GB2312"/>
          <w:b/>
          <w:spacing w:val="20"/>
          <w:sz w:val="44"/>
          <w:szCs w:val="44"/>
        </w:rPr>
      </w:pPr>
    </w:p>
    <w:p>
      <w:pPr>
        <w:ind w:firstLine="2871" w:firstLineChars="596"/>
        <w:jc w:val="center"/>
        <w:rPr>
          <w:rFonts w:ascii="仿宋_GB2312"/>
          <w:b/>
          <w:spacing w:val="20"/>
          <w:sz w:val="44"/>
          <w:szCs w:val="44"/>
        </w:rPr>
      </w:pPr>
    </w:p>
    <w:p>
      <w:pPr>
        <w:jc w:val="center"/>
        <w:rPr>
          <w:rFonts w:ascii="仿宋_GB2312"/>
          <w:b/>
          <w:spacing w:val="20"/>
          <w:sz w:val="52"/>
          <w:szCs w:val="52"/>
        </w:rPr>
      </w:pPr>
      <w:r>
        <w:rPr>
          <w:rFonts w:hint="eastAsia" w:ascii="仿宋_GB2312"/>
          <w:b/>
          <w:spacing w:val="20"/>
          <w:sz w:val="52"/>
          <w:szCs w:val="52"/>
        </w:rPr>
        <w:t>编 制 说 明</w:t>
      </w:r>
    </w:p>
    <w:p>
      <w:pPr>
        <w:jc w:val="center"/>
      </w:pPr>
    </w:p>
    <w:p/>
    <w:p/>
    <w:p/>
    <w:p/>
    <w:p/>
    <w:p>
      <w:pPr>
        <w:adjustRightInd w:val="0"/>
        <w:snapToGrid w:val="0"/>
        <w:spacing w:line="360" w:lineRule="auto"/>
        <w:rPr>
          <w:sz w:val="30"/>
        </w:rPr>
      </w:pPr>
    </w:p>
    <w:p>
      <w:pPr>
        <w:adjustRightInd w:val="0"/>
        <w:snapToGrid w:val="0"/>
        <w:spacing w:line="360" w:lineRule="auto"/>
        <w:rPr>
          <w:sz w:val="30"/>
        </w:rPr>
      </w:pPr>
    </w:p>
    <w:p>
      <w:pPr>
        <w:adjustRightInd w:val="0"/>
        <w:snapToGrid w:val="0"/>
        <w:spacing w:line="360" w:lineRule="auto"/>
        <w:rPr>
          <w:sz w:val="30"/>
        </w:rPr>
      </w:pPr>
    </w:p>
    <w:p>
      <w:pPr>
        <w:adjustRightInd w:val="0"/>
        <w:snapToGrid w:val="0"/>
        <w:spacing w:before="120"/>
        <w:jc w:val="center"/>
        <w:rPr>
          <w:rFonts w:ascii="仿宋_GB2312"/>
          <w:b/>
          <w:bCs/>
          <w:spacing w:val="20"/>
          <w:sz w:val="36"/>
          <w:szCs w:val="36"/>
        </w:rPr>
      </w:pPr>
    </w:p>
    <w:p>
      <w:pPr>
        <w:adjustRightInd w:val="0"/>
        <w:snapToGrid w:val="0"/>
        <w:spacing w:before="120"/>
        <w:jc w:val="center"/>
        <w:rPr>
          <w:rFonts w:ascii="仿宋_GB2312"/>
          <w:b/>
          <w:bCs/>
          <w:spacing w:val="20"/>
          <w:sz w:val="36"/>
          <w:szCs w:val="36"/>
        </w:rPr>
      </w:pPr>
    </w:p>
    <w:p>
      <w:pPr>
        <w:adjustRightInd w:val="0"/>
        <w:snapToGrid w:val="0"/>
        <w:spacing w:before="120" w:line="360" w:lineRule="auto"/>
        <w:jc w:val="center"/>
        <w:rPr>
          <w:rFonts w:hint="eastAsia" w:ascii="Times New Roman" w:hAnsi="Times New Roman" w:eastAsia="宋体" w:cs="Times New Roman"/>
          <w:b/>
          <w:bCs/>
          <w:sz w:val="32"/>
          <w:szCs w:val="32"/>
        </w:rPr>
      </w:pPr>
      <w:r>
        <w:rPr>
          <w:rFonts w:hint="eastAsia" w:ascii="Times New Roman" w:hAnsi="Times New Roman" w:eastAsia="宋体" w:cs="Times New Roman"/>
          <w:b/>
          <w:bCs/>
          <w:sz w:val="32"/>
          <w:szCs w:val="32"/>
        </w:rPr>
        <w:t>《公路半刚性基层非开挖式地聚物注浆加固处置技术规程》</w:t>
      </w:r>
    </w:p>
    <w:p>
      <w:pPr>
        <w:adjustRightInd w:val="0"/>
        <w:snapToGrid w:val="0"/>
        <w:spacing w:before="120" w:line="360" w:lineRule="auto"/>
        <w:jc w:val="center"/>
        <w:rPr>
          <w:b/>
          <w:bCs/>
          <w:sz w:val="32"/>
          <w:szCs w:val="32"/>
        </w:rPr>
      </w:pPr>
      <w:r>
        <w:rPr>
          <w:rFonts w:hint="eastAsia"/>
          <w:b/>
          <w:bCs/>
          <w:sz w:val="32"/>
          <w:szCs w:val="32"/>
        </w:rPr>
        <w:t>编制组</w:t>
      </w:r>
    </w:p>
    <w:p>
      <w:pPr>
        <w:widowControl/>
        <w:spacing w:line="360" w:lineRule="auto"/>
        <w:ind w:left="200"/>
        <w:jc w:val="center"/>
        <w:rPr>
          <w:rFonts w:ascii="仿宋" w:hAnsi="仿宋" w:eastAsia="仿宋" w:cs="仿宋"/>
          <w:bCs/>
          <w:sz w:val="28"/>
          <w:szCs w:val="28"/>
          <w:lang w:val="zh-CN"/>
        </w:rPr>
        <w:sectPr>
          <w:headerReference r:id="rId5" w:type="first"/>
          <w:footerReference r:id="rId8" w:type="first"/>
          <w:headerReference r:id="rId3" w:type="default"/>
          <w:footerReference r:id="rId6" w:type="default"/>
          <w:headerReference r:id="rId4" w:type="even"/>
          <w:footerReference r:id="rId7" w:type="even"/>
          <w:pgSz w:w="12240" w:h="15840"/>
          <w:pgMar w:top="1440" w:right="1800" w:bottom="1440" w:left="1800" w:header="720" w:footer="720" w:gutter="0"/>
          <w:cols w:space="720" w:num="1"/>
          <w:titlePg/>
          <w:docGrid w:type="lines" w:linePitch="312" w:charSpace="0"/>
        </w:sectPr>
      </w:pPr>
      <w:r>
        <w:rPr>
          <w:rFonts w:hint="eastAsia" w:ascii="宋体" w:hAnsi="宋体"/>
          <w:bCs/>
          <w:sz w:val="36"/>
          <w:szCs w:val="36"/>
        </w:rPr>
        <w:t>二〇二</w:t>
      </w:r>
      <w:r>
        <w:rPr>
          <w:rFonts w:hint="eastAsia" w:ascii="宋体" w:hAnsi="宋体"/>
          <w:bCs/>
          <w:sz w:val="36"/>
          <w:szCs w:val="36"/>
          <w:lang w:val="en-US" w:eastAsia="zh-CN"/>
        </w:rPr>
        <w:t>五</w:t>
      </w:r>
      <w:r>
        <w:rPr>
          <w:rFonts w:hint="eastAsia" w:ascii="宋体" w:hAnsi="宋体"/>
          <w:bCs/>
          <w:sz w:val="36"/>
          <w:szCs w:val="36"/>
        </w:rPr>
        <w:t>年</w:t>
      </w:r>
      <w:r>
        <w:rPr>
          <w:rFonts w:hint="eastAsia" w:ascii="宋体" w:hAnsi="宋体"/>
          <w:bCs/>
          <w:sz w:val="36"/>
          <w:szCs w:val="36"/>
          <w:lang w:val="en-US" w:eastAsia="zh-CN"/>
        </w:rPr>
        <w:t>五</w:t>
      </w:r>
      <w:r>
        <w:rPr>
          <w:rFonts w:hint="eastAsia" w:ascii="宋体" w:hAnsi="宋体"/>
          <w:bCs/>
          <w:sz w:val="36"/>
          <w:szCs w:val="36"/>
        </w:rPr>
        <w:t>月</w:t>
      </w:r>
    </w:p>
    <w:p>
      <w:pPr>
        <w:pStyle w:val="3"/>
        <w:spacing w:before="120" w:after="120" w:line="360" w:lineRule="auto"/>
        <w:jc w:val="center"/>
        <w:rPr>
          <w:sz w:val="32"/>
          <w:szCs w:val="32"/>
        </w:rPr>
      </w:pPr>
      <w:bookmarkStart w:id="1" w:name="_Toc39052450"/>
      <w:r>
        <w:rPr>
          <w:rFonts w:hint="eastAsia"/>
          <w:sz w:val="32"/>
          <w:szCs w:val="32"/>
        </w:rPr>
        <w:t>目录</w:t>
      </w:r>
      <w:bookmarkEnd w:id="1"/>
    </w:p>
    <w:p>
      <w:pPr>
        <w:pStyle w:val="9"/>
        <w:tabs>
          <w:tab w:val="right" w:leader="dot" w:pos="8296"/>
        </w:tabs>
        <w:rPr>
          <w:sz w:val="24"/>
        </w:rPr>
      </w:pPr>
      <w:r>
        <w:rPr>
          <w:sz w:val="24"/>
        </w:rPr>
        <w:fldChar w:fldCharType="begin"/>
      </w:r>
      <w:r>
        <w:rPr>
          <w:sz w:val="24"/>
        </w:rPr>
        <w:instrText xml:space="preserve"> TOC \o "1-1" \h \z \u </w:instrText>
      </w:r>
      <w:r>
        <w:rPr>
          <w:sz w:val="24"/>
        </w:rPr>
        <w:fldChar w:fldCharType="separate"/>
      </w:r>
    </w:p>
    <w:p>
      <w:pPr>
        <w:pStyle w:val="9"/>
        <w:tabs>
          <w:tab w:val="right" w:leader="dot" w:pos="8296"/>
        </w:tabs>
        <w:rPr>
          <w:sz w:val="24"/>
        </w:rPr>
      </w:pPr>
      <w:r>
        <w:fldChar w:fldCharType="begin"/>
      </w:r>
      <w:r>
        <w:instrText xml:space="preserve"> HYPERLINK \l "_Toc39052451" </w:instrText>
      </w:r>
      <w:r>
        <w:fldChar w:fldCharType="separate"/>
      </w:r>
      <w:r>
        <w:rPr>
          <w:rStyle w:val="14"/>
          <w:rFonts w:hint="eastAsia"/>
          <w:sz w:val="24"/>
        </w:rPr>
        <w:t>一、制定本规程的目的和意义</w:t>
      </w:r>
      <w:r>
        <w:rPr>
          <w:sz w:val="24"/>
        </w:rPr>
        <w:tab/>
      </w:r>
      <w:r>
        <w:rPr>
          <w:sz w:val="24"/>
        </w:rPr>
        <w:fldChar w:fldCharType="begin"/>
      </w:r>
      <w:r>
        <w:rPr>
          <w:sz w:val="24"/>
        </w:rPr>
        <w:instrText xml:space="preserve"> PAGEREF _Toc39052451 \h </w:instrText>
      </w:r>
      <w:r>
        <w:rPr>
          <w:sz w:val="24"/>
        </w:rPr>
        <w:fldChar w:fldCharType="separate"/>
      </w:r>
      <w:r>
        <w:rPr>
          <w:sz w:val="24"/>
        </w:rPr>
        <w:t>1</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"_Toc39052452" </w:instrText>
      </w:r>
      <w:r>
        <w:fldChar w:fldCharType="separate"/>
      </w:r>
      <w:r>
        <w:rPr>
          <w:rStyle w:val="14"/>
          <w:rFonts w:hint="eastAsia"/>
          <w:sz w:val="24"/>
        </w:rPr>
        <w:t>二、工作简况</w:t>
      </w:r>
      <w:r>
        <w:rPr>
          <w:sz w:val="24"/>
        </w:rPr>
        <w:tab/>
      </w:r>
      <w:r>
        <w:rPr>
          <w:sz w:val="24"/>
        </w:rPr>
        <w:fldChar w:fldCharType="begin"/>
      </w:r>
      <w:r>
        <w:rPr>
          <w:sz w:val="24"/>
        </w:rPr>
        <w:instrText xml:space="preserve"> PAGEREF _Toc39052452 \h </w:instrText>
      </w:r>
      <w:r>
        <w:rPr>
          <w:sz w:val="24"/>
        </w:rPr>
        <w:fldChar w:fldCharType="separate"/>
      </w:r>
      <w:r>
        <w:rPr>
          <w:sz w:val="24"/>
        </w:rPr>
        <w:t>2</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"_Toc39052453" </w:instrText>
      </w:r>
      <w:r>
        <w:fldChar w:fldCharType="separate"/>
      </w:r>
      <w:r>
        <w:rPr>
          <w:rStyle w:val="14"/>
          <w:rFonts w:hint="eastAsia"/>
          <w:sz w:val="24"/>
        </w:rPr>
        <w:t>三、所涉及的产品、适用范围</w:t>
      </w:r>
      <w:r>
        <w:rPr>
          <w:sz w:val="24"/>
        </w:rPr>
        <w:tab/>
      </w:r>
      <w:r>
        <w:rPr>
          <w:sz w:val="24"/>
        </w:rPr>
        <w:fldChar w:fldCharType="begin"/>
      </w:r>
      <w:r>
        <w:rPr>
          <w:sz w:val="24"/>
        </w:rPr>
        <w:instrText xml:space="preserve"> PAGEREF _Toc39052453 \h </w:instrText>
      </w:r>
      <w:r>
        <w:rPr>
          <w:sz w:val="24"/>
        </w:rPr>
        <w:fldChar w:fldCharType="separate"/>
      </w:r>
      <w:r>
        <w:rPr>
          <w:sz w:val="24"/>
        </w:rPr>
        <w:t>3</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"_Toc39052454" </w:instrText>
      </w:r>
      <w:r>
        <w:fldChar w:fldCharType="separate"/>
      </w:r>
      <w:r>
        <w:rPr>
          <w:rStyle w:val="14"/>
          <w:rFonts w:hint="eastAsia"/>
          <w:sz w:val="24"/>
        </w:rPr>
        <w:t>四、制定本规程的原则和依据</w:t>
      </w:r>
      <w:r>
        <w:rPr>
          <w:sz w:val="24"/>
        </w:rPr>
        <w:tab/>
      </w:r>
      <w:r>
        <w:rPr>
          <w:sz w:val="24"/>
        </w:rPr>
        <w:fldChar w:fldCharType="begin"/>
      </w:r>
      <w:r>
        <w:rPr>
          <w:sz w:val="24"/>
        </w:rPr>
        <w:instrText xml:space="preserve"> PAGEREF _Toc39052454 \h </w:instrText>
      </w:r>
      <w:r>
        <w:rPr>
          <w:sz w:val="24"/>
        </w:rPr>
        <w:fldChar w:fldCharType="separate"/>
      </w:r>
      <w:r>
        <w:rPr>
          <w:sz w:val="24"/>
        </w:rPr>
        <w:t>3</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"_Toc39052455" </w:instrText>
      </w:r>
      <w:r>
        <w:fldChar w:fldCharType="separate"/>
      </w:r>
      <w:r>
        <w:rPr>
          <w:rStyle w:val="14"/>
          <w:rFonts w:hint="eastAsia"/>
          <w:sz w:val="24"/>
        </w:rPr>
        <w:t>五、主要技术内容的说明和论证</w:t>
      </w:r>
      <w:r>
        <w:rPr>
          <w:sz w:val="24"/>
        </w:rPr>
        <w:tab/>
      </w:r>
      <w:r>
        <w:rPr>
          <w:sz w:val="24"/>
        </w:rPr>
        <w:fldChar w:fldCharType="begin"/>
      </w:r>
      <w:r>
        <w:rPr>
          <w:sz w:val="24"/>
        </w:rPr>
        <w:instrText xml:space="preserve"> PAGEREF _Toc39052455 \h </w:instrText>
      </w:r>
      <w:r>
        <w:rPr>
          <w:sz w:val="24"/>
        </w:rPr>
        <w:fldChar w:fldCharType="separate"/>
      </w:r>
      <w:r>
        <w:rPr>
          <w:sz w:val="24"/>
        </w:rPr>
        <w:t>4</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"_Toc39052456" </w:instrText>
      </w:r>
      <w:r>
        <w:fldChar w:fldCharType="separate"/>
      </w:r>
      <w:r>
        <w:rPr>
          <w:rStyle w:val="14"/>
          <w:rFonts w:hint="eastAsia"/>
          <w:sz w:val="24"/>
        </w:rPr>
        <w:t>六、与现行法律、法规、国家标准一致情况的说明</w:t>
      </w:r>
      <w:r>
        <w:rPr>
          <w:sz w:val="24"/>
        </w:rPr>
        <w:tab/>
      </w:r>
      <w:r>
        <w:rPr>
          <w:sz w:val="24"/>
        </w:rPr>
        <w:fldChar w:fldCharType="begin"/>
      </w:r>
      <w:r>
        <w:rPr>
          <w:sz w:val="24"/>
        </w:rPr>
        <w:instrText xml:space="preserve"> PAGEREF _Toc39052456 \h </w:instrText>
      </w:r>
      <w:r>
        <w:rPr>
          <w:sz w:val="24"/>
        </w:rPr>
        <w:fldChar w:fldCharType="separate"/>
      </w:r>
      <w:r>
        <w:rPr>
          <w:sz w:val="24"/>
        </w:rPr>
        <w:t>5</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"_Toc39052457" </w:instrText>
      </w:r>
      <w:r>
        <w:fldChar w:fldCharType="separate"/>
      </w:r>
      <w:r>
        <w:rPr>
          <w:rStyle w:val="14"/>
          <w:rFonts w:hint="eastAsia"/>
          <w:sz w:val="24"/>
        </w:rPr>
        <w:t>七、重大分歧意见的处理经过和依据</w:t>
      </w:r>
      <w:r>
        <w:rPr>
          <w:sz w:val="24"/>
        </w:rPr>
        <w:tab/>
      </w:r>
      <w:r>
        <w:rPr>
          <w:sz w:val="24"/>
        </w:rPr>
        <w:fldChar w:fldCharType="begin"/>
      </w:r>
      <w:r>
        <w:rPr>
          <w:sz w:val="24"/>
        </w:rPr>
        <w:instrText xml:space="preserve"> PAGEREF _Toc39052457 \h </w:instrText>
      </w:r>
      <w:r>
        <w:rPr>
          <w:sz w:val="24"/>
        </w:rPr>
        <w:fldChar w:fldCharType="separate"/>
      </w:r>
      <w:r>
        <w:rPr>
          <w:sz w:val="24"/>
        </w:rPr>
        <w:t>5</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"_Toc39052458" </w:instrText>
      </w:r>
      <w:r>
        <w:fldChar w:fldCharType="separate"/>
      </w:r>
      <w:r>
        <w:rPr>
          <w:rStyle w:val="14"/>
          <w:rFonts w:hint="eastAsia"/>
          <w:sz w:val="24"/>
        </w:rPr>
        <w:t>八、标准性质的建议说明</w:t>
      </w:r>
      <w:r>
        <w:rPr>
          <w:sz w:val="24"/>
        </w:rPr>
        <w:tab/>
      </w:r>
      <w:r>
        <w:rPr>
          <w:sz w:val="24"/>
        </w:rPr>
        <w:fldChar w:fldCharType="begin"/>
      </w:r>
      <w:r>
        <w:rPr>
          <w:sz w:val="24"/>
        </w:rPr>
        <w:instrText xml:space="preserve"> PAGEREF _Toc39052458 \h </w:instrText>
      </w:r>
      <w:r>
        <w:rPr>
          <w:sz w:val="24"/>
        </w:rPr>
        <w:fldChar w:fldCharType="separate"/>
      </w:r>
      <w:r>
        <w:rPr>
          <w:sz w:val="24"/>
        </w:rPr>
        <w:t>5</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"_Toc39052459" </w:instrText>
      </w:r>
      <w:r>
        <w:fldChar w:fldCharType="separate"/>
      </w:r>
      <w:r>
        <w:rPr>
          <w:rStyle w:val="14"/>
          <w:rFonts w:hint="eastAsia"/>
          <w:sz w:val="24"/>
        </w:rPr>
        <w:t>九、贯彻地方标准的要求和建议措施</w:t>
      </w:r>
      <w:r>
        <w:rPr>
          <w:sz w:val="24"/>
        </w:rPr>
        <w:tab/>
      </w:r>
      <w:r>
        <w:rPr>
          <w:sz w:val="24"/>
        </w:rPr>
        <w:fldChar w:fldCharType="begin"/>
      </w:r>
      <w:r>
        <w:rPr>
          <w:sz w:val="24"/>
        </w:rPr>
        <w:instrText xml:space="preserve"> PAGEREF _Toc39052459 \h </w:instrText>
      </w:r>
      <w:r>
        <w:rPr>
          <w:sz w:val="24"/>
        </w:rPr>
        <w:fldChar w:fldCharType="separate"/>
      </w:r>
      <w:r>
        <w:rPr>
          <w:sz w:val="24"/>
        </w:rPr>
        <w:t>5</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"_Toc39052460" </w:instrText>
      </w:r>
      <w:r>
        <w:fldChar w:fldCharType="separate"/>
      </w:r>
      <w:r>
        <w:rPr>
          <w:rStyle w:val="14"/>
          <w:rFonts w:hint="eastAsia"/>
          <w:sz w:val="24"/>
        </w:rPr>
        <w:t>十、废止现行相关标准的建议</w:t>
      </w:r>
      <w:r>
        <w:rPr>
          <w:sz w:val="24"/>
        </w:rPr>
        <w:tab/>
      </w:r>
      <w:r>
        <w:rPr>
          <w:sz w:val="24"/>
        </w:rPr>
        <w:fldChar w:fldCharType="begin"/>
      </w:r>
      <w:r>
        <w:rPr>
          <w:sz w:val="24"/>
        </w:rPr>
        <w:instrText xml:space="preserve"> PAGEREF _Toc39052460 \h </w:instrText>
      </w:r>
      <w:r>
        <w:rPr>
          <w:sz w:val="24"/>
        </w:rPr>
        <w:fldChar w:fldCharType="separate"/>
      </w:r>
      <w:r>
        <w:rPr>
          <w:sz w:val="24"/>
        </w:rPr>
        <w:t>6</w:t>
      </w:r>
      <w:r>
        <w:rPr>
          <w:sz w:val="24"/>
        </w:rPr>
        <w:fldChar w:fldCharType="end"/>
      </w:r>
      <w:r>
        <w:rPr>
          <w:sz w:val="24"/>
        </w:rPr>
        <w:fldChar w:fldCharType="end"/>
      </w:r>
    </w:p>
    <w:p>
      <w:pPr>
        <w:pStyle w:val="9"/>
        <w:tabs>
          <w:tab w:val="right" w:leader="dot" w:pos="8296"/>
        </w:tabs>
        <w:rPr>
          <w:sz w:val="24"/>
        </w:rPr>
      </w:pPr>
      <w:r>
        <w:fldChar w:fldCharType="begin"/>
      </w:r>
      <w:r>
        <w:instrText xml:space="preserve"> HYPERLINK \l "_Toc39052461" </w:instrText>
      </w:r>
      <w:r>
        <w:fldChar w:fldCharType="separate"/>
      </w:r>
      <w:r>
        <w:rPr>
          <w:rStyle w:val="14"/>
          <w:rFonts w:hint="eastAsia"/>
          <w:sz w:val="24"/>
        </w:rPr>
        <w:t>十一、其他应说明事项</w:t>
      </w:r>
      <w:r>
        <w:rPr>
          <w:sz w:val="24"/>
        </w:rPr>
        <w:tab/>
      </w:r>
      <w:r>
        <w:rPr>
          <w:sz w:val="24"/>
        </w:rPr>
        <w:fldChar w:fldCharType="begin"/>
      </w:r>
      <w:r>
        <w:rPr>
          <w:sz w:val="24"/>
        </w:rPr>
        <w:instrText xml:space="preserve"> PAGEREF _Toc39052461 \h </w:instrText>
      </w:r>
      <w:r>
        <w:rPr>
          <w:sz w:val="24"/>
        </w:rPr>
        <w:fldChar w:fldCharType="separate"/>
      </w:r>
      <w:r>
        <w:rPr>
          <w:sz w:val="24"/>
        </w:rPr>
        <w:t>6</w:t>
      </w:r>
      <w:r>
        <w:rPr>
          <w:sz w:val="24"/>
        </w:rPr>
        <w:fldChar w:fldCharType="end"/>
      </w:r>
      <w:r>
        <w:rPr>
          <w:sz w:val="24"/>
        </w:rPr>
        <w:fldChar w:fldCharType="end"/>
      </w:r>
    </w:p>
    <w:p>
      <w:pPr>
        <w:rPr>
          <w:sz w:val="24"/>
        </w:rPr>
        <w:sectPr>
          <w:footerReference r:id="rId9" w:type="default"/>
          <w:pgSz w:w="11906" w:h="16838"/>
          <w:pgMar w:top="1440" w:right="1800" w:bottom="1440" w:left="1800" w:header="851" w:footer="992" w:gutter="0"/>
          <w:pgNumType w:start="1"/>
          <w:cols w:space="425" w:num="1"/>
          <w:docGrid w:type="lines" w:linePitch="312" w:charSpace="0"/>
        </w:sectPr>
      </w:pPr>
      <w:r>
        <w:rPr>
          <w:sz w:val="24"/>
        </w:rPr>
        <w:fldChar w:fldCharType="end"/>
      </w:r>
    </w:p>
    <w:p>
      <w:pPr>
        <w:pStyle w:val="3"/>
        <w:spacing w:before="120" w:after="120" w:line="360" w:lineRule="auto"/>
        <w:ind w:left="660"/>
        <w:jc w:val="center"/>
        <w:rPr>
          <w:sz w:val="32"/>
          <w:szCs w:val="32"/>
        </w:rPr>
      </w:pPr>
      <w:r>
        <w:rPr>
          <w:sz w:val="32"/>
          <w:szCs w:val="32"/>
        </w:rPr>
        <w:t>引</w:t>
      </w:r>
      <w:r>
        <w:rPr>
          <w:rFonts w:hint="eastAsia"/>
          <w:sz w:val="32"/>
          <w:szCs w:val="32"/>
        </w:rPr>
        <w:t xml:space="preserve"> </w:t>
      </w:r>
      <w:r>
        <w:rPr>
          <w:sz w:val="32"/>
          <w:szCs w:val="32"/>
        </w:rPr>
        <w:t>言</w:t>
      </w:r>
    </w:p>
    <w:p>
      <w:pPr>
        <w:pStyle w:val="3"/>
        <w:numPr>
          <w:ilvl w:val="0"/>
          <w:numId w:val="2"/>
        </w:numPr>
        <w:spacing w:before="120" w:after="120" w:line="360" w:lineRule="auto"/>
        <w:rPr>
          <w:sz w:val="32"/>
          <w:szCs w:val="32"/>
        </w:rPr>
      </w:pPr>
      <w:bookmarkStart w:id="2" w:name="_Toc39052451"/>
      <w:r>
        <w:rPr>
          <w:rFonts w:hint="eastAsia"/>
          <w:sz w:val="32"/>
          <w:szCs w:val="32"/>
        </w:rPr>
        <w:t>制定本规程的目的和意义</w:t>
      </w:r>
      <w:bookmarkEnd w:id="2"/>
    </w:p>
    <w:p>
      <w:pPr>
        <w:spacing w:line="360" w:lineRule="auto"/>
        <w:ind w:firstLine="560" w:firstLineChars="200"/>
        <w:rPr>
          <w:rFonts w:hAnsi="仿宋_GB2312" w:eastAsia="仿宋_GB2312"/>
          <w:sz w:val="28"/>
          <w:szCs w:val="28"/>
        </w:rPr>
      </w:pPr>
      <w:r>
        <w:rPr>
          <w:rFonts w:hAnsi="仿宋_GB2312" w:eastAsia="仿宋_GB2312"/>
          <w:sz w:val="28"/>
          <w:szCs w:val="28"/>
        </w:rPr>
        <w:t>沥青路面半刚性基层有着抗压、抗弯强度高、稳定性好、刚性大、建设成本低的优势，但同时半刚性基层的胀缩系数大而产生收缩裂缝会引起面层的反射裂缝，影响道路的服役质量与寿命。传统的</w:t>
      </w:r>
      <w:r>
        <w:rPr>
          <w:rFonts w:hint="eastAsia" w:hAnsi="仿宋_GB2312" w:eastAsia="仿宋_GB2312"/>
          <w:sz w:val="28"/>
          <w:szCs w:val="28"/>
        </w:rPr>
        <w:t>半刚性基层裂缝修复</w:t>
      </w:r>
      <w:r>
        <w:rPr>
          <w:rFonts w:hAnsi="仿宋_GB2312" w:eastAsia="仿宋_GB2312"/>
          <w:sz w:val="28"/>
          <w:szCs w:val="28"/>
        </w:rPr>
        <w:t>注浆材料及工艺在修复整体性和稳定性方面效果差强人意。除此之外，我省的工业固废年产量约4400万吨，累计堆放量达8.9亿吨，工业固体废物产生量及堆放量均居全国前列，且利用率低，随着生态文明建设的深入推进和环保要求的不断提升，“化废弃物为资源、变负担为财富”逐渐成为我国生态文明建设的迫切需求，如何将这些固体废弃物变废为宝，成为一个备受关注的问题。</w:t>
      </w:r>
    </w:p>
    <w:p>
      <w:pPr>
        <w:ind w:firstLine="560" w:firstLineChars="200"/>
        <w:rPr>
          <w:rFonts w:hAnsi="仿宋_GB2312" w:eastAsia="仿宋_GB2312"/>
          <w:sz w:val="28"/>
          <w:szCs w:val="28"/>
        </w:rPr>
      </w:pPr>
      <w:r>
        <w:rPr>
          <w:rFonts w:hint="eastAsia" w:hAnsi="仿宋_GB2312" w:eastAsia="仿宋_GB2312"/>
          <w:sz w:val="28"/>
          <w:szCs w:val="28"/>
        </w:rPr>
        <w:t>国内外主要处治裂缝技术有贴缝带处治法、灌缝法、挖补法、罩面法等，均为针对面层裂缝的处治，极少处治至半刚性基层，基层处置施工难度大，费用多，对交通影响大，一般会采取相应措施延缓裂缝的产生和发展，无法对裂缝进行根治，3-5年后裂缝又会重新反射至面层。</w:t>
      </w:r>
      <w:r>
        <w:rPr>
          <w:rFonts w:hAnsi="仿宋_GB2312" w:eastAsia="仿宋_GB2312"/>
          <w:sz w:val="28"/>
          <w:szCs w:val="28"/>
        </w:rPr>
        <w:t>目前，我国其它省份，如辽宁、</w:t>
      </w:r>
      <w:r>
        <w:rPr>
          <w:rFonts w:hint="eastAsia" w:hAnsi="仿宋_GB2312" w:eastAsia="仿宋_GB2312"/>
          <w:sz w:val="28"/>
          <w:szCs w:val="28"/>
          <w:lang w:val="en-US" w:eastAsia="zh-CN"/>
        </w:rPr>
        <w:t>河南</w:t>
      </w:r>
      <w:r>
        <w:rPr>
          <w:rFonts w:hAnsi="仿宋_GB2312" w:eastAsia="仿宋_GB2312"/>
          <w:sz w:val="28"/>
          <w:szCs w:val="28"/>
        </w:rPr>
        <w:t>、</w:t>
      </w:r>
      <w:r>
        <w:rPr>
          <w:rFonts w:hint="eastAsia" w:hAnsi="仿宋_GB2312" w:eastAsia="仿宋_GB2312"/>
          <w:sz w:val="28"/>
          <w:szCs w:val="28"/>
          <w:lang w:val="en-US" w:eastAsia="zh-CN"/>
        </w:rPr>
        <w:t>河北</w:t>
      </w:r>
      <w:r>
        <w:rPr>
          <w:rFonts w:hAnsi="仿宋_GB2312" w:eastAsia="仿宋_GB2312"/>
          <w:sz w:val="28"/>
          <w:szCs w:val="28"/>
        </w:rPr>
        <w:t>等省，已意识到</w:t>
      </w:r>
      <w:r>
        <w:rPr>
          <w:rFonts w:hint="eastAsia" w:hAnsi="仿宋_GB2312" w:eastAsia="仿宋_GB2312"/>
          <w:sz w:val="28"/>
          <w:szCs w:val="28"/>
        </w:rPr>
        <w:t>对半刚性基层裂缝进行根治</w:t>
      </w:r>
      <w:r>
        <w:rPr>
          <w:rFonts w:hint="eastAsia" w:hAnsi="仿宋_GB2312" w:eastAsia="仿宋_GB2312"/>
          <w:sz w:val="28"/>
          <w:szCs w:val="28"/>
          <w:lang w:eastAsia="zh-CN"/>
        </w:rPr>
        <w:t>，</w:t>
      </w:r>
      <w:r>
        <w:rPr>
          <w:rFonts w:hint="eastAsia" w:hAnsi="仿宋_GB2312" w:eastAsia="仿宋_GB2312"/>
          <w:sz w:val="28"/>
          <w:szCs w:val="28"/>
        </w:rPr>
        <w:t>对解决公路养护中的裂缝病害，延长道路使用寿命</w:t>
      </w:r>
      <w:r>
        <w:rPr>
          <w:rFonts w:hint="eastAsia" w:hAnsi="仿宋_GB2312" w:eastAsia="仿宋_GB2312"/>
          <w:sz w:val="28"/>
          <w:szCs w:val="28"/>
          <w:lang w:val="en-US" w:eastAsia="zh-CN"/>
        </w:rPr>
        <w:t>的重要性</w:t>
      </w:r>
      <w:r>
        <w:rPr>
          <w:rFonts w:hint="eastAsia" w:hAnsi="仿宋_GB2312" w:eastAsia="仿宋_GB2312"/>
          <w:sz w:val="28"/>
          <w:szCs w:val="28"/>
        </w:rPr>
        <w:t>。</w:t>
      </w:r>
    </w:p>
    <w:p>
      <w:pPr>
        <w:ind w:firstLine="560" w:firstLineChars="200"/>
        <w:rPr>
          <w:rFonts w:ascii="Times New Roman" w:hAnsi="仿宋_GB2312" w:eastAsia="仿宋_GB2312" w:cs="Times New Roman"/>
          <w:sz w:val="28"/>
          <w:szCs w:val="28"/>
        </w:rPr>
      </w:pPr>
      <w:r>
        <w:rPr>
          <w:rFonts w:hAnsi="仿宋_GB2312" w:eastAsia="仿宋_GB2312"/>
          <w:sz w:val="28"/>
          <w:szCs w:val="28"/>
        </w:rPr>
        <w:t>而我省目前还未提</w:t>
      </w:r>
      <w:r>
        <w:rPr>
          <w:rFonts w:ascii="Times New Roman" w:hAnsi="仿宋_GB2312" w:eastAsia="仿宋_GB2312" w:cs="Times New Roman"/>
          <w:sz w:val="28"/>
          <w:szCs w:val="28"/>
        </w:rPr>
        <w:t>出公路半刚性基层非开挖式地聚物注浆加固处置要求和合</w:t>
      </w:r>
      <w:r>
        <w:rPr>
          <w:rFonts w:hAnsi="仿宋_GB2312" w:eastAsia="仿宋_GB2312"/>
          <w:sz w:val="28"/>
          <w:szCs w:val="28"/>
        </w:rPr>
        <w:t>理控制范围。因此，借鉴国内外</w:t>
      </w:r>
      <w:r>
        <w:rPr>
          <w:rFonts w:hint="eastAsia" w:hAnsi="仿宋_GB2312" w:eastAsia="仿宋_GB2312"/>
          <w:sz w:val="28"/>
          <w:szCs w:val="28"/>
          <w:lang w:val="en-US" w:eastAsia="zh-CN"/>
        </w:rPr>
        <w:t>半刚性基层修复</w:t>
      </w:r>
      <w:r>
        <w:rPr>
          <w:rFonts w:hAnsi="仿宋_GB2312" w:eastAsia="仿宋_GB2312"/>
          <w:sz w:val="28"/>
          <w:szCs w:val="28"/>
        </w:rPr>
        <w:t>的先进方法，基于</w:t>
      </w:r>
      <w:r>
        <w:rPr>
          <w:rFonts w:hint="eastAsia" w:hAnsi="仿宋_GB2312" w:eastAsia="仿宋_GB2312"/>
          <w:sz w:val="28"/>
          <w:szCs w:val="28"/>
          <w:lang w:val="en-US" w:eastAsia="zh-CN"/>
        </w:rPr>
        <w:t>低成本地聚物注浆技术</w:t>
      </w:r>
      <w:r>
        <w:rPr>
          <w:rFonts w:hAnsi="仿宋_GB2312" w:eastAsia="仿宋_GB2312"/>
          <w:sz w:val="28"/>
          <w:szCs w:val="28"/>
        </w:rPr>
        <w:t>，提出我省</w:t>
      </w:r>
      <w:r>
        <w:rPr>
          <w:rFonts w:hint="eastAsia" w:hAnsi="仿宋_GB2312" w:eastAsia="仿宋_GB2312"/>
          <w:sz w:val="28"/>
          <w:szCs w:val="28"/>
          <w:lang w:val="en-US" w:eastAsia="zh-CN"/>
        </w:rPr>
        <w:t>半刚性基层快速修补</w:t>
      </w:r>
      <w:r>
        <w:rPr>
          <w:rFonts w:hAnsi="仿宋_GB2312" w:eastAsia="仿宋_GB2312"/>
          <w:sz w:val="28"/>
          <w:szCs w:val="28"/>
        </w:rPr>
        <w:t>的方法、要求，</w:t>
      </w:r>
      <w:r>
        <w:rPr>
          <w:rFonts w:hint="eastAsia" w:hAnsi="仿宋_GB2312" w:eastAsia="仿宋_GB2312"/>
          <w:sz w:val="28"/>
          <w:szCs w:val="28"/>
          <w:lang w:val="en-US" w:eastAsia="zh-CN"/>
        </w:rPr>
        <w:t>根治我省半刚性基层病害</w:t>
      </w:r>
      <w:r>
        <w:rPr>
          <w:rFonts w:ascii="Times New Roman" w:hAnsi="仿宋_GB2312" w:eastAsia="仿宋_GB2312" w:cs="Times New Roman"/>
          <w:sz w:val="28"/>
          <w:szCs w:val="28"/>
        </w:rPr>
        <w:t>，</w:t>
      </w:r>
      <w:bookmarkStart w:id="3" w:name="_Hlk61598310"/>
      <w:r>
        <w:rPr>
          <w:rFonts w:hint="eastAsia" w:ascii="Times New Roman" w:hAnsi="仿宋_GB2312" w:eastAsia="仿宋_GB2312" w:cs="Times New Roman"/>
          <w:sz w:val="28"/>
          <w:szCs w:val="28"/>
          <w:lang w:val="en-US" w:eastAsia="zh-CN"/>
        </w:rPr>
        <w:t>为</w:t>
      </w:r>
      <w:r>
        <w:rPr>
          <w:rFonts w:ascii="Times New Roman" w:hAnsi="仿宋_GB2312" w:eastAsia="仿宋_GB2312" w:cs="Times New Roman"/>
          <w:sz w:val="28"/>
          <w:szCs w:val="28"/>
        </w:rPr>
        <w:t>延长</w:t>
      </w:r>
      <w:r>
        <w:rPr>
          <w:rFonts w:hint="eastAsia" w:ascii="Times New Roman" w:hAnsi="仿宋_GB2312" w:eastAsia="仿宋_GB2312" w:cs="Times New Roman"/>
          <w:sz w:val="28"/>
          <w:szCs w:val="28"/>
          <w:lang w:val="en-US" w:eastAsia="zh-CN"/>
        </w:rPr>
        <w:t>道路</w:t>
      </w:r>
      <w:r>
        <w:rPr>
          <w:rFonts w:ascii="Times New Roman" w:hAnsi="仿宋_GB2312" w:eastAsia="仿宋_GB2312" w:cs="Times New Roman"/>
          <w:sz w:val="28"/>
          <w:szCs w:val="28"/>
        </w:rPr>
        <w:t>使用寿命</w:t>
      </w:r>
      <w:bookmarkEnd w:id="3"/>
      <w:r>
        <w:rPr>
          <w:rFonts w:ascii="Times New Roman" w:hAnsi="仿宋_GB2312" w:eastAsia="仿宋_GB2312" w:cs="Times New Roman"/>
          <w:sz w:val="28"/>
          <w:szCs w:val="28"/>
        </w:rPr>
        <w:t>，提供技术支撑。</w:t>
      </w:r>
    </w:p>
    <w:p>
      <w:pPr>
        <w:widowControl/>
        <w:spacing w:line="700" w:lineRule="exact"/>
        <w:ind w:firstLine="560" w:firstLineChars="200"/>
        <w:jc w:val="both"/>
        <w:rPr>
          <w:rFonts w:hint="eastAsia" w:ascii="Times New Roman" w:hAnsi="仿宋_GB2312" w:eastAsia="仿宋_GB2312" w:cs="Times New Roman"/>
          <w:sz w:val="28"/>
          <w:szCs w:val="28"/>
          <w:lang w:val="en-US" w:eastAsia="zh-CN"/>
        </w:rPr>
      </w:pPr>
      <w:r>
        <w:rPr>
          <w:rFonts w:hint="eastAsia" w:eastAsia="仿宋_GB2312"/>
          <w:sz w:val="28"/>
          <w:szCs w:val="28"/>
        </w:rPr>
        <w:t>根</w:t>
      </w:r>
      <w:r>
        <w:rPr>
          <w:rFonts w:hint="eastAsia" w:ascii="Times New Roman" w:hAnsi="仿宋_GB2312" w:eastAsia="仿宋_GB2312" w:cs="Times New Roman"/>
          <w:sz w:val="28"/>
          <w:szCs w:val="28"/>
          <w:lang w:val="en-US" w:eastAsia="zh-CN"/>
        </w:rPr>
        <w:t>据甘肃省市场监督管理局《关于下达2024年度第2批地方标准制修订计划的函》（甘市监函[2024]44号）的要求，由甘肃省公路事业发展中心、甘肃畅陇公路养护技术研究院有限公司、陇南公路事业发展中心、甘肃省交通规划勘察设计院股份有限公司负责编制《公路半刚性基层非开挖式地聚物注浆加固处置技术规程》。</w:t>
      </w:r>
    </w:p>
    <w:p>
      <w:pPr>
        <w:spacing w:line="360" w:lineRule="auto"/>
        <w:ind w:firstLine="560" w:firstLineChars="200"/>
        <w:rPr>
          <w:rFonts w:eastAsia="仿宋_GB2312"/>
          <w:sz w:val="28"/>
          <w:szCs w:val="28"/>
        </w:rPr>
      </w:pPr>
      <w:r>
        <w:rPr>
          <w:rFonts w:hint="eastAsia" w:eastAsia="仿宋_GB2312"/>
          <w:sz w:val="28"/>
          <w:szCs w:val="28"/>
        </w:rPr>
        <w:t>本规程共</w:t>
      </w:r>
      <w:r>
        <w:rPr>
          <w:rFonts w:hint="eastAsia" w:eastAsia="仿宋_GB2312"/>
          <w:sz w:val="28"/>
          <w:szCs w:val="28"/>
          <w:lang w:val="en-US" w:eastAsia="zh-CN"/>
        </w:rPr>
        <w:t>9</w:t>
      </w:r>
      <w:r>
        <w:rPr>
          <w:rFonts w:hint="eastAsia" w:eastAsia="仿宋_GB2312"/>
          <w:sz w:val="28"/>
          <w:szCs w:val="28"/>
        </w:rPr>
        <w:t>章，主要技术内容包括： 1.范围；2.规范性引用文件；3.术语和定义；4.道路病害调查；5.注浆材料；6.注浆设备</w:t>
      </w:r>
      <w:r>
        <w:rPr>
          <w:rFonts w:hint="eastAsia" w:eastAsia="仿宋_GB2312"/>
          <w:sz w:val="28"/>
          <w:szCs w:val="28"/>
          <w:lang w:eastAsia="zh-CN"/>
        </w:rPr>
        <w:t>；</w:t>
      </w:r>
      <w:r>
        <w:rPr>
          <w:rFonts w:hint="eastAsia" w:eastAsia="仿宋_GB2312"/>
          <w:sz w:val="28"/>
          <w:szCs w:val="28"/>
          <w:lang w:val="en-US" w:eastAsia="zh-CN"/>
        </w:rPr>
        <w:t>7.</w:t>
      </w:r>
      <w:r>
        <w:rPr>
          <w:rFonts w:hint="eastAsia" w:eastAsia="仿宋_GB2312"/>
          <w:sz w:val="28"/>
          <w:szCs w:val="28"/>
        </w:rPr>
        <w:t>注浆加固设计</w:t>
      </w:r>
      <w:r>
        <w:rPr>
          <w:rFonts w:hint="eastAsia" w:eastAsia="仿宋_GB2312"/>
          <w:sz w:val="28"/>
          <w:szCs w:val="28"/>
          <w:lang w:eastAsia="zh-CN"/>
        </w:rPr>
        <w:t>；</w:t>
      </w:r>
      <w:r>
        <w:rPr>
          <w:rFonts w:hint="eastAsia" w:eastAsia="仿宋_GB2312"/>
          <w:sz w:val="28"/>
          <w:szCs w:val="28"/>
          <w:lang w:val="en-US" w:eastAsia="zh-CN"/>
        </w:rPr>
        <w:t>8.</w:t>
      </w:r>
      <w:r>
        <w:rPr>
          <w:rFonts w:hint="eastAsia" w:eastAsia="仿宋_GB2312"/>
          <w:sz w:val="28"/>
          <w:szCs w:val="28"/>
        </w:rPr>
        <w:t>地聚物注浆施工</w:t>
      </w:r>
      <w:r>
        <w:rPr>
          <w:rFonts w:hint="eastAsia" w:eastAsia="仿宋_GB2312"/>
          <w:sz w:val="28"/>
          <w:szCs w:val="28"/>
          <w:lang w:eastAsia="zh-CN"/>
        </w:rPr>
        <w:t>；</w:t>
      </w:r>
      <w:r>
        <w:rPr>
          <w:rFonts w:hint="eastAsia" w:eastAsia="仿宋_GB2312"/>
          <w:sz w:val="28"/>
          <w:szCs w:val="28"/>
          <w:lang w:val="en-US" w:eastAsia="zh-CN"/>
        </w:rPr>
        <w:t>9.</w:t>
      </w:r>
      <w:r>
        <w:rPr>
          <w:rFonts w:hint="eastAsia" w:eastAsia="仿宋_GB2312"/>
          <w:sz w:val="28"/>
          <w:szCs w:val="28"/>
        </w:rPr>
        <w:t>质量控制与验收。</w:t>
      </w:r>
    </w:p>
    <w:p>
      <w:pPr>
        <w:pStyle w:val="3"/>
        <w:numPr>
          <w:ilvl w:val="0"/>
          <w:numId w:val="2"/>
        </w:numPr>
        <w:spacing w:before="120" w:after="120" w:line="360" w:lineRule="auto"/>
        <w:rPr>
          <w:sz w:val="32"/>
          <w:szCs w:val="32"/>
        </w:rPr>
      </w:pPr>
      <w:bookmarkStart w:id="4" w:name="_Toc39052452"/>
      <w:r>
        <w:rPr>
          <w:rFonts w:hint="eastAsia"/>
          <w:sz w:val="32"/>
          <w:szCs w:val="32"/>
        </w:rPr>
        <w:t>工作简况</w:t>
      </w:r>
      <w:bookmarkEnd w:id="4"/>
    </w:p>
    <w:p>
      <w:pPr>
        <w:ind w:firstLine="560" w:firstLineChars="200"/>
      </w:pPr>
      <w:r>
        <w:rPr>
          <w:rFonts w:hAnsi="仿宋_GB2312" w:eastAsia="仿宋_GB2312"/>
          <w:sz w:val="28"/>
          <w:szCs w:val="28"/>
        </w:rPr>
        <w:t>制定《</w:t>
      </w:r>
      <w:r>
        <w:rPr>
          <w:rFonts w:hint="eastAsia" w:ascii="Times New Roman" w:hAnsi="仿宋_GB2312" w:eastAsia="仿宋_GB2312" w:cs="Times New Roman"/>
          <w:sz w:val="28"/>
          <w:szCs w:val="28"/>
          <w:lang w:val="en-US" w:eastAsia="zh-CN"/>
        </w:rPr>
        <w:t>公路半刚性基层非开挖式地聚物注浆加固处置技术规程</w:t>
      </w:r>
      <w:r>
        <w:rPr>
          <w:rFonts w:hAnsi="仿宋_GB2312" w:eastAsia="仿宋_GB2312"/>
          <w:sz w:val="28"/>
          <w:szCs w:val="28"/>
        </w:rPr>
        <w:t>》，旨在</w:t>
      </w:r>
      <w:r>
        <w:rPr>
          <w:rFonts w:hint="eastAsia" w:hAnsi="仿宋_GB2312" w:eastAsia="仿宋_GB2312"/>
          <w:sz w:val="28"/>
          <w:szCs w:val="28"/>
          <w:lang w:val="en-US" w:eastAsia="zh-CN"/>
        </w:rPr>
        <w:t>提升我省半刚性基层裂缝修复水平，做到无损、根治</w:t>
      </w:r>
      <w:r>
        <w:rPr>
          <w:rFonts w:hAnsi="仿宋_GB2312" w:eastAsia="仿宋_GB2312"/>
          <w:sz w:val="28"/>
          <w:szCs w:val="28"/>
        </w:rPr>
        <w:t>，进一步提高</w:t>
      </w:r>
      <w:r>
        <w:rPr>
          <w:rFonts w:hint="eastAsia" w:hAnsi="仿宋_GB2312" w:eastAsia="仿宋_GB2312"/>
          <w:sz w:val="28"/>
          <w:szCs w:val="28"/>
          <w:lang w:val="en-US" w:eastAsia="zh-CN"/>
        </w:rPr>
        <w:t>公路</w:t>
      </w:r>
      <w:r>
        <w:rPr>
          <w:rFonts w:hAnsi="仿宋_GB2312" w:eastAsia="仿宋_GB2312"/>
          <w:sz w:val="28"/>
          <w:szCs w:val="28"/>
        </w:rPr>
        <w:t>使用性能，延长</w:t>
      </w:r>
      <w:r>
        <w:rPr>
          <w:rFonts w:hint="eastAsia" w:hAnsi="仿宋_GB2312" w:eastAsia="仿宋_GB2312"/>
          <w:sz w:val="28"/>
          <w:szCs w:val="28"/>
          <w:lang w:val="en-US" w:eastAsia="zh-CN"/>
        </w:rPr>
        <w:t>公路</w:t>
      </w:r>
      <w:r>
        <w:rPr>
          <w:rFonts w:hAnsi="仿宋_GB2312" w:eastAsia="仿宋_GB2312"/>
          <w:sz w:val="28"/>
          <w:szCs w:val="28"/>
        </w:rPr>
        <w:t>使用寿命。</w:t>
      </w:r>
    </w:p>
    <w:p>
      <w:pPr>
        <w:spacing w:line="360" w:lineRule="auto"/>
        <w:ind w:firstLine="562" w:firstLineChars="200"/>
        <w:rPr>
          <w:rFonts w:ascii="宋体" w:hAnsi="宋体"/>
          <w:b/>
          <w:sz w:val="28"/>
          <w:szCs w:val="28"/>
        </w:rPr>
      </w:pPr>
      <w:r>
        <w:rPr>
          <w:rFonts w:hint="eastAsia" w:ascii="宋体" w:hAnsi="宋体"/>
          <w:b/>
          <w:sz w:val="28"/>
          <w:szCs w:val="28"/>
        </w:rPr>
        <w:t>1．任务来源</w:t>
      </w:r>
    </w:p>
    <w:p>
      <w:pPr>
        <w:spacing w:line="360" w:lineRule="auto"/>
        <w:ind w:firstLine="560" w:firstLineChars="200"/>
        <w:rPr>
          <w:rFonts w:hAnsi="仿宋_GB2312" w:eastAsia="仿宋_GB2312"/>
          <w:sz w:val="28"/>
          <w:szCs w:val="28"/>
        </w:rPr>
      </w:pPr>
      <w:r>
        <w:rPr>
          <w:rFonts w:hAnsi="仿宋_GB2312" w:eastAsia="仿宋_GB2312"/>
          <w:sz w:val="28"/>
          <w:szCs w:val="28"/>
        </w:rPr>
        <w:t>本规程任务来源为</w:t>
      </w:r>
      <w:r>
        <w:rPr>
          <w:rFonts w:hint="eastAsia" w:hAnsi="仿宋_GB2312" w:eastAsia="仿宋_GB2312"/>
          <w:sz w:val="28"/>
          <w:szCs w:val="28"/>
        </w:rPr>
        <w:t>甘肃省市场监督管理局《关于下达2024年度第2批地方标准制修订计划的函》（甘市监函[2024]44号）的</w:t>
      </w:r>
      <w:r>
        <w:rPr>
          <w:rFonts w:hAnsi="仿宋_GB2312" w:eastAsia="仿宋_GB2312"/>
          <w:sz w:val="28"/>
          <w:szCs w:val="28"/>
        </w:rPr>
        <w:t>批准立项，本标准由</w:t>
      </w:r>
      <w:r>
        <w:rPr>
          <w:rFonts w:hint="eastAsia" w:hAnsi="仿宋_GB2312" w:eastAsia="仿宋_GB2312"/>
          <w:sz w:val="28"/>
          <w:szCs w:val="28"/>
        </w:rPr>
        <w:t>甘肃省公路事业发展中心</w:t>
      </w:r>
      <w:r>
        <w:rPr>
          <w:rFonts w:hAnsi="仿宋_GB2312" w:eastAsia="仿宋_GB2312"/>
          <w:sz w:val="28"/>
          <w:szCs w:val="28"/>
        </w:rPr>
        <w:t>提出。</w:t>
      </w:r>
    </w:p>
    <w:p>
      <w:pPr>
        <w:spacing w:line="360" w:lineRule="auto"/>
        <w:ind w:firstLine="562" w:firstLineChars="200"/>
        <w:rPr>
          <w:rFonts w:ascii="宋体" w:hAnsi="宋体"/>
          <w:b/>
          <w:sz w:val="28"/>
          <w:szCs w:val="28"/>
        </w:rPr>
      </w:pPr>
      <w:r>
        <w:rPr>
          <w:rFonts w:ascii="宋体" w:hAnsi="宋体"/>
          <w:b/>
          <w:sz w:val="28"/>
          <w:szCs w:val="28"/>
        </w:rPr>
        <w:t>2</w:t>
      </w:r>
      <w:r>
        <w:rPr>
          <w:rFonts w:hint="eastAsia" w:ascii="宋体" w:hAnsi="宋体"/>
          <w:b/>
          <w:sz w:val="28"/>
          <w:szCs w:val="28"/>
        </w:rPr>
        <w:t>．主要起草单位</w:t>
      </w:r>
    </w:p>
    <w:p>
      <w:pPr>
        <w:spacing w:line="360" w:lineRule="auto"/>
        <w:ind w:firstLine="560" w:firstLineChars="200"/>
        <w:rPr>
          <w:rFonts w:ascii="仿宋_GB2312" w:hAnsi="仿宋_GB2312" w:eastAsia="仿宋_GB2312" w:cs="仿宋_GB2312"/>
          <w:sz w:val="28"/>
          <w:szCs w:val="28"/>
        </w:rPr>
      </w:pPr>
      <w:r>
        <w:rPr>
          <w:rFonts w:hAnsi="仿宋_GB2312" w:eastAsia="仿宋_GB2312"/>
          <w:sz w:val="28"/>
          <w:szCs w:val="28"/>
        </w:rPr>
        <w:t>主要起草单位：</w:t>
      </w:r>
      <w:r>
        <w:rPr>
          <w:rFonts w:hint="eastAsia" w:ascii="Times New Roman" w:hAnsi="仿宋_GB2312" w:eastAsia="仿宋_GB2312" w:cs="Times New Roman"/>
          <w:sz w:val="28"/>
          <w:szCs w:val="28"/>
          <w:lang w:val="en-US" w:eastAsia="zh-CN"/>
        </w:rPr>
        <w:t>甘肃省公路事业发展中心、甘肃畅陇公路养护技术研究院有限公司、陇南公路事业发展中心、甘肃省交通规划勘察设计院股份有限公司</w:t>
      </w:r>
      <w:r>
        <w:rPr>
          <w:rFonts w:hint="eastAsia" w:ascii="仿宋_GB2312" w:hAnsi="仿宋_GB2312" w:eastAsia="仿宋_GB2312" w:cs="仿宋_GB2312"/>
          <w:sz w:val="28"/>
          <w:szCs w:val="28"/>
        </w:rPr>
        <w:t>。</w:t>
      </w:r>
    </w:p>
    <w:p>
      <w:pPr>
        <w:spacing w:line="360" w:lineRule="auto"/>
        <w:ind w:firstLine="562" w:firstLineChars="200"/>
        <w:rPr>
          <w:rFonts w:ascii="宋体" w:hAnsi="宋体"/>
          <w:b/>
          <w:sz w:val="28"/>
          <w:szCs w:val="28"/>
        </w:rPr>
      </w:pPr>
      <w:r>
        <w:rPr>
          <w:rFonts w:hint="eastAsia" w:ascii="宋体" w:hAnsi="宋体"/>
          <w:b/>
          <w:sz w:val="28"/>
          <w:szCs w:val="28"/>
        </w:rPr>
        <w:t>3．主要工作过程</w:t>
      </w:r>
    </w:p>
    <w:p>
      <w:pPr>
        <w:pStyle w:val="2"/>
        <w:ind w:firstLine="560" w:firstLineChars="200"/>
        <w:rPr>
          <w:rFonts w:ascii="Times New Roman" w:hAnsi="仿宋_GB2312" w:eastAsia="仿宋_GB2312" w:cs="Times New Roman"/>
          <w:color w:val="auto"/>
          <w:kern w:val="2"/>
          <w:sz w:val="28"/>
          <w:szCs w:val="28"/>
        </w:rPr>
      </w:pPr>
      <w:r>
        <w:rPr>
          <w:rFonts w:hint="eastAsia" w:ascii="Times New Roman" w:hAnsi="仿宋_GB2312" w:eastAsia="仿宋_GB2312" w:cs="Times New Roman"/>
          <w:color w:val="auto"/>
          <w:kern w:val="2"/>
          <w:sz w:val="28"/>
          <w:szCs w:val="28"/>
          <w:lang w:val="en-US" w:eastAsia="zh-CN"/>
        </w:rPr>
        <w:t>2024</w:t>
      </w:r>
      <w:r>
        <w:rPr>
          <w:rFonts w:hint="eastAsia" w:ascii="Times New Roman" w:hAnsi="仿宋_GB2312" w:eastAsia="仿宋_GB2312" w:cs="Times New Roman"/>
          <w:color w:val="auto"/>
          <w:kern w:val="2"/>
          <w:sz w:val="28"/>
          <w:szCs w:val="28"/>
        </w:rPr>
        <w:t>年，根据甘肃省市场监督管理局甘肃省市场监督管理局《关于下达2024年度第2批地方标准制修订计划的函》（甘市监函[2024]44号）文件，项目组正式立项。并提出了标准制定的基本思路，制定了标准编制的具体方案。</w:t>
      </w:r>
    </w:p>
    <w:p>
      <w:pPr>
        <w:spacing w:line="500" w:lineRule="exact"/>
        <w:ind w:firstLine="570"/>
        <w:rPr>
          <w:rFonts w:hAnsi="仿宋_GB2312" w:eastAsia="仿宋_GB2312"/>
          <w:sz w:val="28"/>
          <w:szCs w:val="28"/>
        </w:rPr>
      </w:pPr>
      <w:r>
        <w:rPr>
          <w:rFonts w:hint="eastAsia" w:hAnsi="仿宋_GB2312" w:eastAsia="仿宋_GB2312"/>
          <w:sz w:val="28"/>
          <w:szCs w:val="28"/>
        </w:rPr>
        <w:t>为了保证本标准的适用性，我们查阅了国内有关技术资料，并进行了大量的验证试验和研究工作，多次召开标准内容讨论相关会议。</w:t>
      </w:r>
    </w:p>
    <w:p>
      <w:pPr>
        <w:spacing w:line="500" w:lineRule="exact"/>
        <w:ind w:firstLine="570"/>
        <w:rPr>
          <w:rFonts w:hAnsi="仿宋_GB2312" w:eastAsia="仿宋_GB2312"/>
          <w:sz w:val="28"/>
          <w:szCs w:val="28"/>
        </w:rPr>
      </w:pPr>
      <w:r>
        <w:rPr>
          <w:rFonts w:hint="eastAsia" w:hAnsi="仿宋_GB2312" w:eastAsia="仿宋_GB2312"/>
          <w:sz w:val="28"/>
          <w:szCs w:val="28"/>
        </w:rPr>
        <w:t>标准启动会：</w:t>
      </w:r>
      <w:r>
        <w:rPr>
          <w:rFonts w:hAnsi="仿宋_GB2312" w:eastAsia="仿宋_GB2312"/>
          <w:sz w:val="28"/>
          <w:szCs w:val="28"/>
        </w:rPr>
        <w:t>20</w:t>
      </w:r>
      <w:r>
        <w:rPr>
          <w:rFonts w:hint="eastAsia" w:hAnsi="仿宋_GB2312" w:eastAsia="仿宋_GB2312"/>
          <w:sz w:val="28"/>
          <w:szCs w:val="28"/>
          <w:lang w:val="en-US" w:eastAsia="zh-CN"/>
        </w:rPr>
        <w:t>24</w:t>
      </w:r>
      <w:r>
        <w:rPr>
          <w:rFonts w:hint="eastAsia" w:hAnsi="仿宋_GB2312" w:eastAsia="仿宋_GB2312"/>
          <w:sz w:val="28"/>
          <w:szCs w:val="28"/>
        </w:rPr>
        <w:t>年</w:t>
      </w:r>
      <w:r>
        <w:rPr>
          <w:rFonts w:hint="eastAsia" w:hAnsi="仿宋_GB2312" w:eastAsia="仿宋_GB2312"/>
          <w:sz w:val="28"/>
          <w:szCs w:val="28"/>
          <w:lang w:val="en-US" w:eastAsia="zh-CN"/>
        </w:rPr>
        <w:t>8</w:t>
      </w:r>
      <w:r>
        <w:rPr>
          <w:rFonts w:hint="eastAsia" w:hAnsi="仿宋_GB2312" w:eastAsia="仿宋_GB2312"/>
          <w:sz w:val="28"/>
          <w:szCs w:val="28"/>
        </w:rPr>
        <w:t>月，编制组成立，讨论了编制大纲和任务分工，对规范编制注意事项做了相关要求。</w:t>
      </w:r>
    </w:p>
    <w:p>
      <w:pPr>
        <w:spacing w:line="500" w:lineRule="exact"/>
        <w:ind w:firstLine="570"/>
        <w:jc w:val="left"/>
        <w:rPr>
          <w:rFonts w:hAnsi="仿宋_GB2312" w:eastAsia="仿宋_GB2312"/>
          <w:sz w:val="28"/>
          <w:szCs w:val="28"/>
        </w:rPr>
      </w:pPr>
      <w:r>
        <w:rPr>
          <w:rFonts w:hint="eastAsia" w:hAnsi="仿宋_GB2312" w:eastAsia="仿宋_GB2312"/>
          <w:sz w:val="28"/>
          <w:szCs w:val="28"/>
        </w:rPr>
        <w:t>第一次讨论会：</w:t>
      </w:r>
      <w:r>
        <w:rPr>
          <w:rFonts w:hAnsi="仿宋_GB2312" w:eastAsia="仿宋_GB2312"/>
          <w:sz w:val="28"/>
          <w:szCs w:val="28"/>
        </w:rPr>
        <w:t>20</w:t>
      </w:r>
      <w:r>
        <w:rPr>
          <w:rFonts w:hint="eastAsia" w:hAnsi="仿宋_GB2312" w:eastAsia="仿宋_GB2312"/>
          <w:sz w:val="28"/>
          <w:szCs w:val="28"/>
        </w:rPr>
        <w:t>2</w:t>
      </w:r>
      <w:r>
        <w:rPr>
          <w:rFonts w:hint="eastAsia" w:hAnsi="仿宋_GB2312" w:eastAsia="仿宋_GB2312"/>
          <w:sz w:val="28"/>
          <w:szCs w:val="28"/>
          <w:lang w:val="en-US" w:eastAsia="zh-CN"/>
        </w:rPr>
        <w:t>4</w:t>
      </w:r>
      <w:r>
        <w:rPr>
          <w:rFonts w:hint="eastAsia" w:hAnsi="仿宋_GB2312" w:eastAsia="仿宋_GB2312"/>
          <w:sz w:val="28"/>
          <w:szCs w:val="28"/>
        </w:rPr>
        <w:t>年</w:t>
      </w:r>
      <w:r>
        <w:rPr>
          <w:rFonts w:hint="eastAsia" w:hAnsi="仿宋_GB2312" w:eastAsia="仿宋_GB2312"/>
          <w:sz w:val="28"/>
          <w:szCs w:val="28"/>
          <w:lang w:val="en-US" w:eastAsia="zh-CN"/>
        </w:rPr>
        <w:t>10</w:t>
      </w:r>
      <w:r>
        <w:rPr>
          <w:rFonts w:hint="eastAsia" w:hAnsi="仿宋_GB2312" w:eastAsia="仿宋_GB2312"/>
          <w:sz w:val="28"/>
          <w:szCs w:val="28"/>
        </w:rPr>
        <w:t>月，编制组对规范的章节目录进行了讨论。</w:t>
      </w:r>
    </w:p>
    <w:p>
      <w:pPr>
        <w:spacing w:line="500" w:lineRule="exact"/>
        <w:ind w:firstLine="560" w:firstLineChars="200"/>
        <w:rPr>
          <w:rFonts w:hAnsi="仿宋_GB2312" w:eastAsia="仿宋_GB2312"/>
          <w:sz w:val="28"/>
          <w:szCs w:val="28"/>
        </w:rPr>
      </w:pPr>
      <w:r>
        <w:rPr>
          <w:rFonts w:hint="eastAsia" w:hAnsi="仿宋_GB2312" w:eastAsia="仿宋_GB2312"/>
          <w:sz w:val="28"/>
          <w:szCs w:val="28"/>
        </w:rPr>
        <w:t>第二次讨论会：</w:t>
      </w:r>
      <w:r>
        <w:rPr>
          <w:rFonts w:hAnsi="仿宋_GB2312" w:eastAsia="仿宋_GB2312"/>
          <w:sz w:val="28"/>
          <w:szCs w:val="28"/>
        </w:rPr>
        <w:t>20</w:t>
      </w:r>
      <w:r>
        <w:rPr>
          <w:rFonts w:hint="eastAsia" w:hAnsi="仿宋_GB2312" w:eastAsia="仿宋_GB2312"/>
          <w:sz w:val="28"/>
          <w:szCs w:val="28"/>
        </w:rPr>
        <w:t>2</w:t>
      </w:r>
      <w:r>
        <w:rPr>
          <w:rFonts w:hint="eastAsia" w:hAnsi="仿宋_GB2312" w:eastAsia="仿宋_GB2312"/>
          <w:sz w:val="28"/>
          <w:szCs w:val="28"/>
          <w:lang w:val="en-US" w:eastAsia="zh-CN"/>
        </w:rPr>
        <w:t>5</w:t>
      </w:r>
      <w:r>
        <w:rPr>
          <w:rFonts w:hint="eastAsia" w:hAnsi="仿宋_GB2312" w:eastAsia="仿宋_GB2312"/>
          <w:sz w:val="28"/>
          <w:szCs w:val="28"/>
        </w:rPr>
        <w:t>年</w:t>
      </w:r>
      <w:r>
        <w:rPr>
          <w:rFonts w:hAnsi="仿宋_GB2312" w:eastAsia="仿宋_GB2312"/>
          <w:sz w:val="28"/>
          <w:szCs w:val="28"/>
        </w:rPr>
        <w:t>2</w:t>
      </w:r>
      <w:r>
        <w:rPr>
          <w:rFonts w:hint="eastAsia" w:hAnsi="仿宋_GB2312" w:eastAsia="仿宋_GB2312"/>
          <w:sz w:val="28"/>
          <w:szCs w:val="28"/>
        </w:rPr>
        <w:t>月，编制组对规范进行了详细的讨论，</w:t>
      </w:r>
      <w:r>
        <w:rPr>
          <w:rFonts w:hint="eastAsia" w:hAnsi="仿宋_GB2312" w:eastAsia="仿宋_GB2312"/>
          <w:sz w:val="28"/>
          <w:szCs w:val="28"/>
          <w:lang w:val="en-US" w:eastAsia="zh-CN"/>
        </w:rPr>
        <w:t>对材料性能评价指标、施工工艺参数及方法确定、验收及评价指标方面做了详细规范要求</w:t>
      </w:r>
      <w:r>
        <w:rPr>
          <w:rFonts w:hint="eastAsia" w:hAnsi="仿宋_GB2312" w:eastAsia="仿宋_GB2312"/>
          <w:sz w:val="28"/>
          <w:szCs w:val="28"/>
        </w:rPr>
        <w:t>。</w:t>
      </w:r>
    </w:p>
    <w:p>
      <w:pPr>
        <w:spacing w:line="500" w:lineRule="exact"/>
        <w:ind w:firstLine="570"/>
        <w:rPr>
          <w:rFonts w:hAnsi="仿宋_GB2312" w:eastAsia="仿宋_GB2312"/>
          <w:sz w:val="28"/>
          <w:szCs w:val="28"/>
        </w:rPr>
      </w:pPr>
      <w:r>
        <w:rPr>
          <w:rFonts w:hint="eastAsia" w:hAnsi="仿宋_GB2312" w:eastAsia="仿宋_GB2312"/>
          <w:sz w:val="28"/>
          <w:szCs w:val="28"/>
        </w:rPr>
        <w:t>第三次讨论会：</w:t>
      </w:r>
      <w:r>
        <w:rPr>
          <w:rFonts w:hAnsi="仿宋_GB2312" w:eastAsia="仿宋_GB2312"/>
          <w:sz w:val="28"/>
          <w:szCs w:val="28"/>
        </w:rPr>
        <w:t>20</w:t>
      </w:r>
      <w:r>
        <w:rPr>
          <w:rFonts w:hint="eastAsia" w:hAnsi="仿宋_GB2312" w:eastAsia="仿宋_GB2312"/>
          <w:sz w:val="28"/>
          <w:szCs w:val="28"/>
        </w:rPr>
        <w:t>2</w:t>
      </w:r>
      <w:r>
        <w:rPr>
          <w:rFonts w:hint="eastAsia" w:hAnsi="仿宋_GB2312" w:eastAsia="仿宋_GB2312"/>
          <w:sz w:val="28"/>
          <w:szCs w:val="28"/>
          <w:lang w:val="en-US" w:eastAsia="zh-CN"/>
        </w:rPr>
        <w:t>5</w:t>
      </w:r>
      <w:r>
        <w:rPr>
          <w:rFonts w:hint="eastAsia" w:hAnsi="仿宋_GB2312" w:eastAsia="仿宋_GB2312"/>
          <w:sz w:val="28"/>
          <w:szCs w:val="28"/>
        </w:rPr>
        <w:t>年</w:t>
      </w:r>
      <w:r>
        <w:rPr>
          <w:rFonts w:hint="eastAsia" w:hAnsi="仿宋_GB2312" w:eastAsia="仿宋_GB2312"/>
          <w:sz w:val="28"/>
          <w:szCs w:val="28"/>
          <w:lang w:val="en-US" w:eastAsia="zh-CN"/>
        </w:rPr>
        <w:t>5</w:t>
      </w:r>
      <w:r>
        <w:rPr>
          <w:rFonts w:hint="eastAsia" w:hAnsi="仿宋_GB2312" w:eastAsia="仿宋_GB2312"/>
          <w:sz w:val="28"/>
          <w:szCs w:val="28"/>
        </w:rPr>
        <w:t>月，编制组对规范内容进行了全面讨论，规范了用词用语等。</w:t>
      </w:r>
      <w:r>
        <w:rPr>
          <w:rFonts w:hAnsi="仿宋_GB2312" w:eastAsia="仿宋_GB2312"/>
          <w:sz w:val="28"/>
          <w:szCs w:val="28"/>
        </w:rPr>
        <w:t xml:space="preserve"> </w:t>
      </w:r>
    </w:p>
    <w:p>
      <w:pPr>
        <w:pStyle w:val="3"/>
        <w:numPr>
          <w:ilvl w:val="0"/>
          <w:numId w:val="2"/>
        </w:numPr>
        <w:spacing w:before="120" w:after="120" w:line="360" w:lineRule="auto"/>
        <w:jc w:val="left"/>
        <w:rPr>
          <w:sz w:val="32"/>
          <w:szCs w:val="32"/>
        </w:rPr>
      </w:pPr>
      <w:bookmarkStart w:id="15" w:name="_GoBack"/>
      <w:bookmarkEnd w:id="15"/>
      <w:bookmarkStart w:id="5" w:name="_Toc39052453"/>
      <w:r>
        <w:rPr>
          <w:rFonts w:hint="eastAsia"/>
          <w:sz w:val="32"/>
          <w:szCs w:val="32"/>
        </w:rPr>
        <w:t>所涉及的产品、适用范围</w:t>
      </w:r>
      <w:bookmarkEnd w:id="5"/>
    </w:p>
    <w:p>
      <w:pPr>
        <w:spacing w:line="360" w:lineRule="auto"/>
        <w:ind w:firstLine="560" w:firstLineChars="200"/>
        <w:rPr>
          <w:rFonts w:ascii="Times New Roman" w:hAnsi="仿宋_GB2312" w:eastAsia="仿宋_GB2312" w:cs="Times New Roman"/>
          <w:sz w:val="28"/>
          <w:szCs w:val="28"/>
        </w:rPr>
      </w:pPr>
      <w:r>
        <w:rPr>
          <w:rFonts w:hAnsi="仿宋_GB2312" w:eastAsia="仿宋_GB2312"/>
          <w:sz w:val="28"/>
          <w:szCs w:val="28"/>
        </w:rPr>
        <w:t>本规</w:t>
      </w:r>
      <w:r>
        <w:rPr>
          <w:rFonts w:ascii="Times New Roman" w:hAnsi="仿宋_GB2312" w:eastAsia="仿宋_GB2312" w:cs="Times New Roman"/>
          <w:sz w:val="28"/>
          <w:szCs w:val="28"/>
        </w:rPr>
        <w:t>程适用于</w:t>
      </w:r>
      <w:r>
        <w:rPr>
          <w:rFonts w:hint="eastAsia" w:ascii="Times New Roman" w:hAnsi="仿宋_GB2312" w:eastAsia="仿宋_GB2312" w:cs="Times New Roman"/>
          <w:sz w:val="28"/>
          <w:szCs w:val="28"/>
        </w:rPr>
        <w:t>各等级公路路面半刚性基层的加固处置。</w:t>
      </w:r>
    </w:p>
    <w:p>
      <w:pPr>
        <w:pStyle w:val="3"/>
        <w:spacing w:before="120" w:after="120" w:line="360" w:lineRule="auto"/>
        <w:rPr>
          <w:sz w:val="32"/>
          <w:szCs w:val="32"/>
        </w:rPr>
      </w:pPr>
      <w:bookmarkStart w:id="6" w:name="_Toc23158237"/>
      <w:bookmarkStart w:id="7" w:name="_Toc39052454"/>
      <w:r>
        <w:rPr>
          <w:rFonts w:hint="eastAsia"/>
          <w:sz w:val="32"/>
          <w:szCs w:val="32"/>
        </w:rPr>
        <w:t>四、制定本规程的原则和依据</w:t>
      </w:r>
      <w:bookmarkEnd w:id="6"/>
      <w:bookmarkEnd w:id="7"/>
    </w:p>
    <w:p>
      <w:pPr>
        <w:spacing w:line="360" w:lineRule="auto"/>
        <w:ind w:firstLine="560" w:firstLineChars="200"/>
        <w:rPr>
          <w:rFonts w:hAnsi="仿宋_GB2312" w:eastAsia="仿宋_GB2312"/>
          <w:sz w:val="28"/>
          <w:szCs w:val="28"/>
        </w:rPr>
      </w:pPr>
      <w:r>
        <w:rPr>
          <w:rFonts w:hint="eastAsia" w:hAnsi="仿宋_GB2312" w:eastAsia="仿宋_GB2312"/>
          <w:sz w:val="28"/>
          <w:szCs w:val="28"/>
        </w:rPr>
        <w:t>按照《中华人民共和国标准化法》及其《实施细则》、GB/T1.1-2009《标准化工作导则 第1部分：标准的结构和编写规则》进行本标准的制订工作。</w:t>
      </w:r>
    </w:p>
    <w:p>
      <w:pPr>
        <w:spacing w:line="360" w:lineRule="auto"/>
        <w:ind w:firstLine="560" w:firstLineChars="200"/>
        <w:rPr>
          <w:rFonts w:hAnsi="仿宋_GB2312" w:eastAsia="仿宋_GB2312"/>
          <w:sz w:val="28"/>
          <w:szCs w:val="28"/>
          <w:highlight w:val="none"/>
        </w:rPr>
      </w:pPr>
      <w:r>
        <w:rPr>
          <w:rFonts w:hint="eastAsia" w:hAnsi="仿宋_GB2312" w:eastAsia="仿宋_GB2312"/>
          <w:sz w:val="28"/>
          <w:szCs w:val="28"/>
        </w:rPr>
        <w:t>本</w:t>
      </w:r>
      <w:r>
        <w:rPr>
          <w:rFonts w:hint="eastAsia" w:hAnsi="仿宋_GB2312" w:eastAsia="仿宋_GB2312"/>
          <w:sz w:val="28"/>
          <w:szCs w:val="28"/>
          <w:highlight w:val="none"/>
        </w:rPr>
        <w:t>《规程》是在</w:t>
      </w:r>
      <w:r>
        <w:rPr>
          <w:rFonts w:hAnsi="仿宋_GB2312" w:eastAsia="仿宋_GB2312"/>
          <w:sz w:val="28"/>
          <w:szCs w:val="28"/>
          <w:highlight w:val="none"/>
        </w:rPr>
        <w:t>充分调研了国内外相关</w:t>
      </w:r>
      <w:r>
        <w:rPr>
          <w:rFonts w:hint="eastAsia" w:ascii="Times New Roman" w:hAnsi="仿宋_GB2312" w:eastAsia="仿宋_GB2312" w:cs="Times New Roman"/>
          <w:sz w:val="28"/>
          <w:szCs w:val="28"/>
          <w:highlight w:val="none"/>
        </w:rPr>
        <w:t>公路路面半刚性基层的加固处置</w:t>
      </w:r>
      <w:r>
        <w:rPr>
          <w:rFonts w:hAnsi="仿宋_GB2312" w:eastAsia="仿宋_GB2312"/>
          <w:sz w:val="28"/>
          <w:szCs w:val="28"/>
          <w:highlight w:val="none"/>
        </w:rPr>
        <w:t>的标准，结合甘肃省</w:t>
      </w:r>
      <w:r>
        <w:rPr>
          <w:rFonts w:hint="eastAsia" w:eastAsia="仿宋_GB2312"/>
          <w:sz w:val="28"/>
          <w:szCs w:val="28"/>
          <w:highlight w:val="none"/>
          <w:lang w:val="en-US" w:eastAsia="zh-CN"/>
        </w:rPr>
        <w:t>半刚性基层病害修复</w:t>
      </w:r>
      <w:r>
        <w:rPr>
          <w:rFonts w:hAnsi="仿宋_GB2312" w:eastAsia="仿宋_GB2312"/>
          <w:sz w:val="28"/>
          <w:szCs w:val="28"/>
          <w:highlight w:val="none"/>
        </w:rPr>
        <w:t>情况和后续的发展需要，按照地方标准的制定要求，制定了本地方标准。</w:t>
      </w:r>
    </w:p>
    <w:p>
      <w:pPr>
        <w:pStyle w:val="3"/>
        <w:spacing w:before="120" w:after="120" w:line="360" w:lineRule="auto"/>
        <w:rPr>
          <w:sz w:val="32"/>
          <w:szCs w:val="32"/>
        </w:rPr>
      </w:pPr>
      <w:bookmarkStart w:id="8" w:name="_Toc39052455"/>
      <w:r>
        <w:rPr>
          <w:rFonts w:hint="eastAsia"/>
          <w:sz w:val="32"/>
          <w:szCs w:val="32"/>
        </w:rPr>
        <w:t>五、主要技术内容的说明和论证</w:t>
      </w:r>
      <w:bookmarkEnd w:id="8"/>
    </w:p>
    <w:p>
      <w:pPr>
        <w:spacing w:line="500" w:lineRule="exact"/>
        <w:rPr>
          <w:rFonts w:hAnsi="仿宋_GB2312" w:eastAsia="仿宋_GB2312"/>
          <w:sz w:val="28"/>
          <w:szCs w:val="28"/>
        </w:rPr>
      </w:pPr>
      <w:r>
        <w:rPr>
          <w:rFonts w:hint="eastAsia" w:hAnsi="仿宋_GB2312" w:eastAsia="仿宋_GB2312"/>
          <w:sz w:val="28"/>
          <w:szCs w:val="28"/>
        </w:rPr>
        <w:t>（一）标准名称</w:t>
      </w:r>
    </w:p>
    <w:p>
      <w:pPr>
        <w:spacing w:line="500" w:lineRule="exact"/>
        <w:ind w:firstLine="570"/>
        <w:rPr>
          <w:rFonts w:hAnsi="仿宋_GB2312" w:eastAsia="仿宋_GB2312"/>
          <w:sz w:val="28"/>
          <w:szCs w:val="28"/>
        </w:rPr>
      </w:pPr>
      <w:r>
        <w:rPr>
          <w:rFonts w:hint="eastAsia" w:hAnsi="仿宋_GB2312" w:eastAsia="仿宋_GB2312"/>
          <w:sz w:val="28"/>
          <w:szCs w:val="28"/>
        </w:rPr>
        <w:t>为</w:t>
      </w:r>
      <w:r>
        <w:rPr>
          <w:rFonts w:hint="eastAsia" w:hAnsi="仿宋_GB2312" w:eastAsia="仿宋_GB2312"/>
          <w:sz w:val="28"/>
          <w:szCs w:val="28"/>
          <w:lang w:val="en-US" w:eastAsia="zh-CN"/>
        </w:rPr>
        <w:t>提升我省半刚性基层裂缝修复水平，</w:t>
      </w:r>
      <w:r>
        <w:rPr>
          <w:rFonts w:hAnsi="仿宋_GB2312" w:eastAsia="仿宋_GB2312"/>
          <w:sz w:val="28"/>
          <w:szCs w:val="28"/>
        </w:rPr>
        <w:t>延长</w:t>
      </w:r>
      <w:r>
        <w:rPr>
          <w:rFonts w:hint="eastAsia" w:hAnsi="仿宋_GB2312" w:eastAsia="仿宋_GB2312"/>
          <w:sz w:val="28"/>
          <w:szCs w:val="28"/>
          <w:lang w:val="en-US" w:eastAsia="zh-CN"/>
        </w:rPr>
        <w:t>公路</w:t>
      </w:r>
      <w:r>
        <w:rPr>
          <w:rFonts w:hAnsi="仿宋_GB2312" w:eastAsia="仿宋_GB2312"/>
          <w:sz w:val="28"/>
          <w:szCs w:val="28"/>
        </w:rPr>
        <w:t>使用寿命</w:t>
      </w:r>
      <w:r>
        <w:rPr>
          <w:rFonts w:hint="eastAsia" w:hAnsi="仿宋_GB2312" w:eastAsia="仿宋_GB2312"/>
          <w:sz w:val="28"/>
          <w:szCs w:val="28"/>
        </w:rPr>
        <w:t>，本规程名称定为</w:t>
      </w:r>
      <w:r>
        <w:rPr>
          <w:rFonts w:hAnsi="仿宋_GB2312" w:eastAsia="仿宋_GB2312"/>
          <w:sz w:val="28"/>
          <w:szCs w:val="28"/>
        </w:rPr>
        <w:t>《</w:t>
      </w:r>
      <w:r>
        <w:rPr>
          <w:rFonts w:hint="eastAsia" w:ascii="Times New Roman" w:hAnsi="仿宋_GB2312" w:eastAsia="仿宋_GB2312" w:cs="Times New Roman"/>
          <w:sz w:val="28"/>
          <w:szCs w:val="28"/>
          <w:lang w:val="en-US" w:eastAsia="zh-CN"/>
        </w:rPr>
        <w:t>公路半刚性基层非开挖式地聚物注浆加固处置技术规程</w:t>
      </w:r>
      <w:r>
        <w:rPr>
          <w:rFonts w:hAnsi="仿宋_GB2312" w:eastAsia="仿宋_GB2312"/>
          <w:sz w:val="28"/>
          <w:szCs w:val="28"/>
        </w:rPr>
        <w:t>》</w:t>
      </w:r>
      <w:r>
        <w:rPr>
          <w:rFonts w:hint="eastAsia" w:hAnsi="仿宋_GB2312" w:eastAsia="仿宋_GB2312"/>
          <w:sz w:val="28"/>
          <w:szCs w:val="28"/>
        </w:rPr>
        <w:t>。</w:t>
      </w:r>
    </w:p>
    <w:p>
      <w:pPr>
        <w:spacing w:line="500" w:lineRule="exact"/>
        <w:rPr>
          <w:rFonts w:hAnsi="仿宋_GB2312" w:eastAsia="仿宋_GB2312"/>
          <w:sz w:val="28"/>
          <w:szCs w:val="28"/>
        </w:rPr>
      </w:pPr>
      <w:r>
        <w:rPr>
          <w:rFonts w:hint="eastAsia" w:hAnsi="仿宋_GB2312" w:eastAsia="仿宋_GB2312"/>
          <w:sz w:val="28"/>
          <w:szCs w:val="28"/>
        </w:rPr>
        <w:t>（二）前言</w:t>
      </w:r>
    </w:p>
    <w:p>
      <w:pPr>
        <w:spacing w:line="500" w:lineRule="exact"/>
        <w:ind w:firstLine="570"/>
        <w:rPr>
          <w:rFonts w:hAnsi="仿宋_GB2312" w:eastAsia="仿宋_GB2312"/>
          <w:sz w:val="28"/>
          <w:szCs w:val="28"/>
        </w:rPr>
      </w:pPr>
      <w:r>
        <w:rPr>
          <w:rFonts w:hint="eastAsia" w:hAnsi="仿宋_GB2312" w:eastAsia="仿宋_GB2312"/>
          <w:sz w:val="28"/>
          <w:szCs w:val="28"/>
        </w:rPr>
        <w:t>前言部分对标准的提出单位、起草单位、标准起草人等内容做了简明扼要的概述。</w:t>
      </w:r>
    </w:p>
    <w:p>
      <w:pPr>
        <w:spacing w:line="500" w:lineRule="exact"/>
        <w:rPr>
          <w:rFonts w:hAnsi="仿宋_GB2312" w:eastAsia="仿宋_GB2312"/>
          <w:sz w:val="28"/>
          <w:szCs w:val="28"/>
        </w:rPr>
      </w:pPr>
      <w:r>
        <w:rPr>
          <w:rFonts w:hint="eastAsia" w:hAnsi="仿宋_GB2312" w:eastAsia="仿宋_GB2312"/>
          <w:sz w:val="28"/>
          <w:szCs w:val="28"/>
        </w:rPr>
        <w:t>（三）范围</w:t>
      </w:r>
    </w:p>
    <w:p>
      <w:pPr>
        <w:spacing w:line="500" w:lineRule="exact"/>
        <w:ind w:firstLine="570"/>
        <w:rPr>
          <w:rFonts w:hAnsi="仿宋_GB2312" w:eastAsia="仿宋_GB2312"/>
          <w:sz w:val="28"/>
          <w:szCs w:val="28"/>
        </w:rPr>
      </w:pPr>
      <w:r>
        <w:rPr>
          <w:rFonts w:hint="eastAsia" w:hAnsi="仿宋_GB2312" w:eastAsia="仿宋_GB2312"/>
          <w:sz w:val="28"/>
          <w:szCs w:val="28"/>
        </w:rPr>
        <w:t>范围以总则形式规定了制定原则以及适用范围，明确了本规程的内容和使用对象。</w:t>
      </w:r>
    </w:p>
    <w:p>
      <w:pPr>
        <w:spacing w:line="500" w:lineRule="exact"/>
        <w:rPr>
          <w:rFonts w:hAnsi="仿宋_GB2312" w:eastAsia="仿宋_GB2312"/>
          <w:sz w:val="28"/>
          <w:szCs w:val="28"/>
        </w:rPr>
      </w:pPr>
      <w:r>
        <w:rPr>
          <w:rFonts w:hint="eastAsia" w:hAnsi="仿宋_GB2312" w:eastAsia="仿宋_GB2312"/>
          <w:sz w:val="28"/>
          <w:szCs w:val="28"/>
        </w:rPr>
        <w:t>（四）规范性引用文件</w:t>
      </w:r>
    </w:p>
    <w:p>
      <w:pPr>
        <w:spacing w:line="500" w:lineRule="exact"/>
        <w:ind w:firstLine="570"/>
        <w:rPr>
          <w:rFonts w:hAnsi="仿宋_GB2312" w:eastAsia="仿宋_GB2312"/>
          <w:sz w:val="28"/>
          <w:szCs w:val="28"/>
        </w:rPr>
      </w:pPr>
      <w:r>
        <w:rPr>
          <w:rFonts w:hint="eastAsia" w:hAnsi="仿宋_GB2312" w:eastAsia="仿宋_GB2312"/>
          <w:sz w:val="28"/>
          <w:szCs w:val="28"/>
        </w:rPr>
        <w:t>本标准中所引用文件的</w:t>
      </w:r>
      <w:r>
        <w:rPr>
          <w:rFonts w:hAnsi="仿宋_GB2312" w:eastAsia="仿宋_GB2312"/>
          <w:sz w:val="28"/>
          <w:szCs w:val="28"/>
        </w:rPr>
        <w:t>最新版本（包括所有的修改单）适用于</w:t>
      </w:r>
      <w:r>
        <w:rPr>
          <w:rFonts w:hint="eastAsia" w:hAnsi="仿宋_GB2312" w:eastAsia="仿宋_GB2312"/>
          <w:sz w:val="28"/>
          <w:szCs w:val="28"/>
        </w:rPr>
        <w:t>本标准。</w:t>
      </w:r>
    </w:p>
    <w:p>
      <w:pPr>
        <w:spacing w:line="500" w:lineRule="exact"/>
        <w:rPr>
          <w:rFonts w:hAnsi="仿宋_GB2312" w:eastAsia="仿宋_GB2312"/>
          <w:sz w:val="28"/>
          <w:szCs w:val="28"/>
        </w:rPr>
      </w:pPr>
      <w:r>
        <w:rPr>
          <w:rFonts w:hint="eastAsia" w:hAnsi="仿宋_GB2312" w:eastAsia="仿宋_GB2312"/>
          <w:sz w:val="28"/>
          <w:szCs w:val="28"/>
        </w:rPr>
        <w:t>（五）术语和定义</w:t>
      </w:r>
    </w:p>
    <w:p>
      <w:pPr>
        <w:spacing w:line="500" w:lineRule="exact"/>
        <w:ind w:firstLine="570"/>
        <w:rPr>
          <w:rFonts w:hAnsi="仿宋_GB2312" w:eastAsia="仿宋_GB2312"/>
          <w:sz w:val="28"/>
          <w:szCs w:val="28"/>
        </w:rPr>
      </w:pPr>
      <w:r>
        <w:rPr>
          <w:rFonts w:hint="eastAsia" w:hAnsi="仿宋_GB2312" w:eastAsia="仿宋_GB2312"/>
          <w:sz w:val="28"/>
          <w:szCs w:val="28"/>
        </w:rPr>
        <w:t>本标准</w:t>
      </w:r>
      <w:r>
        <w:rPr>
          <w:rFonts w:hint="eastAsia" w:ascii="Times New Roman" w:hAnsi="仿宋_GB2312" w:eastAsia="仿宋_GB2312" w:cs="Times New Roman"/>
          <w:sz w:val="28"/>
          <w:szCs w:val="28"/>
        </w:rPr>
        <w:t>规定了“碱激发剂”、“地聚物混合料”、“地聚物注浆”的术语和</w:t>
      </w:r>
      <w:r>
        <w:rPr>
          <w:rFonts w:hint="eastAsia" w:hAnsi="仿宋_GB2312" w:eastAsia="仿宋_GB2312"/>
          <w:sz w:val="28"/>
          <w:szCs w:val="28"/>
        </w:rPr>
        <w:t>定义。</w:t>
      </w:r>
    </w:p>
    <w:p>
      <w:pPr>
        <w:spacing w:line="500" w:lineRule="exact"/>
        <w:rPr>
          <w:rFonts w:hAnsi="仿宋_GB2312" w:eastAsia="仿宋_GB2312"/>
          <w:sz w:val="28"/>
          <w:szCs w:val="28"/>
        </w:rPr>
      </w:pPr>
      <w:r>
        <w:rPr>
          <w:rFonts w:hint="eastAsia" w:hAnsi="仿宋_GB2312" w:eastAsia="仿宋_GB2312"/>
          <w:sz w:val="28"/>
          <w:szCs w:val="28"/>
        </w:rPr>
        <w:t>（</w:t>
      </w:r>
      <w:r>
        <w:rPr>
          <w:rFonts w:hint="eastAsia" w:hAnsi="仿宋_GB2312" w:eastAsia="仿宋_GB2312"/>
          <w:sz w:val="28"/>
          <w:szCs w:val="28"/>
          <w:lang w:val="en-US" w:eastAsia="zh-CN"/>
        </w:rPr>
        <w:t>六</w:t>
      </w:r>
      <w:r>
        <w:rPr>
          <w:rFonts w:hint="eastAsia" w:hAnsi="仿宋_GB2312" w:eastAsia="仿宋_GB2312"/>
          <w:sz w:val="28"/>
          <w:szCs w:val="28"/>
        </w:rPr>
        <w:t>）技术要求</w:t>
      </w:r>
    </w:p>
    <w:p>
      <w:pPr>
        <w:spacing w:line="500" w:lineRule="exact"/>
        <w:ind w:firstLine="570"/>
        <w:rPr>
          <w:rFonts w:hAnsi="仿宋_GB2312" w:eastAsia="仿宋_GB2312"/>
          <w:sz w:val="28"/>
          <w:szCs w:val="28"/>
        </w:rPr>
      </w:pPr>
      <w:r>
        <w:rPr>
          <w:rFonts w:hint="eastAsia" w:hAnsi="仿宋_GB2312" w:eastAsia="仿宋_GB2312"/>
          <w:sz w:val="28"/>
          <w:szCs w:val="28"/>
        </w:rPr>
        <w:t>本《规程》通过借鉴国内其他省市地方标准的经验（如</w:t>
      </w:r>
      <w:r>
        <w:rPr>
          <w:rFonts w:hint="eastAsia" w:hAnsi="仿宋_GB2312" w:eastAsia="仿宋_GB2312"/>
          <w:sz w:val="28"/>
          <w:szCs w:val="28"/>
          <w:lang w:val="en-US" w:eastAsia="zh-CN"/>
        </w:rPr>
        <w:t>广西</w:t>
      </w:r>
      <w:r>
        <w:rPr>
          <w:rFonts w:hint="eastAsia" w:hAnsi="仿宋_GB2312" w:eastAsia="仿宋_GB2312"/>
          <w:sz w:val="28"/>
          <w:szCs w:val="28"/>
        </w:rPr>
        <w:t>、</w:t>
      </w:r>
      <w:r>
        <w:rPr>
          <w:rFonts w:hint="eastAsia" w:hAnsi="仿宋_GB2312" w:eastAsia="仿宋_GB2312"/>
          <w:sz w:val="28"/>
          <w:szCs w:val="28"/>
          <w:lang w:val="en-US" w:eastAsia="zh-CN"/>
        </w:rPr>
        <w:t>河南</w:t>
      </w:r>
      <w:r>
        <w:rPr>
          <w:rFonts w:hint="eastAsia" w:hAnsi="仿宋_GB2312" w:eastAsia="仿宋_GB2312"/>
          <w:sz w:val="28"/>
          <w:szCs w:val="28"/>
        </w:rPr>
        <w:t>等），</w:t>
      </w:r>
      <w:r>
        <w:rPr>
          <w:rFonts w:hAnsi="仿宋_GB2312" w:eastAsia="仿宋_GB2312"/>
          <w:sz w:val="28"/>
          <w:szCs w:val="28"/>
        </w:rPr>
        <w:t>采用</w:t>
      </w:r>
      <w:r>
        <w:rPr>
          <w:rFonts w:hint="eastAsia" w:hAnsi="仿宋_GB2312" w:eastAsia="仿宋_GB2312"/>
          <w:sz w:val="28"/>
          <w:szCs w:val="28"/>
          <w:lang w:val="en-US" w:eastAsia="zh-CN"/>
        </w:rPr>
        <w:t>地聚合物进行半刚性基层病害修复处置，确定了施工设备参数及施工方法</w:t>
      </w:r>
      <w:r>
        <w:rPr>
          <w:rFonts w:hint="eastAsia" w:hAnsi="仿宋_GB2312" w:eastAsia="仿宋_GB2312"/>
          <w:sz w:val="28"/>
          <w:szCs w:val="28"/>
        </w:rPr>
        <w:t>。</w:t>
      </w:r>
    </w:p>
    <w:p>
      <w:pPr>
        <w:pStyle w:val="3"/>
        <w:spacing w:before="120" w:after="120" w:line="360" w:lineRule="auto"/>
        <w:rPr>
          <w:sz w:val="32"/>
          <w:szCs w:val="32"/>
        </w:rPr>
      </w:pPr>
      <w:bookmarkStart w:id="9" w:name="_Toc39052456"/>
      <w:r>
        <w:rPr>
          <w:rFonts w:hint="eastAsia"/>
          <w:sz w:val="32"/>
          <w:szCs w:val="32"/>
        </w:rPr>
        <w:t>六、与现行法律、法规、国家标准一致情况的说明</w:t>
      </w:r>
      <w:bookmarkEnd w:id="9"/>
    </w:p>
    <w:p>
      <w:pPr>
        <w:keepNext w:val="0"/>
        <w:keepLines w:val="0"/>
        <w:widowControl/>
        <w:suppressLineNumbers w:val="0"/>
        <w:jc w:val="left"/>
      </w:pPr>
      <w:r>
        <w:rPr>
          <w:rFonts w:hint="eastAsia" w:ascii="Times New Roman" w:hAnsi="仿宋_GB2312" w:eastAsia="仿宋_GB2312" w:cs="Times New Roman"/>
          <w:sz w:val="28"/>
          <w:szCs w:val="28"/>
          <w:lang w:val="en-US" w:eastAsia="zh-CN"/>
        </w:rPr>
        <w:t>河北</w:t>
      </w:r>
      <w:r>
        <w:rPr>
          <w:rFonts w:ascii="Times New Roman" w:hAnsi="仿宋_GB2312" w:eastAsia="仿宋_GB2312" w:cs="Times New Roman"/>
          <w:sz w:val="28"/>
          <w:szCs w:val="28"/>
        </w:rPr>
        <w:t>省地方标准</w:t>
      </w:r>
      <w:r>
        <w:rPr>
          <w:rFonts w:ascii="Times New Roman" w:hAnsi="仿宋_GB2312" w:eastAsia="仿宋_GB2312" w:cs="Times New Roman"/>
          <w:sz w:val="28"/>
          <w:szCs w:val="28"/>
          <w:lang w:val="en-US" w:eastAsia="zh-CN"/>
        </w:rPr>
        <w:t>DB 13/T 5996</w:t>
      </w:r>
      <w:r>
        <w:rPr>
          <w:rFonts w:ascii="Times New Roman" w:hAnsi="仿宋_GB2312" w:eastAsia="仿宋_GB2312" w:cs="Times New Roman"/>
          <w:sz w:val="28"/>
          <w:szCs w:val="28"/>
        </w:rPr>
        <w:t>-</w:t>
      </w:r>
      <w:r>
        <w:rPr>
          <w:rFonts w:hint="default" w:ascii="Times New Roman" w:hAnsi="仿宋_GB2312" w:eastAsia="仿宋_GB2312" w:cs="Times New Roman"/>
          <w:sz w:val="28"/>
          <w:szCs w:val="28"/>
          <w:lang w:val="en-US" w:eastAsia="zh-CN"/>
        </w:rPr>
        <w:t>2024</w:t>
      </w:r>
      <w:r>
        <w:rPr>
          <w:rFonts w:ascii="Times New Roman" w:hAnsi="仿宋_GB2312" w:eastAsia="仿宋_GB2312" w:cs="Times New Roman"/>
          <w:sz w:val="28"/>
          <w:szCs w:val="28"/>
        </w:rPr>
        <w:t>《</w:t>
      </w:r>
      <w:r>
        <w:rPr>
          <w:rFonts w:ascii="Times New Roman" w:hAnsi="仿宋_GB2312" w:eastAsia="仿宋_GB2312" w:cs="Times New Roman"/>
          <w:sz w:val="28"/>
          <w:szCs w:val="28"/>
          <w:lang w:val="en-US" w:eastAsia="zh-CN"/>
        </w:rPr>
        <w:t>公路基层病害聚合物注浆处治技术规程</w:t>
      </w:r>
      <w:r>
        <w:rPr>
          <w:rFonts w:ascii="Times New Roman" w:hAnsi="仿宋_GB2312" w:eastAsia="仿宋_GB2312" w:cs="Times New Roman"/>
          <w:sz w:val="28"/>
          <w:szCs w:val="28"/>
        </w:rPr>
        <w:t>》规定</w:t>
      </w:r>
      <w:r>
        <w:rPr>
          <w:rFonts w:hAnsi="仿宋_GB2312" w:eastAsia="仿宋_GB2312"/>
          <w:sz w:val="28"/>
          <w:szCs w:val="28"/>
        </w:rPr>
        <w:t>了</w:t>
      </w:r>
      <w:r>
        <w:rPr>
          <w:rFonts w:hint="eastAsia" w:hAnsi="仿宋_GB2312" w:eastAsia="仿宋_GB2312"/>
          <w:sz w:val="28"/>
          <w:szCs w:val="28"/>
          <w:lang w:val="en-US" w:eastAsia="zh-CN"/>
        </w:rPr>
        <w:t>采用高聚合物、地聚合物进行裂缝、脱空等病害处置</w:t>
      </w:r>
      <w:r>
        <w:rPr>
          <w:rFonts w:hAnsi="仿宋_GB2312" w:eastAsia="仿宋_GB2312"/>
          <w:sz w:val="28"/>
          <w:szCs w:val="28"/>
        </w:rPr>
        <w:t>的标准测试方法。</w:t>
      </w:r>
      <w:r>
        <w:rPr>
          <w:rFonts w:hint="eastAsia" w:hAnsi="仿宋_GB2312" w:eastAsia="仿宋_GB2312"/>
          <w:sz w:val="28"/>
          <w:szCs w:val="28"/>
          <w:lang w:val="en-US" w:eastAsia="zh-CN"/>
        </w:rPr>
        <w:t>广西</w:t>
      </w:r>
      <w:r>
        <w:rPr>
          <w:rFonts w:hAnsi="仿宋_GB2312" w:eastAsia="仿宋_GB2312"/>
          <w:sz w:val="28"/>
          <w:szCs w:val="28"/>
        </w:rPr>
        <w:t>省地方标</w:t>
      </w:r>
      <w:r>
        <w:rPr>
          <w:rFonts w:hint="default" w:ascii="Times New Roman" w:hAnsi="仿宋_GB2312" w:eastAsia="仿宋_GB2312" w:cs="Times New Roman"/>
          <w:sz w:val="28"/>
          <w:szCs w:val="28"/>
          <w:lang w:val="en-US" w:eastAsia="zh-CN"/>
        </w:rPr>
        <w:t>准</w:t>
      </w:r>
      <w:r>
        <w:rPr>
          <w:rFonts w:ascii="Times New Roman" w:hAnsi="仿宋_GB2312" w:eastAsia="仿宋_GB2312" w:cs="Times New Roman"/>
          <w:sz w:val="28"/>
          <w:szCs w:val="28"/>
        </w:rPr>
        <w:t>《</w:t>
      </w:r>
      <w:r>
        <w:rPr>
          <w:rFonts w:ascii="Times New Roman" w:hAnsi="仿宋_GB2312" w:eastAsia="仿宋_GB2312" w:cs="Times New Roman"/>
          <w:sz w:val="28"/>
          <w:szCs w:val="28"/>
          <w:lang w:val="en-US" w:eastAsia="zh-CN"/>
        </w:rPr>
        <w:t>公路路面基层注浆加固技术指南</w:t>
      </w:r>
      <w:r>
        <w:rPr>
          <w:rFonts w:ascii="Times New Roman" w:hAnsi="仿宋_GB2312" w:eastAsia="仿宋_GB2312" w:cs="Times New Roman"/>
          <w:sz w:val="28"/>
          <w:szCs w:val="28"/>
        </w:rPr>
        <w:t>》</w:t>
      </w:r>
      <w:r>
        <w:rPr>
          <w:rFonts w:hint="default" w:ascii="Times New Roman" w:hAnsi="仿宋_GB2312" w:eastAsia="仿宋_GB2312" w:cs="Times New Roman"/>
          <w:sz w:val="28"/>
          <w:szCs w:val="28"/>
          <w:lang w:val="en-US" w:eastAsia="zh-CN"/>
        </w:rPr>
        <w:t>DBJT45/T 030</w:t>
      </w:r>
      <w:r>
        <w:rPr>
          <w:rFonts w:ascii="Times New Roman" w:hAnsi="仿宋_GB2312" w:eastAsia="仿宋_GB2312" w:cs="Times New Roman"/>
          <w:sz w:val="28"/>
          <w:szCs w:val="28"/>
        </w:rPr>
        <w:t>-</w:t>
      </w:r>
      <w:r>
        <w:rPr>
          <w:rFonts w:hint="default" w:ascii="Times New Roman" w:hAnsi="仿宋_GB2312" w:eastAsia="仿宋_GB2312" w:cs="Times New Roman"/>
          <w:sz w:val="28"/>
          <w:szCs w:val="28"/>
          <w:lang w:val="en-US" w:eastAsia="zh-CN"/>
        </w:rPr>
        <w:t>2021</w:t>
      </w:r>
      <w:r>
        <w:rPr>
          <w:rFonts w:hint="eastAsia" w:ascii="Times New Roman" w:hAnsi="仿宋_GB2312" w:eastAsia="仿宋_GB2312" w:cs="Times New Roman"/>
          <w:sz w:val="28"/>
          <w:szCs w:val="28"/>
          <w:lang w:val="en-US" w:eastAsia="zh-CN"/>
        </w:rPr>
        <w:t>规定了采用地聚合物注浆材料及水泥基注浆材料对公路沥青路面基层松散、脱空等路面结构内部缺陷的注浆加固方法</w:t>
      </w:r>
      <w:r>
        <w:rPr>
          <w:rFonts w:hAnsi="仿宋_GB2312" w:eastAsia="仿宋_GB2312"/>
          <w:sz w:val="28"/>
          <w:szCs w:val="28"/>
        </w:rPr>
        <w:t>。</w:t>
      </w:r>
      <w:r>
        <w:rPr>
          <w:rFonts w:hint="eastAsia" w:hAnsi="仿宋_GB2312" w:eastAsia="仿宋_GB2312"/>
          <w:sz w:val="28"/>
          <w:szCs w:val="28"/>
        </w:rPr>
        <w:t>本规程在吸收和归纳以上规范技术内容基础上，采用了</w:t>
      </w:r>
      <w:r>
        <w:rPr>
          <w:rFonts w:hint="eastAsia" w:hAnsi="仿宋_GB2312" w:eastAsia="仿宋_GB2312"/>
          <w:sz w:val="28"/>
          <w:szCs w:val="28"/>
          <w:lang w:val="en-US" w:eastAsia="zh-CN"/>
        </w:rPr>
        <w:t>低成本的地聚合物材料通过无损修补的方式对半刚性基层病害进行加固处置</w:t>
      </w:r>
      <w:r>
        <w:rPr>
          <w:rFonts w:hint="eastAsia" w:hAnsi="仿宋_GB2312" w:eastAsia="仿宋_GB2312"/>
          <w:sz w:val="28"/>
          <w:szCs w:val="28"/>
        </w:rPr>
        <w:t>。</w:t>
      </w:r>
    </w:p>
    <w:p>
      <w:pPr>
        <w:pStyle w:val="3"/>
        <w:spacing w:before="120" w:after="120" w:line="360" w:lineRule="auto"/>
        <w:rPr>
          <w:sz w:val="32"/>
          <w:szCs w:val="32"/>
        </w:rPr>
      </w:pPr>
      <w:bookmarkStart w:id="10" w:name="_Toc39052457"/>
      <w:r>
        <w:rPr>
          <w:rFonts w:hint="eastAsia"/>
          <w:sz w:val="32"/>
          <w:szCs w:val="32"/>
        </w:rPr>
        <w:t>七、重大分歧意见的处理经过和依据</w:t>
      </w:r>
      <w:bookmarkEnd w:id="10"/>
    </w:p>
    <w:p>
      <w:pPr>
        <w:spacing w:line="360" w:lineRule="auto"/>
        <w:ind w:firstLine="560" w:firstLineChars="200"/>
        <w:rPr>
          <w:rFonts w:hAnsi="仿宋_GB2312" w:eastAsia="仿宋_GB2312"/>
          <w:sz w:val="28"/>
          <w:szCs w:val="28"/>
        </w:rPr>
      </w:pPr>
      <w:r>
        <w:rPr>
          <w:rFonts w:hAnsi="仿宋_GB2312" w:eastAsia="仿宋_GB2312"/>
          <w:sz w:val="28"/>
          <w:szCs w:val="28"/>
        </w:rPr>
        <w:t>本《规范》编制过程中无重大分歧意见</w:t>
      </w:r>
      <w:r>
        <w:rPr>
          <w:rFonts w:hint="eastAsia" w:hAnsi="仿宋_GB2312" w:eastAsia="仿宋_GB2312"/>
          <w:sz w:val="28"/>
          <w:szCs w:val="28"/>
        </w:rPr>
        <w:t>。</w:t>
      </w:r>
    </w:p>
    <w:p>
      <w:pPr>
        <w:pStyle w:val="3"/>
        <w:spacing w:before="120" w:after="120" w:line="360" w:lineRule="auto"/>
        <w:rPr>
          <w:sz w:val="32"/>
          <w:szCs w:val="32"/>
        </w:rPr>
      </w:pPr>
      <w:bookmarkStart w:id="11" w:name="_Toc39052458"/>
      <w:r>
        <w:rPr>
          <w:rFonts w:hint="eastAsia"/>
          <w:sz w:val="32"/>
          <w:szCs w:val="32"/>
        </w:rPr>
        <w:t>八、标准性质的建议说明</w:t>
      </w:r>
      <w:bookmarkEnd w:id="11"/>
    </w:p>
    <w:p>
      <w:pPr>
        <w:ind w:firstLine="840" w:firstLineChars="300"/>
        <w:rPr>
          <w:rFonts w:eastAsia="仿宋_GB2312"/>
          <w:sz w:val="28"/>
          <w:szCs w:val="28"/>
        </w:rPr>
      </w:pPr>
      <w:r>
        <w:rPr>
          <w:rFonts w:hint="eastAsia" w:ascii="仿宋_GB2312" w:hAnsi="仿宋_GB2312" w:eastAsia="仿宋_GB2312" w:cs="仿宋_GB2312"/>
          <w:sz w:val="28"/>
          <w:szCs w:val="28"/>
        </w:rPr>
        <w:t>本标准为推荐性标准。</w:t>
      </w:r>
    </w:p>
    <w:p>
      <w:pPr>
        <w:pStyle w:val="3"/>
        <w:spacing w:before="120" w:after="120" w:line="360" w:lineRule="auto"/>
        <w:rPr>
          <w:sz w:val="32"/>
          <w:szCs w:val="32"/>
        </w:rPr>
      </w:pPr>
      <w:bookmarkStart w:id="12" w:name="_Toc39052459"/>
      <w:r>
        <w:rPr>
          <w:rFonts w:hint="eastAsia"/>
          <w:sz w:val="32"/>
          <w:szCs w:val="32"/>
        </w:rPr>
        <w:t>九、贯彻地方标准的要求和建议措施</w:t>
      </w:r>
      <w:bookmarkEnd w:id="12"/>
    </w:p>
    <w:p>
      <w:pPr>
        <w:ind w:firstLine="560" w:firstLineChars="200"/>
      </w:pPr>
      <w:r>
        <w:rPr>
          <w:rFonts w:hAnsi="仿宋_GB2312" w:eastAsia="仿宋_GB2312"/>
          <w:sz w:val="28"/>
          <w:szCs w:val="28"/>
        </w:rPr>
        <w:t>本地方标准作为公路</w:t>
      </w:r>
      <w:r>
        <w:rPr>
          <w:rFonts w:hint="eastAsia" w:ascii="Times New Roman" w:hAnsi="仿宋_GB2312" w:eastAsia="仿宋_GB2312" w:cs="Times New Roman"/>
          <w:sz w:val="28"/>
          <w:szCs w:val="28"/>
          <w:lang w:val="en-US" w:eastAsia="zh-CN"/>
        </w:rPr>
        <w:t>半刚性基层非开挖式无损加固处置</w:t>
      </w:r>
      <w:r>
        <w:rPr>
          <w:rFonts w:ascii="Times New Roman" w:hAnsi="仿宋_GB2312" w:eastAsia="仿宋_GB2312" w:cs="Times New Roman"/>
          <w:sz w:val="28"/>
          <w:szCs w:val="28"/>
        </w:rPr>
        <w:t>在甘肃</w:t>
      </w:r>
      <w:r>
        <w:rPr>
          <w:rFonts w:hAnsi="仿宋_GB2312" w:eastAsia="仿宋_GB2312"/>
          <w:sz w:val="28"/>
          <w:szCs w:val="28"/>
        </w:rPr>
        <w:t>省地区使用的技术要求，建议在各个</w:t>
      </w:r>
      <w:r>
        <w:rPr>
          <w:rFonts w:hint="eastAsia" w:hAnsi="仿宋_GB2312" w:eastAsia="仿宋_GB2312"/>
          <w:sz w:val="28"/>
          <w:szCs w:val="28"/>
        </w:rPr>
        <w:t>监管</w:t>
      </w:r>
      <w:r>
        <w:rPr>
          <w:rFonts w:hAnsi="仿宋_GB2312" w:eastAsia="仿宋_GB2312"/>
          <w:sz w:val="28"/>
          <w:szCs w:val="28"/>
        </w:rPr>
        <w:t>单位、</w:t>
      </w:r>
      <w:r>
        <w:rPr>
          <w:rFonts w:hint="eastAsia" w:hAnsi="仿宋_GB2312" w:eastAsia="仿宋_GB2312"/>
          <w:sz w:val="28"/>
          <w:szCs w:val="28"/>
        </w:rPr>
        <w:t>检测</w:t>
      </w:r>
      <w:r>
        <w:rPr>
          <w:rFonts w:hAnsi="仿宋_GB2312" w:eastAsia="仿宋_GB2312"/>
          <w:sz w:val="28"/>
          <w:szCs w:val="28"/>
        </w:rPr>
        <w:t>单位宣贯推荐执行。</w:t>
      </w:r>
    </w:p>
    <w:p>
      <w:pPr>
        <w:pStyle w:val="3"/>
        <w:spacing w:before="120" w:after="120" w:line="360" w:lineRule="auto"/>
        <w:rPr>
          <w:sz w:val="32"/>
          <w:szCs w:val="32"/>
        </w:rPr>
      </w:pPr>
      <w:bookmarkStart w:id="13" w:name="_Toc39052460"/>
      <w:r>
        <w:rPr>
          <w:rFonts w:hint="eastAsia"/>
          <w:sz w:val="32"/>
          <w:szCs w:val="32"/>
        </w:rPr>
        <w:t>十、废止现行相关标准的建议</w:t>
      </w:r>
      <w:bookmarkEnd w:id="13"/>
    </w:p>
    <w:p>
      <w:pPr>
        <w:ind w:firstLine="560" w:firstLineChars="200"/>
        <w:rPr>
          <w:rFonts w:hAnsi="仿宋_GB2312" w:eastAsia="仿宋_GB2312"/>
          <w:sz w:val="28"/>
          <w:szCs w:val="28"/>
        </w:rPr>
      </w:pPr>
      <w:r>
        <w:rPr>
          <w:rFonts w:hint="eastAsia" w:hAnsi="仿宋_GB2312" w:eastAsia="仿宋_GB2312"/>
          <w:sz w:val="28"/>
          <w:szCs w:val="28"/>
        </w:rPr>
        <w:t>无。</w:t>
      </w:r>
    </w:p>
    <w:p>
      <w:pPr>
        <w:pStyle w:val="3"/>
        <w:spacing w:before="120" w:after="120" w:line="360" w:lineRule="auto"/>
        <w:rPr>
          <w:sz w:val="32"/>
          <w:szCs w:val="32"/>
        </w:rPr>
      </w:pPr>
      <w:bookmarkStart w:id="14" w:name="_Toc39052461"/>
      <w:r>
        <w:rPr>
          <w:rFonts w:hint="eastAsia"/>
          <w:sz w:val="32"/>
          <w:szCs w:val="32"/>
        </w:rPr>
        <w:t>十一、其他应说明事项</w:t>
      </w:r>
      <w:bookmarkEnd w:id="14"/>
    </w:p>
    <w:p>
      <w:pPr>
        <w:ind w:firstLine="560" w:firstLineChars="200"/>
      </w:pPr>
      <w:r>
        <w:rPr>
          <w:rFonts w:hint="eastAsia" w:hAnsi="仿宋_GB2312" w:eastAsia="仿宋_GB2312"/>
          <w:sz w:val="28"/>
          <w:szCs w:val="28"/>
        </w:rPr>
        <w:t>本文件由甘肃省交通运输工程标准化技术委员会负责管理，甘肃省交通工程质量安全监督管理局负责具体解释工作。</w:t>
      </w:r>
      <w:r>
        <w:rPr>
          <w:rFonts w:hAnsi="仿宋_GB2312" w:eastAsia="仿宋_GB2312"/>
          <w:sz w:val="28"/>
          <w:szCs w:val="28"/>
        </w:rPr>
        <w:t>由于本</w:t>
      </w:r>
      <w:r>
        <w:rPr>
          <w:rFonts w:hint="eastAsia" w:hAnsi="仿宋_GB2312" w:eastAsia="仿宋_GB2312"/>
          <w:sz w:val="28"/>
          <w:szCs w:val="28"/>
        </w:rPr>
        <w:t>文件</w:t>
      </w:r>
      <w:r>
        <w:rPr>
          <w:rFonts w:hAnsi="仿宋_GB2312" w:eastAsia="仿宋_GB2312"/>
          <w:sz w:val="28"/>
          <w:szCs w:val="28"/>
        </w:rPr>
        <w:t>在甘肃省第一次提出，</w:t>
      </w:r>
      <w:r>
        <w:rPr>
          <w:rFonts w:hint="eastAsia" w:hAnsi="仿宋_GB2312" w:eastAsia="仿宋_GB2312"/>
          <w:sz w:val="28"/>
          <w:szCs w:val="28"/>
          <w:lang w:val="en-US" w:eastAsia="zh-CN"/>
        </w:rPr>
        <w:t>采用地聚合物进行半刚性基层病害修复的方法</w:t>
      </w:r>
      <w:r>
        <w:rPr>
          <w:rFonts w:hAnsi="仿宋_GB2312" w:eastAsia="仿宋_GB2312"/>
          <w:sz w:val="28"/>
          <w:szCs w:val="28"/>
        </w:rPr>
        <w:t>正在国内大规模推广使用，本</w:t>
      </w:r>
      <w:r>
        <w:rPr>
          <w:rFonts w:hint="eastAsia" w:hAnsi="仿宋_GB2312" w:eastAsia="仿宋_GB2312"/>
          <w:sz w:val="28"/>
          <w:szCs w:val="28"/>
        </w:rPr>
        <w:t>文件</w:t>
      </w:r>
      <w:r>
        <w:rPr>
          <w:rFonts w:hAnsi="仿宋_GB2312" w:eastAsia="仿宋_GB2312"/>
          <w:sz w:val="28"/>
          <w:szCs w:val="28"/>
        </w:rPr>
        <w:t>必将在实践的过程中进行进一步的检验，</w:t>
      </w:r>
      <w:r>
        <w:rPr>
          <w:rFonts w:hint="eastAsia" w:hAnsi="仿宋_GB2312" w:eastAsia="仿宋_GB2312"/>
          <w:sz w:val="28"/>
          <w:szCs w:val="28"/>
        </w:rPr>
        <w:t>各单位在应用过程中如有好的意见或建议，请函告甘肃省交通工程质量安全监督管理局至《公路半刚性基层非开挖修复技术规程》编制组（地址：甘肃省兰州市城关区雁北路1689号，邮政编码：730040，E-mail: 635722730@qq.com，联系方式：18009328096），以便对文件进行修订。</w:t>
      </w:r>
    </w:p>
    <w:sectPr>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国标仿宋-GB/T 2312">
    <w:panose1 w:val="02000500000000000000"/>
    <w:charset w:val="86"/>
    <w:family w:val="auto"/>
    <w:pitch w:val="default"/>
    <w:sig w:usb0="800002AF" w:usb1="08476CF8"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国标黑体-GB/T 2312">
    <w:panose1 w:val="02000500000000000000"/>
    <w:charset w:val="86"/>
    <w:family w:val="auto"/>
    <w:pitch w:val="default"/>
    <w:sig w:usb0="00000001" w:usb1="08000000" w:usb2="00000000" w:usb3="00000000" w:csb0="00040000" w:csb1="00000000"/>
  </w:font>
  <w:font w:name="国标楷体-GB/T 2312">
    <w:panose1 w:val="020005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方正黑体_GBK"/>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84391"/>
    </w:sdtPr>
    <w:sdtContent>
      <w:p>
        <w:pPr>
          <w:pStyle w:val="7"/>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42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color w:val="auto"/>
        <w:sz w:val="21"/>
      </w:rPr>
    </w:lvl>
    <w:lvl w:ilvl="4" w:tentative="0">
      <w:start w:val="1"/>
      <w:numFmt w:val="decimal"/>
      <w:suff w:val="nothing"/>
      <w:lvlText w:val="%1.%2.%3.%4.%5　"/>
      <w:lvlJc w:val="left"/>
      <w:pPr>
        <w:ind w:left="0" w:firstLine="0"/>
      </w:pPr>
      <w:rPr>
        <w:rFonts w:hint="eastAsia" w:ascii="黑体" w:hAnsi="Times New Roman" w:eastAsia="黑体"/>
        <w:b w:val="0"/>
        <w:i w:val="0"/>
        <w:color w:val="FF000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46330F5"/>
    <w:multiLevelType w:val="multilevel"/>
    <w:tmpl w:val="546330F5"/>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C7252"/>
    <w:rsid w:val="00042867"/>
    <w:rsid w:val="00071A2E"/>
    <w:rsid w:val="000741D8"/>
    <w:rsid w:val="000744D8"/>
    <w:rsid w:val="000967BC"/>
    <w:rsid w:val="000B6095"/>
    <w:rsid w:val="000C198C"/>
    <w:rsid w:val="000D740C"/>
    <w:rsid w:val="001465E1"/>
    <w:rsid w:val="00195AE6"/>
    <w:rsid w:val="001C4626"/>
    <w:rsid w:val="001C7252"/>
    <w:rsid w:val="00293BEE"/>
    <w:rsid w:val="00296386"/>
    <w:rsid w:val="002A132A"/>
    <w:rsid w:val="002D4D81"/>
    <w:rsid w:val="00307129"/>
    <w:rsid w:val="00317A05"/>
    <w:rsid w:val="00321F98"/>
    <w:rsid w:val="0033738D"/>
    <w:rsid w:val="0035714A"/>
    <w:rsid w:val="003739BD"/>
    <w:rsid w:val="0038352C"/>
    <w:rsid w:val="003E6864"/>
    <w:rsid w:val="0040460D"/>
    <w:rsid w:val="0042594A"/>
    <w:rsid w:val="004665C0"/>
    <w:rsid w:val="004D5EA7"/>
    <w:rsid w:val="004F1FDA"/>
    <w:rsid w:val="005157E2"/>
    <w:rsid w:val="005E63FC"/>
    <w:rsid w:val="006146A9"/>
    <w:rsid w:val="0068145E"/>
    <w:rsid w:val="007534CF"/>
    <w:rsid w:val="00780852"/>
    <w:rsid w:val="007B01A3"/>
    <w:rsid w:val="007F38D0"/>
    <w:rsid w:val="008B43B6"/>
    <w:rsid w:val="008C28B8"/>
    <w:rsid w:val="008D71B9"/>
    <w:rsid w:val="00990DBC"/>
    <w:rsid w:val="009C244B"/>
    <w:rsid w:val="009C513D"/>
    <w:rsid w:val="009D4393"/>
    <w:rsid w:val="00A17CA8"/>
    <w:rsid w:val="00A56925"/>
    <w:rsid w:val="00A702D3"/>
    <w:rsid w:val="00A95640"/>
    <w:rsid w:val="00B0247A"/>
    <w:rsid w:val="00BD4376"/>
    <w:rsid w:val="00C85CB0"/>
    <w:rsid w:val="00C95607"/>
    <w:rsid w:val="00D536A7"/>
    <w:rsid w:val="00D64870"/>
    <w:rsid w:val="00D84F4D"/>
    <w:rsid w:val="00DE65BA"/>
    <w:rsid w:val="00E76617"/>
    <w:rsid w:val="00E80972"/>
    <w:rsid w:val="00E836F3"/>
    <w:rsid w:val="00E871FD"/>
    <w:rsid w:val="00EA203B"/>
    <w:rsid w:val="00F905DB"/>
    <w:rsid w:val="00FA7FC0"/>
    <w:rsid w:val="0E422C9C"/>
    <w:rsid w:val="18324293"/>
    <w:rsid w:val="28DB4962"/>
    <w:rsid w:val="2C8854A3"/>
    <w:rsid w:val="2D771F2D"/>
    <w:rsid w:val="33B63DC4"/>
    <w:rsid w:val="3E415064"/>
    <w:rsid w:val="3ED478A8"/>
    <w:rsid w:val="436C3094"/>
    <w:rsid w:val="567B6859"/>
    <w:rsid w:val="56BFF104"/>
    <w:rsid w:val="57B2088F"/>
    <w:rsid w:val="6D475DB8"/>
    <w:rsid w:val="6FF63F05"/>
    <w:rsid w:val="70972430"/>
    <w:rsid w:val="7DFB428C"/>
    <w:rsid w:val="7F411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4">
    <w:name w:val="Body Text"/>
    <w:basedOn w:val="1"/>
    <w:next w:val="5"/>
    <w:unhideWhenUsed/>
    <w:qFormat/>
    <w:uiPriority w:val="99"/>
    <w:pPr>
      <w:spacing w:after="120"/>
    </w:pPr>
  </w:style>
  <w:style w:type="paragraph" w:styleId="5">
    <w:name w:val="List Paragraph"/>
    <w:basedOn w:val="1"/>
    <w:qFormat/>
    <w:uiPriority w:val="34"/>
    <w:pPr>
      <w:ind w:firstLine="420" w:firstLineChars="200"/>
    </w:pPr>
  </w:style>
  <w:style w:type="paragraph" w:styleId="6">
    <w:name w:val="Body Text Indent"/>
    <w:basedOn w:val="1"/>
    <w:qFormat/>
    <w:uiPriority w:val="0"/>
    <w:pPr>
      <w:spacing w:after="120"/>
      <w:ind w:left="420" w:leftChars="200"/>
    </w:p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toc 1"/>
    <w:basedOn w:val="1"/>
    <w:next w:val="1"/>
    <w:unhideWhenUsed/>
    <w:qFormat/>
    <w:uiPriority w:val="39"/>
  </w:style>
  <w:style w:type="paragraph" w:styleId="10">
    <w:name w:val="Body Text First Indent"/>
    <w:basedOn w:val="4"/>
    <w:qFormat/>
    <w:uiPriority w:val="99"/>
    <w:pPr>
      <w:widowControl/>
      <w:shd w:val="clear" w:color="auto" w:fill="FFFFFF"/>
      <w:adjustRightInd w:val="0"/>
      <w:snapToGrid w:val="0"/>
      <w:spacing w:after="1620" w:line="240" w:lineRule="atLeast"/>
      <w:ind w:firstLine="420" w:firstLineChars="100"/>
      <w:jc w:val="left"/>
    </w:pPr>
    <w:rPr>
      <w:rFonts w:ascii="Tahoma" w:hAnsi="Tahoma" w:eastAsia="微软雅黑"/>
      <w:kern w:val="0"/>
      <w:sz w:val="29"/>
      <w:szCs w:val="29"/>
    </w:rPr>
  </w:style>
  <w:style w:type="paragraph" w:styleId="11">
    <w:name w:val="Body Text First Indent 2"/>
    <w:basedOn w:val="6"/>
    <w:qFormat/>
    <w:uiPriority w:val="0"/>
    <w:pPr>
      <w:spacing w:after="0"/>
      <w:ind w:left="0" w:leftChars="0" w:firstLine="420"/>
      <w:jc w:val="left"/>
      <w:outlineLvl w:val="0"/>
    </w:pPr>
    <w:rPr>
      <w:rFonts w:ascii="宋体" w:hAnsi="宋体"/>
    </w:rPr>
  </w:style>
  <w:style w:type="character" w:styleId="14">
    <w:name w:val="Hyperlink"/>
    <w:basedOn w:val="13"/>
    <w:unhideWhenUsed/>
    <w:qFormat/>
    <w:uiPriority w:val="99"/>
    <w:rPr>
      <w:color w:val="0563C1" w:themeColor="hyperlink"/>
      <w:u w:val="single"/>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character" w:customStyle="1" w:styleId="17">
    <w:name w:val="标题 1 字符1"/>
    <w:basedOn w:val="13"/>
    <w:link w:val="3"/>
    <w:qFormat/>
    <w:uiPriority w:val="0"/>
    <w:rPr>
      <w:rFonts w:ascii="Times New Roman" w:hAnsi="Times New Roman" w:eastAsia="宋体" w:cs="Times New Roman"/>
      <w:b/>
      <w:bCs/>
      <w:kern w:val="44"/>
      <w:sz w:val="44"/>
      <w:szCs w:val="44"/>
    </w:rPr>
  </w:style>
  <w:style w:type="paragraph" w:customStyle="1" w:styleId="18">
    <w:name w:val="二级条标题"/>
    <w:basedOn w:val="1"/>
    <w:next w:val="1"/>
    <w:qFormat/>
    <w:uiPriority w:val="0"/>
    <w:pPr>
      <w:widowControl/>
      <w:numPr>
        <w:ilvl w:val="2"/>
        <w:numId w:val="1"/>
      </w:numPr>
      <w:spacing w:beforeLines="50" w:afterLines="50"/>
      <w:jc w:val="left"/>
      <w:outlineLvl w:val="3"/>
    </w:pPr>
    <w:rPr>
      <w:rFonts w:ascii="黑体" w:eastAsia="黑体"/>
      <w:kern w:val="0"/>
      <w:szCs w:val="21"/>
    </w:rPr>
  </w:style>
  <w:style w:type="character" w:customStyle="1" w:styleId="19">
    <w:name w:val="标题 1 字符"/>
    <w:qFormat/>
    <w:uiPriority w:val="0"/>
    <w:rPr>
      <w:b/>
      <w:bCs/>
      <w:kern w:val="44"/>
      <w:sz w:val="44"/>
      <w:szCs w:val="44"/>
    </w:rPr>
  </w:style>
  <w:style w:type="paragraph" w:customStyle="1" w:styleId="20">
    <w:name w:val="段"/>
    <w:link w:val="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1">
    <w:name w:val="段 Char"/>
    <w:link w:val="20"/>
    <w:qFormat/>
    <w:uiPriority w:val="0"/>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2576</Words>
  <Characters>2686</Characters>
  <Lines>31</Lines>
  <Paragraphs>8</Paragraphs>
  <TotalTime>2</TotalTime>
  <ScaleCrop>false</ScaleCrop>
  <LinksUpToDate>false</LinksUpToDate>
  <CharactersWithSpaces>2743</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2020-05-08T04:09:00Z</dcterms:created>
  <dc:creator>Windows 用户</dc:creator>
  <cp:lastModifiedBy>王珊珊</cp:lastModifiedBy>
  <cp:lastPrinted>2021-01-29T18:30:00Z</cp:lastPrinted>
  <dcterms:modified xsi:type="dcterms:W3CDTF">2025-05-30T11:29:19Z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KSOTemplateDocerSaveRecord">
    <vt:lpwstr>eyJoZGlkIjoiMDEyZmE3ZDQxY2NlMTU0ZjI2OTI1NmY4ODgwZWI3NjgiLCJ1c2VySWQiOiIxMjkyMDI2OTY0In0=</vt:lpwstr>
  </property>
  <property fmtid="{D5CDD505-2E9C-101B-9397-08002B2CF9AE}" pid="4" name="ICV">
    <vt:lpwstr>71025CED5C3B45E7B28CB2F4D23947F5_12</vt:lpwstr>
  </property>
</Properties>
</file>