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eastAsia="宋体"/>
          <w:lang w:val="en-US" w:eastAsia="zh-CN"/>
        </w:rPr>
      </w:pPr>
      <w:r>
        <w:rPr>
          <w:rFonts w:hint="eastAsia"/>
          <w:lang w:val="en-US" w:eastAsia="zh-CN"/>
        </w:rPr>
        <w:t>附件1：</w:t>
      </w:r>
    </w:p>
    <w:p/>
    <w:p>
      <w:pPr>
        <w:adjustRightInd w:val="0"/>
        <w:snapToGrid w:val="0"/>
        <w:ind w:right="420" w:rightChars="200"/>
        <w:jc w:val="center"/>
        <w:rPr>
          <w:rFonts w:ascii="仿宋_GB2312"/>
          <w:b/>
          <w:spacing w:val="20"/>
          <w:sz w:val="44"/>
          <w:szCs w:val="44"/>
        </w:rPr>
      </w:pPr>
      <w:r>
        <w:rPr>
          <w:rFonts w:hint="eastAsia" w:ascii="仿宋_GB2312"/>
          <w:b/>
          <w:spacing w:val="20"/>
          <w:sz w:val="44"/>
          <w:szCs w:val="44"/>
        </w:rPr>
        <w:t>甘肃省地方标准</w:t>
      </w:r>
    </w:p>
    <w:p>
      <w:pPr>
        <w:adjustRightInd w:val="0"/>
        <w:snapToGrid w:val="0"/>
        <w:ind w:right="420" w:rightChars="200"/>
        <w:jc w:val="center"/>
        <w:rPr>
          <w:rFonts w:ascii="仿宋_GB2312"/>
          <w:b/>
          <w:spacing w:val="20"/>
          <w:sz w:val="44"/>
          <w:szCs w:val="44"/>
        </w:rPr>
      </w:pPr>
    </w:p>
    <w:p>
      <w:pPr>
        <w:pStyle w:val="10"/>
      </w:pPr>
    </w:p>
    <w:p>
      <w:pPr>
        <w:adjustRightInd w:val="0"/>
        <w:snapToGrid w:val="0"/>
        <w:ind w:right="420" w:rightChars="200"/>
        <w:jc w:val="center"/>
        <w:rPr>
          <w:rFonts w:ascii="仿宋_GB2312"/>
          <w:b/>
          <w:spacing w:val="20"/>
          <w:sz w:val="44"/>
          <w:szCs w:val="44"/>
        </w:rPr>
      </w:pPr>
      <w:bookmarkStart w:id="0" w:name="_Toc198975812"/>
      <w:r>
        <w:rPr>
          <w:b/>
          <w:bCs/>
          <w:spacing w:val="20"/>
          <w:sz w:val="44"/>
          <w:szCs w:val="44"/>
        </w:rPr>
        <w:t>《</w:t>
      </w:r>
      <w:r>
        <w:rPr>
          <w:rFonts w:hint="eastAsia" w:eastAsia="宋体"/>
          <w:b/>
          <w:bCs/>
          <w:spacing w:val="20"/>
          <w:sz w:val="44"/>
          <w:szCs w:val="44"/>
          <w:lang w:val="en-US" w:eastAsia="zh-CN"/>
        </w:rPr>
        <w:t>生物制品贮存管理技术规范</w:t>
      </w:r>
      <w:r>
        <w:rPr>
          <w:b/>
          <w:bCs/>
          <w:spacing w:val="20"/>
          <w:sz w:val="44"/>
          <w:szCs w:val="44"/>
        </w:rPr>
        <w:t>》</w:t>
      </w:r>
    </w:p>
    <w:p>
      <w:pPr>
        <w:adjustRightInd w:val="0"/>
        <w:snapToGrid w:val="0"/>
        <w:ind w:right="420" w:rightChars="200"/>
        <w:jc w:val="center"/>
        <w:rPr>
          <w:rFonts w:hint="eastAsia" w:ascii="仿宋_GB2312"/>
          <w:b/>
          <w:color w:val="auto"/>
          <w:spacing w:val="20"/>
          <w:sz w:val="32"/>
          <w:szCs w:val="32"/>
        </w:rPr>
      </w:pPr>
    </w:p>
    <w:p>
      <w:pPr>
        <w:adjustRightInd w:val="0"/>
        <w:snapToGrid w:val="0"/>
        <w:ind w:right="420" w:rightChars="200"/>
        <w:jc w:val="center"/>
        <w:rPr>
          <w:rFonts w:ascii="仿宋_GB2312"/>
          <w:b/>
          <w:color w:val="auto"/>
          <w:spacing w:val="20"/>
          <w:sz w:val="32"/>
          <w:szCs w:val="32"/>
        </w:rPr>
      </w:pPr>
      <w:r>
        <w:rPr>
          <w:rFonts w:hint="eastAsia" w:ascii="仿宋_GB2312"/>
          <w:b/>
          <w:color w:val="auto"/>
          <w:spacing w:val="20"/>
          <w:sz w:val="32"/>
          <w:szCs w:val="32"/>
        </w:rPr>
        <w:t>(</w:t>
      </w:r>
      <w:r>
        <w:rPr>
          <w:rFonts w:hint="eastAsia" w:ascii="仿宋_GB2312"/>
          <w:b/>
          <w:color w:val="auto"/>
          <w:spacing w:val="20"/>
          <w:sz w:val="32"/>
          <w:szCs w:val="32"/>
          <w:lang w:val="en-US" w:eastAsia="zh-CN"/>
        </w:rPr>
        <w:t>立项计划编号：2025-T-051)</w:t>
      </w:r>
    </w:p>
    <w:bookmarkEnd w:id="0"/>
    <w:p>
      <w:pPr>
        <w:ind w:firstLine="963"/>
        <w:jc w:val="center"/>
        <w:rPr>
          <w:rFonts w:ascii="仿宋_GB2312"/>
          <w:b/>
          <w:spacing w:val="20"/>
          <w:sz w:val="44"/>
          <w:szCs w:val="44"/>
        </w:rPr>
      </w:pPr>
    </w:p>
    <w:p>
      <w:pPr>
        <w:ind w:firstLine="2871" w:firstLineChars="596"/>
        <w:jc w:val="center"/>
        <w:rPr>
          <w:rFonts w:ascii="仿宋_GB2312"/>
          <w:b/>
          <w:spacing w:val="20"/>
          <w:sz w:val="44"/>
          <w:szCs w:val="44"/>
        </w:rPr>
      </w:pPr>
    </w:p>
    <w:p>
      <w:pPr>
        <w:jc w:val="center"/>
        <w:rPr>
          <w:rFonts w:ascii="仿宋_GB2312"/>
          <w:b/>
          <w:spacing w:val="20"/>
          <w:sz w:val="52"/>
          <w:szCs w:val="52"/>
        </w:rPr>
      </w:pPr>
      <w:r>
        <w:rPr>
          <w:rFonts w:hint="eastAsia" w:ascii="仿宋_GB2312"/>
          <w:b/>
          <w:spacing w:val="20"/>
          <w:sz w:val="52"/>
          <w:szCs w:val="52"/>
        </w:rPr>
        <w:t>编 制 说 明</w:t>
      </w:r>
    </w:p>
    <w:p>
      <w:pPr>
        <w:jc w:val="center"/>
      </w:pPr>
    </w:p>
    <w:p/>
    <w:p/>
    <w:p/>
    <w:p/>
    <w:p/>
    <w:p>
      <w:pPr>
        <w:adjustRightInd w:val="0"/>
        <w:snapToGrid w:val="0"/>
        <w:spacing w:line="360" w:lineRule="auto"/>
        <w:rPr>
          <w:sz w:val="30"/>
        </w:rPr>
      </w:pPr>
    </w:p>
    <w:p>
      <w:pPr>
        <w:adjustRightInd w:val="0"/>
        <w:snapToGrid w:val="0"/>
        <w:spacing w:line="360" w:lineRule="auto"/>
        <w:rPr>
          <w:sz w:val="30"/>
        </w:rPr>
      </w:pPr>
    </w:p>
    <w:p>
      <w:pPr>
        <w:adjustRightInd w:val="0"/>
        <w:snapToGrid w:val="0"/>
        <w:spacing w:line="360" w:lineRule="auto"/>
        <w:rPr>
          <w:sz w:val="30"/>
        </w:rPr>
      </w:pPr>
    </w:p>
    <w:p>
      <w:pPr>
        <w:adjustRightInd w:val="0"/>
        <w:snapToGrid w:val="0"/>
        <w:spacing w:before="120"/>
        <w:jc w:val="center"/>
        <w:rPr>
          <w:rFonts w:ascii="仿宋_GB2312"/>
          <w:b/>
          <w:bCs/>
          <w:spacing w:val="20"/>
          <w:sz w:val="36"/>
          <w:szCs w:val="36"/>
        </w:rPr>
      </w:pPr>
    </w:p>
    <w:p>
      <w:pPr>
        <w:adjustRightInd w:val="0"/>
        <w:snapToGrid w:val="0"/>
        <w:spacing w:before="120"/>
        <w:jc w:val="center"/>
        <w:rPr>
          <w:rFonts w:ascii="仿宋_GB2312"/>
          <w:b/>
          <w:bCs/>
          <w:spacing w:val="20"/>
          <w:sz w:val="36"/>
          <w:szCs w:val="36"/>
        </w:rPr>
      </w:pPr>
    </w:p>
    <w:p>
      <w:pPr>
        <w:adjustRightInd w:val="0"/>
        <w:snapToGrid w:val="0"/>
        <w:spacing w:before="120"/>
        <w:jc w:val="center"/>
        <w:rPr>
          <w:rFonts w:ascii="仿宋_GB2312"/>
          <w:b/>
          <w:bCs/>
          <w:spacing w:val="20"/>
          <w:sz w:val="36"/>
          <w:szCs w:val="36"/>
        </w:rPr>
      </w:pPr>
    </w:p>
    <w:p>
      <w:pPr>
        <w:adjustRightInd w:val="0"/>
        <w:snapToGrid w:val="0"/>
        <w:spacing w:before="120" w:line="360" w:lineRule="auto"/>
        <w:jc w:val="center"/>
        <w:rPr>
          <w:rFonts w:hint="eastAsia" w:eastAsia="宋体"/>
          <w:b/>
          <w:bCs/>
          <w:spacing w:val="-6"/>
          <w:sz w:val="32"/>
          <w:szCs w:val="32"/>
        </w:rPr>
      </w:pPr>
      <w:r>
        <w:rPr>
          <w:rFonts w:hint="eastAsia" w:eastAsia="宋体"/>
          <w:b/>
          <w:bCs/>
          <w:spacing w:val="-6"/>
          <w:sz w:val="32"/>
          <w:szCs w:val="32"/>
        </w:rPr>
        <w:t>《</w:t>
      </w:r>
      <w:r>
        <w:rPr>
          <w:rFonts w:hint="eastAsia" w:eastAsia="宋体"/>
          <w:b/>
          <w:bCs/>
          <w:spacing w:val="-6"/>
          <w:sz w:val="32"/>
          <w:szCs w:val="32"/>
          <w:lang w:val="en-US" w:eastAsia="zh-CN"/>
        </w:rPr>
        <w:t>生物制品贮存管理技术规范</w:t>
      </w:r>
      <w:r>
        <w:rPr>
          <w:rFonts w:hint="eastAsia" w:eastAsia="宋体"/>
          <w:b/>
          <w:bCs/>
          <w:spacing w:val="-6"/>
          <w:sz w:val="32"/>
          <w:szCs w:val="32"/>
        </w:rPr>
        <w:t>》编制组</w:t>
      </w:r>
    </w:p>
    <w:p>
      <w:pPr>
        <w:widowControl/>
        <w:spacing w:line="360" w:lineRule="auto"/>
        <w:ind w:left="200"/>
        <w:jc w:val="center"/>
        <w:rPr>
          <w:rFonts w:ascii="仿宋" w:hAnsi="仿宋" w:eastAsia="仿宋" w:cs="仿宋"/>
          <w:bCs/>
          <w:sz w:val="28"/>
          <w:szCs w:val="28"/>
          <w:lang w:val="zh-CN"/>
        </w:rPr>
        <w:sectPr>
          <w:headerReference r:id="rId4" w:type="first"/>
          <w:footerReference r:id="rId5" w:type="default"/>
          <w:headerReference r:id="rId3" w:type="even"/>
          <w:footerReference r:id="rId6" w:type="even"/>
          <w:pgSz w:w="12240" w:h="15840"/>
          <w:pgMar w:top="1440" w:right="1800" w:bottom="1440" w:left="1800" w:header="720" w:footer="720" w:gutter="0"/>
          <w:cols w:space="720" w:num="1"/>
          <w:titlePg/>
          <w:docGrid w:type="lines" w:linePitch="312" w:charSpace="0"/>
        </w:sectPr>
      </w:pPr>
      <w:r>
        <w:rPr>
          <w:rFonts w:hint="eastAsia" w:ascii="宋体" w:hAnsi="宋体"/>
          <w:bCs/>
          <w:sz w:val="36"/>
          <w:szCs w:val="36"/>
        </w:rPr>
        <w:t>二〇二</w:t>
      </w:r>
      <w:r>
        <w:rPr>
          <w:rFonts w:hint="eastAsia" w:ascii="宋体" w:hAnsi="宋体"/>
          <w:bCs/>
          <w:sz w:val="36"/>
          <w:szCs w:val="36"/>
          <w:lang w:val="en-US" w:eastAsia="zh-CN"/>
        </w:rPr>
        <w:t>五</w:t>
      </w:r>
      <w:r>
        <w:rPr>
          <w:rFonts w:hint="eastAsia" w:ascii="宋体" w:hAnsi="宋体"/>
          <w:bCs/>
          <w:sz w:val="36"/>
          <w:szCs w:val="36"/>
        </w:rPr>
        <w:t>年</w:t>
      </w:r>
      <w:r>
        <w:rPr>
          <w:rFonts w:hint="eastAsia" w:ascii="宋体" w:hAnsi="宋体"/>
          <w:bCs/>
          <w:sz w:val="36"/>
          <w:szCs w:val="36"/>
          <w:lang w:val="en-US" w:eastAsia="zh-CN"/>
        </w:rPr>
        <w:t>五</w:t>
      </w:r>
      <w:r>
        <w:rPr>
          <w:rFonts w:hint="eastAsia" w:ascii="宋体" w:hAnsi="宋体"/>
          <w:bCs/>
          <w:sz w:val="36"/>
          <w:szCs w:val="36"/>
        </w:rPr>
        <w:t>月</w:t>
      </w:r>
    </w:p>
    <w:p>
      <w:pPr>
        <w:pStyle w:val="2"/>
        <w:spacing w:before="120" w:after="120" w:line="360" w:lineRule="auto"/>
        <w:jc w:val="center"/>
        <w:rPr>
          <w:sz w:val="32"/>
          <w:szCs w:val="32"/>
        </w:rPr>
      </w:pPr>
      <w:bookmarkStart w:id="1" w:name="_Toc39052450"/>
      <w:r>
        <w:rPr>
          <w:rFonts w:hint="eastAsia"/>
          <w:sz w:val="32"/>
          <w:szCs w:val="32"/>
        </w:rPr>
        <w:t>目录</w:t>
      </w:r>
      <w:bookmarkEnd w:id="1"/>
    </w:p>
    <w:p>
      <w:pPr>
        <w:pStyle w:val="6"/>
        <w:tabs>
          <w:tab w:val="right" w:leader="dot" w:pos="8296"/>
        </w:tabs>
        <w:rPr>
          <w:sz w:val="24"/>
        </w:rPr>
      </w:pPr>
      <w:r>
        <w:rPr>
          <w:sz w:val="24"/>
        </w:rPr>
        <w:fldChar w:fldCharType="begin"/>
      </w:r>
      <w:r>
        <w:rPr>
          <w:sz w:val="24"/>
        </w:rPr>
        <w:instrText xml:space="preserve"> TOC \o "1-1" \h \z \u </w:instrText>
      </w:r>
      <w:r>
        <w:rPr>
          <w:sz w:val="24"/>
        </w:rPr>
        <w:fldChar w:fldCharType="separate"/>
      </w:r>
    </w:p>
    <w:p>
      <w:pPr>
        <w:pStyle w:val="6"/>
        <w:tabs>
          <w:tab w:val="right" w:leader="dot" w:pos="8296"/>
        </w:tabs>
        <w:rPr>
          <w:sz w:val="24"/>
        </w:rPr>
      </w:pPr>
      <w:r>
        <w:fldChar w:fldCharType="begin"/>
      </w:r>
      <w:r>
        <w:instrText xml:space="preserve"> HYPERLINK \l "_Toc39052451" </w:instrText>
      </w:r>
      <w:r>
        <w:fldChar w:fldCharType="separate"/>
      </w:r>
      <w:r>
        <w:rPr>
          <w:rStyle w:val="9"/>
          <w:rFonts w:hint="eastAsia"/>
          <w:sz w:val="24"/>
        </w:rPr>
        <w:t>一、制定本规程的目的和意义</w:t>
      </w:r>
      <w:r>
        <w:rPr>
          <w:sz w:val="24"/>
        </w:rPr>
        <w:tab/>
      </w:r>
      <w:r>
        <w:rPr>
          <w:sz w:val="24"/>
        </w:rPr>
        <w:fldChar w:fldCharType="begin"/>
      </w:r>
      <w:r>
        <w:rPr>
          <w:sz w:val="24"/>
        </w:rPr>
        <w:instrText xml:space="preserve"> PAGEREF _Toc39052451 \h </w:instrText>
      </w:r>
      <w:r>
        <w:rPr>
          <w:sz w:val="24"/>
        </w:rPr>
        <w:fldChar w:fldCharType="separate"/>
      </w:r>
      <w:r>
        <w:rPr>
          <w:sz w:val="24"/>
        </w:rPr>
        <w:t>1</w:t>
      </w:r>
      <w:r>
        <w:rPr>
          <w:sz w:val="24"/>
        </w:rPr>
        <w:fldChar w:fldCharType="end"/>
      </w:r>
      <w:r>
        <w:rPr>
          <w:sz w:val="24"/>
        </w:rPr>
        <w:fldChar w:fldCharType="end"/>
      </w:r>
    </w:p>
    <w:p>
      <w:pPr>
        <w:pStyle w:val="6"/>
        <w:tabs>
          <w:tab w:val="right" w:leader="dot" w:pos="8296"/>
        </w:tabs>
        <w:rPr>
          <w:sz w:val="24"/>
        </w:rPr>
      </w:pPr>
      <w:r>
        <w:fldChar w:fldCharType="begin"/>
      </w:r>
      <w:r>
        <w:instrText xml:space="preserve"> HYPERLINK \l "_Toc39052452" </w:instrText>
      </w:r>
      <w:r>
        <w:fldChar w:fldCharType="separate"/>
      </w:r>
      <w:r>
        <w:rPr>
          <w:rStyle w:val="9"/>
          <w:rFonts w:hint="eastAsia"/>
          <w:sz w:val="24"/>
        </w:rPr>
        <w:t>二、工作简况</w:t>
      </w:r>
      <w:r>
        <w:rPr>
          <w:sz w:val="24"/>
        </w:rPr>
        <w:tab/>
      </w:r>
      <w:r>
        <w:rPr>
          <w:sz w:val="24"/>
        </w:rPr>
        <w:fldChar w:fldCharType="begin"/>
      </w:r>
      <w:r>
        <w:rPr>
          <w:sz w:val="24"/>
        </w:rPr>
        <w:instrText xml:space="preserve"> PAGEREF _Toc39052452 \h </w:instrText>
      </w:r>
      <w:r>
        <w:rPr>
          <w:sz w:val="24"/>
        </w:rPr>
        <w:fldChar w:fldCharType="separate"/>
      </w:r>
      <w:r>
        <w:rPr>
          <w:sz w:val="24"/>
        </w:rPr>
        <w:t>2</w:t>
      </w:r>
      <w:r>
        <w:rPr>
          <w:sz w:val="24"/>
        </w:rPr>
        <w:fldChar w:fldCharType="end"/>
      </w:r>
      <w:r>
        <w:rPr>
          <w:sz w:val="24"/>
        </w:rPr>
        <w:fldChar w:fldCharType="end"/>
      </w:r>
    </w:p>
    <w:p>
      <w:pPr>
        <w:pStyle w:val="6"/>
        <w:tabs>
          <w:tab w:val="right" w:leader="dot" w:pos="8296"/>
        </w:tabs>
        <w:rPr>
          <w:sz w:val="24"/>
        </w:rPr>
      </w:pPr>
      <w:r>
        <w:fldChar w:fldCharType="begin"/>
      </w:r>
      <w:r>
        <w:instrText xml:space="preserve"> HYPERLINK \l "_Toc39052453" </w:instrText>
      </w:r>
      <w:r>
        <w:fldChar w:fldCharType="separate"/>
      </w:r>
      <w:r>
        <w:rPr>
          <w:rStyle w:val="9"/>
          <w:rFonts w:hint="eastAsia"/>
          <w:sz w:val="24"/>
        </w:rPr>
        <w:t>三、所涉及的产品、适用范围</w:t>
      </w:r>
      <w:r>
        <w:rPr>
          <w:sz w:val="24"/>
        </w:rPr>
        <w:tab/>
      </w:r>
      <w:r>
        <w:rPr>
          <w:sz w:val="24"/>
        </w:rPr>
        <w:fldChar w:fldCharType="begin"/>
      </w:r>
      <w:r>
        <w:rPr>
          <w:sz w:val="24"/>
        </w:rPr>
        <w:instrText xml:space="preserve"> PAGEREF _Toc39052453 \h </w:instrText>
      </w:r>
      <w:r>
        <w:rPr>
          <w:sz w:val="24"/>
        </w:rPr>
        <w:fldChar w:fldCharType="separate"/>
      </w:r>
      <w:r>
        <w:rPr>
          <w:sz w:val="24"/>
        </w:rPr>
        <w:t>3</w:t>
      </w:r>
      <w:r>
        <w:rPr>
          <w:sz w:val="24"/>
        </w:rPr>
        <w:fldChar w:fldCharType="end"/>
      </w:r>
      <w:r>
        <w:rPr>
          <w:sz w:val="24"/>
        </w:rPr>
        <w:fldChar w:fldCharType="end"/>
      </w:r>
    </w:p>
    <w:p>
      <w:pPr>
        <w:pStyle w:val="6"/>
        <w:tabs>
          <w:tab w:val="right" w:leader="dot" w:pos="8296"/>
        </w:tabs>
        <w:rPr>
          <w:sz w:val="24"/>
        </w:rPr>
      </w:pPr>
      <w:r>
        <w:fldChar w:fldCharType="begin"/>
      </w:r>
      <w:r>
        <w:instrText xml:space="preserve"> HYPERLINK \l "_Toc39052454" </w:instrText>
      </w:r>
      <w:r>
        <w:fldChar w:fldCharType="separate"/>
      </w:r>
      <w:r>
        <w:rPr>
          <w:rStyle w:val="9"/>
          <w:rFonts w:hint="eastAsia"/>
          <w:sz w:val="24"/>
        </w:rPr>
        <w:t>四、制定本规程的原则和依据</w:t>
      </w:r>
      <w:r>
        <w:rPr>
          <w:sz w:val="24"/>
        </w:rPr>
        <w:tab/>
      </w:r>
      <w:r>
        <w:rPr>
          <w:sz w:val="24"/>
        </w:rPr>
        <w:fldChar w:fldCharType="begin"/>
      </w:r>
      <w:r>
        <w:rPr>
          <w:sz w:val="24"/>
        </w:rPr>
        <w:instrText xml:space="preserve"> PAGEREF _Toc39052454 \h </w:instrText>
      </w:r>
      <w:r>
        <w:rPr>
          <w:sz w:val="24"/>
        </w:rPr>
        <w:fldChar w:fldCharType="separate"/>
      </w:r>
      <w:r>
        <w:rPr>
          <w:sz w:val="24"/>
        </w:rPr>
        <w:t>3</w:t>
      </w:r>
      <w:r>
        <w:rPr>
          <w:sz w:val="24"/>
        </w:rPr>
        <w:fldChar w:fldCharType="end"/>
      </w:r>
      <w:r>
        <w:rPr>
          <w:sz w:val="24"/>
        </w:rPr>
        <w:fldChar w:fldCharType="end"/>
      </w:r>
    </w:p>
    <w:p>
      <w:pPr>
        <w:pStyle w:val="6"/>
        <w:tabs>
          <w:tab w:val="right" w:leader="dot" w:pos="8296"/>
        </w:tabs>
        <w:rPr>
          <w:sz w:val="24"/>
        </w:rPr>
      </w:pPr>
      <w:r>
        <w:fldChar w:fldCharType="begin"/>
      </w:r>
      <w:r>
        <w:instrText xml:space="preserve"> HYPERLINK \l "_Toc39052455" </w:instrText>
      </w:r>
      <w:r>
        <w:fldChar w:fldCharType="separate"/>
      </w:r>
      <w:r>
        <w:rPr>
          <w:rStyle w:val="9"/>
          <w:rFonts w:hint="eastAsia"/>
          <w:sz w:val="24"/>
        </w:rPr>
        <w:t>五、主要技术内容的说明和论证</w:t>
      </w:r>
      <w:r>
        <w:rPr>
          <w:sz w:val="24"/>
        </w:rPr>
        <w:tab/>
      </w:r>
      <w:r>
        <w:rPr>
          <w:sz w:val="24"/>
        </w:rPr>
        <w:fldChar w:fldCharType="begin"/>
      </w:r>
      <w:r>
        <w:rPr>
          <w:sz w:val="24"/>
        </w:rPr>
        <w:instrText xml:space="preserve"> PAGEREF _Toc39052455 \h </w:instrText>
      </w:r>
      <w:r>
        <w:rPr>
          <w:sz w:val="24"/>
        </w:rPr>
        <w:fldChar w:fldCharType="separate"/>
      </w:r>
      <w:r>
        <w:rPr>
          <w:sz w:val="24"/>
        </w:rPr>
        <w:t>4</w:t>
      </w:r>
      <w:r>
        <w:rPr>
          <w:sz w:val="24"/>
        </w:rPr>
        <w:fldChar w:fldCharType="end"/>
      </w:r>
      <w:r>
        <w:rPr>
          <w:sz w:val="24"/>
        </w:rPr>
        <w:fldChar w:fldCharType="end"/>
      </w:r>
    </w:p>
    <w:p>
      <w:pPr>
        <w:pStyle w:val="6"/>
        <w:tabs>
          <w:tab w:val="right" w:leader="dot" w:pos="8296"/>
        </w:tabs>
        <w:rPr>
          <w:sz w:val="24"/>
        </w:rPr>
      </w:pPr>
      <w:r>
        <w:fldChar w:fldCharType="begin"/>
      </w:r>
      <w:r>
        <w:instrText xml:space="preserve"> HYPERLINK \l "_Toc39052456" </w:instrText>
      </w:r>
      <w:r>
        <w:fldChar w:fldCharType="separate"/>
      </w:r>
      <w:r>
        <w:rPr>
          <w:rStyle w:val="9"/>
          <w:rFonts w:hint="eastAsia"/>
          <w:sz w:val="24"/>
        </w:rPr>
        <w:t>六、与现行法律、法规、国家标准一致情况的说明</w:t>
      </w:r>
      <w:r>
        <w:rPr>
          <w:sz w:val="24"/>
        </w:rPr>
        <w:tab/>
      </w:r>
      <w:r>
        <w:rPr>
          <w:sz w:val="24"/>
        </w:rPr>
        <w:fldChar w:fldCharType="begin"/>
      </w:r>
      <w:r>
        <w:rPr>
          <w:sz w:val="24"/>
        </w:rPr>
        <w:instrText xml:space="preserve"> PAGEREF _Toc39052456 \h </w:instrText>
      </w:r>
      <w:r>
        <w:rPr>
          <w:sz w:val="24"/>
        </w:rPr>
        <w:fldChar w:fldCharType="separate"/>
      </w:r>
      <w:r>
        <w:rPr>
          <w:sz w:val="24"/>
        </w:rPr>
        <w:t>5</w:t>
      </w:r>
      <w:r>
        <w:rPr>
          <w:sz w:val="24"/>
        </w:rPr>
        <w:fldChar w:fldCharType="end"/>
      </w:r>
      <w:r>
        <w:rPr>
          <w:sz w:val="24"/>
        </w:rPr>
        <w:fldChar w:fldCharType="end"/>
      </w:r>
    </w:p>
    <w:p>
      <w:pPr>
        <w:pStyle w:val="6"/>
        <w:tabs>
          <w:tab w:val="right" w:leader="dot" w:pos="8296"/>
        </w:tabs>
        <w:rPr>
          <w:sz w:val="24"/>
        </w:rPr>
      </w:pPr>
      <w:r>
        <w:fldChar w:fldCharType="begin"/>
      </w:r>
      <w:r>
        <w:instrText xml:space="preserve"> HYPERLINK \l "_Toc39052457" </w:instrText>
      </w:r>
      <w:r>
        <w:fldChar w:fldCharType="separate"/>
      </w:r>
      <w:r>
        <w:rPr>
          <w:rStyle w:val="9"/>
          <w:rFonts w:hint="eastAsia"/>
          <w:sz w:val="24"/>
        </w:rPr>
        <w:t>七、重大分歧意见的处理经过和依据</w:t>
      </w:r>
      <w:r>
        <w:rPr>
          <w:sz w:val="24"/>
        </w:rPr>
        <w:tab/>
      </w:r>
      <w:r>
        <w:rPr>
          <w:sz w:val="24"/>
        </w:rPr>
        <w:fldChar w:fldCharType="begin"/>
      </w:r>
      <w:r>
        <w:rPr>
          <w:sz w:val="24"/>
        </w:rPr>
        <w:instrText xml:space="preserve"> PAGEREF _Toc39052457 \h </w:instrText>
      </w:r>
      <w:r>
        <w:rPr>
          <w:sz w:val="24"/>
        </w:rPr>
        <w:fldChar w:fldCharType="separate"/>
      </w:r>
      <w:r>
        <w:rPr>
          <w:sz w:val="24"/>
        </w:rPr>
        <w:t>5</w:t>
      </w:r>
      <w:r>
        <w:rPr>
          <w:sz w:val="24"/>
        </w:rPr>
        <w:fldChar w:fldCharType="end"/>
      </w:r>
      <w:r>
        <w:rPr>
          <w:sz w:val="24"/>
        </w:rPr>
        <w:fldChar w:fldCharType="end"/>
      </w:r>
    </w:p>
    <w:p>
      <w:pPr>
        <w:pStyle w:val="6"/>
        <w:tabs>
          <w:tab w:val="right" w:leader="dot" w:pos="8296"/>
        </w:tabs>
        <w:rPr>
          <w:sz w:val="24"/>
        </w:rPr>
      </w:pPr>
      <w:r>
        <w:fldChar w:fldCharType="begin"/>
      </w:r>
      <w:r>
        <w:instrText xml:space="preserve"> HYPERLINK \l "_Toc39052458" </w:instrText>
      </w:r>
      <w:r>
        <w:fldChar w:fldCharType="separate"/>
      </w:r>
      <w:r>
        <w:rPr>
          <w:rStyle w:val="9"/>
          <w:rFonts w:hint="eastAsia"/>
          <w:sz w:val="24"/>
        </w:rPr>
        <w:t>八、标准性质的建议说明</w:t>
      </w:r>
      <w:r>
        <w:rPr>
          <w:sz w:val="24"/>
        </w:rPr>
        <w:tab/>
      </w:r>
      <w:r>
        <w:rPr>
          <w:sz w:val="24"/>
        </w:rPr>
        <w:fldChar w:fldCharType="begin"/>
      </w:r>
      <w:r>
        <w:rPr>
          <w:sz w:val="24"/>
        </w:rPr>
        <w:instrText xml:space="preserve"> PAGEREF _Toc39052458 \h </w:instrText>
      </w:r>
      <w:r>
        <w:rPr>
          <w:sz w:val="24"/>
        </w:rPr>
        <w:fldChar w:fldCharType="separate"/>
      </w:r>
      <w:r>
        <w:rPr>
          <w:sz w:val="24"/>
        </w:rPr>
        <w:t>5</w:t>
      </w:r>
      <w:r>
        <w:rPr>
          <w:sz w:val="24"/>
        </w:rPr>
        <w:fldChar w:fldCharType="end"/>
      </w:r>
      <w:r>
        <w:rPr>
          <w:sz w:val="24"/>
        </w:rPr>
        <w:fldChar w:fldCharType="end"/>
      </w:r>
    </w:p>
    <w:p>
      <w:pPr>
        <w:pStyle w:val="6"/>
        <w:tabs>
          <w:tab w:val="right" w:leader="dot" w:pos="8296"/>
        </w:tabs>
        <w:rPr>
          <w:sz w:val="24"/>
        </w:rPr>
      </w:pPr>
      <w:r>
        <w:fldChar w:fldCharType="begin"/>
      </w:r>
      <w:r>
        <w:instrText xml:space="preserve"> HYPERLINK \l "_Toc39052459" </w:instrText>
      </w:r>
      <w:r>
        <w:fldChar w:fldCharType="separate"/>
      </w:r>
      <w:r>
        <w:rPr>
          <w:rStyle w:val="9"/>
          <w:rFonts w:hint="eastAsia"/>
          <w:sz w:val="24"/>
        </w:rPr>
        <w:t>九、贯彻地方标准的要求和建议措施</w:t>
      </w:r>
      <w:r>
        <w:rPr>
          <w:sz w:val="24"/>
        </w:rPr>
        <w:tab/>
      </w:r>
      <w:r>
        <w:rPr>
          <w:sz w:val="24"/>
        </w:rPr>
        <w:fldChar w:fldCharType="begin"/>
      </w:r>
      <w:r>
        <w:rPr>
          <w:sz w:val="24"/>
        </w:rPr>
        <w:instrText xml:space="preserve"> PAGEREF _Toc39052459 \h </w:instrText>
      </w:r>
      <w:r>
        <w:rPr>
          <w:sz w:val="24"/>
        </w:rPr>
        <w:fldChar w:fldCharType="separate"/>
      </w:r>
      <w:r>
        <w:rPr>
          <w:sz w:val="24"/>
        </w:rPr>
        <w:t>5</w:t>
      </w:r>
      <w:r>
        <w:rPr>
          <w:sz w:val="24"/>
        </w:rPr>
        <w:fldChar w:fldCharType="end"/>
      </w:r>
      <w:r>
        <w:rPr>
          <w:sz w:val="24"/>
        </w:rPr>
        <w:fldChar w:fldCharType="end"/>
      </w:r>
    </w:p>
    <w:p>
      <w:pPr>
        <w:pStyle w:val="6"/>
        <w:tabs>
          <w:tab w:val="right" w:leader="dot" w:pos="8296"/>
        </w:tabs>
        <w:rPr>
          <w:sz w:val="24"/>
        </w:rPr>
      </w:pPr>
      <w:r>
        <w:fldChar w:fldCharType="begin"/>
      </w:r>
      <w:r>
        <w:instrText xml:space="preserve"> HYPERLINK \l "_Toc39052460" </w:instrText>
      </w:r>
      <w:r>
        <w:fldChar w:fldCharType="separate"/>
      </w:r>
      <w:r>
        <w:rPr>
          <w:rStyle w:val="9"/>
          <w:rFonts w:hint="eastAsia"/>
          <w:sz w:val="24"/>
        </w:rPr>
        <w:t>十、废止现行相关标准的建议</w:t>
      </w:r>
      <w:r>
        <w:rPr>
          <w:sz w:val="24"/>
        </w:rPr>
        <w:tab/>
      </w:r>
      <w:r>
        <w:rPr>
          <w:sz w:val="24"/>
        </w:rPr>
        <w:fldChar w:fldCharType="begin"/>
      </w:r>
      <w:r>
        <w:rPr>
          <w:sz w:val="24"/>
        </w:rPr>
        <w:instrText xml:space="preserve"> PAGEREF _Toc39052460 \h </w:instrText>
      </w:r>
      <w:r>
        <w:rPr>
          <w:sz w:val="24"/>
        </w:rPr>
        <w:fldChar w:fldCharType="separate"/>
      </w:r>
      <w:r>
        <w:rPr>
          <w:sz w:val="24"/>
        </w:rPr>
        <w:t>5</w:t>
      </w:r>
      <w:r>
        <w:rPr>
          <w:sz w:val="24"/>
        </w:rPr>
        <w:fldChar w:fldCharType="end"/>
      </w:r>
      <w:r>
        <w:rPr>
          <w:sz w:val="24"/>
        </w:rPr>
        <w:fldChar w:fldCharType="end"/>
      </w:r>
    </w:p>
    <w:p>
      <w:pPr>
        <w:pStyle w:val="6"/>
        <w:tabs>
          <w:tab w:val="right" w:leader="dot" w:pos="8296"/>
        </w:tabs>
        <w:rPr>
          <w:sz w:val="24"/>
        </w:rPr>
      </w:pPr>
      <w:r>
        <w:fldChar w:fldCharType="begin"/>
      </w:r>
      <w:r>
        <w:instrText xml:space="preserve"> HYPERLINK \l "_Toc39052461" </w:instrText>
      </w:r>
      <w:r>
        <w:fldChar w:fldCharType="separate"/>
      </w:r>
      <w:r>
        <w:rPr>
          <w:rStyle w:val="9"/>
          <w:rFonts w:hint="eastAsia"/>
          <w:sz w:val="24"/>
        </w:rPr>
        <w:t>十一、其他应说明事项</w:t>
      </w:r>
      <w:r>
        <w:rPr>
          <w:sz w:val="24"/>
        </w:rPr>
        <w:tab/>
      </w:r>
      <w:r>
        <w:rPr>
          <w:sz w:val="24"/>
        </w:rPr>
        <w:fldChar w:fldCharType="begin"/>
      </w:r>
      <w:r>
        <w:rPr>
          <w:sz w:val="24"/>
        </w:rPr>
        <w:instrText xml:space="preserve"> PAGEREF _Toc39052461 \h </w:instrText>
      </w:r>
      <w:r>
        <w:rPr>
          <w:sz w:val="24"/>
        </w:rPr>
        <w:fldChar w:fldCharType="separate"/>
      </w:r>
      <w:r>
        <w:rPr>
          <w:sz w:val="24"/>
        </w:rPr>
        <w:t>5</w:t>
      </w:r>
      <w:r>
        <w:rPr>
          <w:sz w:val="24"/>
        </w:rPr>
        <w:fldChar w:fldCharType="end"/>
      </w:r>
      <w:r>
        <w:rPr>
          <w:sz w:val="24"/>
        </w:rPr>
        <w:fldChar w:fldCharType="end"/>
      </w:r>
    </w:p>
    <w:p>
      <w:pPr>
        <w:rPr>
          <w:sz w:val="24"/>
        </w:rPr>
        <w:sectPr>
          <w:footerReference r:id="rId7" w:type="default"/>
          <w:pgSz w:w="11906" w:h="16838"/>
          <w:pgMar w:top="1440" w:right="1800" w:bottom="1440" w:left="1800" w:header="851" w:footer="992" w:gutter="0"/>
          <w:pgNumType w:start="1"/>
          <w:cols w:space="425" w:num="1"/>
          <w:docGrid w:type="lines" w:linePitch="312" w:charSpace="0"/>
        </w:sectPr>
      </w:pPr>
      <w:r>
        <w:rPr>
          <w:sz w:val="24"/>
        </w:rPr>
        <w:fldChar w:fldCharType="end"/>
      </w:r>
    </w:p>
    <w:p/>
    <w:p>
      <w:pPr>
        <w:pStyle w:val="2"/>
        <w:pageBreakBefore w:val="0"/>
        <w:widowControl w:val="0"/>
        <w:numPr>
          <w:ilvl w:val="0"/>
          <w:numId w:val="5"/>
        </w:numPr>
        <w:kinsoku/>
        <w:wordWrap/>
        <w:overflowPunct/>
        <w:topLinePunct w:val="0"/>
        <w:bidi w:val="0"/>
        <w:spacing w:before="120" w:after="120" w:line="520" w:lineRule="exact"/>
        <w:textAlignment w:val="auto"/>
        <w:rPr>
          <w:sz w:val="32"/>
          <w:szCs w:val="32"/>
        </w:rPr>
      </w:pPr>
      <w:bookmarkStart w:id="2" w:name="_Toc39052451"/>
      <w:r>
        <w:rPr>
          <w:rFonts w:hint="eastAsia"/>
          <w:sz w:val="32"/>
          <w:szCs w:val="32"/>
        </w:rPr>
        <w:t>制定本规</w:t>
      </w:r>
      <w:r>
        <w:rPr>
          <w:rFonts w:hint="eastAsia"/>
          <w:sz w:val="32"/>
          <w:szCs w:val="32"/>
          <w:lang w:val="en-US" w:eastAsia="zh-CN"/>
        </w:rPr>
        <w:t>范</w:t>
      </w:r>
      <w:r>
        <w:rPr>
          <w:rFonts w:hint="eastAsia"/>
          <w:sz w:val="32"/>
          <w:szCs w:val="32"/>
        </w:rPr>
        <w:t>的目的和意义</w:t>
      </w:r>
      <w:bookmarkEnd w:id="2"/>
    </w:p>
    <w:p>
      <w:pPr>
        <w:keepNext w:val="0"/>
        <w:keepLines w:val="0"/>
        <w:widowControl/>
        <w:numPr>
          <w:ilvl w:val="0"/>
          <w:numId w:val="0"/>
        </w:numPr>
        <w:suppressLineNumbers w:val="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生物制品在疾病的诊断和治疗中发挥着重要作用。然而，由于其生物活性成分的特殊性和复杂性，对贮存条件要求极为严格。不合适的贮存条件可能导致生物制品的质量下降、活性丧失甚至产生有害物质，从而严重影响其临床疗效和安全性。</w:t>
      </w:r>
    </w:p>
    <w:p>
      <w:pPr>
        <w:keepNext w:val="0"/>
        <w:keepLines w:val="0"/>
        <w:widowControl/>
        <w:numPr>
          <w:ilvl w:val="0"/>
          <w:numId w:val="0"/>
        </w:numPr>
        <w:suppressLineNumbers w:val="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近年来，随着我省生物医药产业的快速发展，生物制品的种类和数量不断增加，其贮存的规模也日益扩大。目前我省生物制品贮存管理缺乏统一标准，不同的企业或机构的管理水平参差不齐，在实际操作中，因贮存操作不规范而引发的质量问题时有发生，给患者的健康带来了潜在风险，也给企业和社会带来了不必要的损失。为了加强对生物制品贮存过程的管理，确保其质量稳定和安全有效，制定一套科学、合理、适用的地方标准对提升生物制品贮存管理的科学性和规范性，具有重要的现实意义。</w:t>
      </w:r>
    </w:p>
    <w:p>
      <w:pPr>
        <w:keepNext w:val="0"/>
        <w:keepLines w:val="0"/>
        <w:widowControl/>
        <w:numPr>
          <w:ilvl w:val="0"/>
          <w:numId w:val="0"/>
        </w:numPr>
        <w:suppressLineNumbers w:val="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生物制品直接作用于人体，其质量的优劣直接关系到患者的治疗效果和生命安全。如果贮存不当，容易受到微生物污染、氧化、水解等因素的影响，导致变质。通过制定地方标准可以规范贮存过程中的操作流程、包装材料、设备设施等要求，有效减少生物制品受到因温度、湿度、光照等因素导致的污染和变质的风险，保证其质量的稳定性和可靠性，对保障公众用药安全有重要意义。</w:t>
      </w:r>
    </w:p>
    <w:p>
      <w:pPr>
        <w:keepNext w:val="0"/>
        <w:keepLines w:val="0"/>
        <w:widowControl/>
        <w:numPr>
          <w:ilvl w:val="0"/>
          <w:numId w:val="0"/>
        </w:numPr>
        <w:suppressLineNumbers w:val="0"/>
        <w:ind w:firstLine="640" w:firstLineChars="200"/>
        <w:jc w:val="left"/>
        <w:rPr>
          <w:rFonts w:hint="eastAsia" w:ascii="Times New Roman" w:hAnsi="仿宋_GB2312" w:eastAsia="仿宋_GB2312" w:cs="Times New Roman"/>
          <w:sz w:val="28"/>
          <w:szCs w:val="28"/>
          <w:lang w:val="en-US" w:eastAsia="zh-CN"/>
        </w:rPr>
      </w:pPr>
      <w:r>
        <w:rPr>
          <w:rFonts w:hint="eastAsia" w:ascii="仿宋_GB2312" w:hAnsi="仿宋_GB2312" w:eastAsia="仿宋_GB2312" w:cs="仿宋_GB2312"/>
          <w:color w:val="auto"/>
          <w:sz w:val="32"/>
          <w:szCs w:val="32"/>
          <w:lang w:val="en-US" w:eastAsia="zh-CN"/>
        </w:rPr>
        <w:t>3.生物制品成分多为蛋白质、多肽、核酸等生物大分子，其生物活性对环境因素如温度、湿度、光照等非常敏感。对贮存条件要求极为严格。例如，某些蛋白类生物制品在高温下会发生变性，失去治疗效果；核酸类生物制品在不合适的环境中可能会发生降解，影响其功效。规范的贮存管理能够确保生物制品在整个贮存过程中始终处于适宜的环境条件下，最大程度地保持其生物活性，确保其质量的稳定性和可靠性，保障公众用药安全。</w:t>
      </w:r>
    </w:p>
    <w:p>
      <w:pPr>
        <w:keepNext w:val="0"/>
        <w:keepLines w:val="0"/>
        <w:widowControl/>
        <w:suppressLineNumbers w:val="0"/>
        <w:ind w:firstLine="640" w:firstLineChars="200"/>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不同地区的地理环境、气候条件、经济发展水平等存在差异，对生物制品贮存的要求也不尽相同。比如说湿度控制问题，相比于南方企业梅雨季节仓储湿度超标情况严重，我省恰恰相反，由于地处西北干燥地区，干燥季节往往出现湿度不足的情况，湿度不足会对生物制品的物理性质、稳定性、活性和安全性产生负面影响，可能导致产品失效或变质。因地制宜地制定适合本地的技术规范，提高标准的针对性和可操作性。规范的贮存技术是生物医药产业健康发展的重要保障。地方标准的制定可以为企业提供明确的操作指南，提高贮存质量，降低企业成本，增强产品竞争力。同时，也有助于优化产业环境，吸引更多的投资和资源，推动生物医药产业的可持续发展。</w:t>
      </w:r>
    </w:p>
    <w:p>
      <w:pPr>
        <w:ind w:firstLine="560" w:firstLineChars="200"/>
        <w:rPr>
          <w:rFonts w:hint="eastAsia" w:ascii="仿宋_GB2312" w:hAnsi="仿宋_GB2312" w:eastAsia="仿宋_GB2312" w:cs="仿宋_GB2312"/>
          <w:color w:val="auto"/>
          <w:sz w:val="32"/>
          <w:szCs w:val="32"/>
          <w:lang w:val="en-US" w:eastAsia="zh-CN"/>
        </w:rPr>
      </w:pPr>
      <w:r>
        <w:rPr>
          <w:rFonts w:hint="eastAsia" w:hAnsi="仿宋_GB2312" w:eastAsia="仿宋_GB2312" w:cs="Times New Roman"/>
          <w:sz w:val="28"/>
          <w:szCs w:val="28"/>
          <w:lang w:val="en-US" w:eastAsia="zh-CN"/>
        </w:rPr>
        <w:t>5</w:t>
      </w:r>
      <w:r>
        <w:rPr>
          <w:rFonts w:hint="eastAsia" w:ascii="Times New Roman" w:hAnsi="仿宋_GB2312" w:eastAsia="仿宋_GB2312" w:cs="Times New Roman"/>
          <w:sz w:val="28"/>
          <w:szCs w:val="28"/>
          <w:lang w:val="en-US" w:eastAsia="zh-CN"/>
        </w:rPr>
        <w:t>、</w:t>
      </w:r>
      <w:r>
        <w:rPr>
          <w:rFonts w:hint="eastAsia" w:ascii="仿宋_GB2312" w:hAnsi="仿宋_GB2312" w:eastAsia="仿宋_GB2312" w:cs="仿宋_GB2312"/>
          <w:color w:val="auto"/>
          <w:sz w:val="32"/>
          <w:szCs w:val="32"/>
          <w:lang w:val="en-US" w:eastAsia="zh-CN"/>
        </w:rPr>
        <w:t>地方标准的制定可以使生物制品贮存环节的操作更加科学、精准、有效，提高企业效能，确保市场上流通的生物制品质量符合要求，便于追溯和监管，维护市场秩序和公众利益。规范的制定，也为企业提供了明确的管理依据和标准，使贮存管理工作更加科学、规范、高效。有助于加强企业对生物制品贮存环节的质量自检，一但出现问题能快速查明原因，采取风险控制措施，确保产品供应和质量。</w:t>
      </w:r>
    </w:p>
    <w:p>
      <w:pPr>
        <w:pStyle w:val="2"/>
        <w:pageBreakBefore w:val="0"/>
        <w:widowControl w:val="0"/>
        <w:numPr>
          <w:ilvl w:val="0"/>
          <w:numId w:val="5"/>
        </w:numPr>
        <w:kinsoku/>
        <w:wordWrap/>
        <w:overflowPunct/>
        <w:topLinePunct w:val="0"/>
        <w:bidi w:val="0"/>
        <w:spacing w:before="120" w:after="120" w:line="520" w:lineRule="exact"/>
        <w:textAlignment w:val="auto"/>
        <w:rPr>
          <w:sz w:val="32"/>
          <w:szCs w:val="32"/>
        </w:rPr>
      </w:pPr>
      <w:bookmarkStart w:id="3" w:name="_Toc39052452"/>
      <w:r>
        <w:rPr>
          <w:rFonts w:hint="eastAsia"/>
          <w:sz w:val="32"/>
          <w:szCs w:val="32"/>
        </w:rPr>
        <w:t>工作简况</w:t>
      </w:r>
      <w:bookmarkEnd w:id="3"/>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项目研究基于生物制品课题研究：甘肃省市场监督管理局科技计划项目《甘肃省疫苗生产质量风险检查要点的指导原则》（项目编号：2022GSMPA0053）和省药监局科技项目《甘肃省注射用注射用A型肉毒毒素生产风险检查及监管对策研究》（项目编号：2023GSMPA017）的研究结果基础上，充分借鉴和吸收国内外现有标准和规范中的成熟经验和先进技术，结合近5年我省生物制品检查工作获得的大量技术要求数据，分析提炼拟定标准（草案）有关内容，试用2年得到了实践检验和相关企业的认可。</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《生物制品贮存管理技术规范》</w:t>
      </w:r>
      <w:r>
        <w:rPr>
          <w:rFonts w:hint="default" w:ascii="仿宋_GB2312" w:hAnsi="仿宋_GB2312" w:eastAsia="仿宋_GB2312" w:cs="仿宋_GB2312"/>
          <w:color w:val="auto"/>
          <w:sz w:val="32"/>
          <w:szCs w:val="32"/>
          <w:lang w:val="en-US" w:eastAsia="zh-CN"/>
        </w:rPr>
        <w:t>的制定以地方标准的形式形成规范统一的尺度策略</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将有效规范生物制品</w:t>
      </w:r>
      <w:r>
        <w:rPr>
          <w:rFonts w:hint="eastAsia" w:ascii="仿宋_GB2312" w:hAnsi="仿宋_GB2312" w:eastAsia="仿宋_GB2312" w:cs="仿宋_GB2312"/>
          <w:color w:val="auto"/>
          <w:sz w:val="32"/>
          <w:szCs w:val="32"/>
          <w:lang w:val="en-US" w:eastAsia="zh-CN"/>
        </w:rPr>
        <w:t>贮存</w:t>
      </w:r>
      <w:r>
        <w:rPr>
          <w:rFonts w:hint="default" w:ascii="仿宋_GB2312" w:hAnsi="仿宋_GB2312" w:eastAsia="仿宋_GB2312" w:cs="仿宋_GB2312"/>
          <w:color w:val="auto"/>
          <w:sz w:val="32"/>
          <w:szCs w:val="32"/>
          <w:lang w:val="en-US" w:eastAsia="zh-CN"/>
        </w:rPr>
        <w:t>控制技术，提高企业在生物制品</w:t>
      </w:r>
      <w:r>
        <w:rPr>
          <w:rFonts w:hint="eastAsia" w:ascii="仿宋_GB2312" w:hAnsi="仿宋_GB2312" w:eastAsia="仿宋_GB2312" w:cs="仿宋_GB2312"/>
          <w:color w:val="auto"/>
          <w:sz w:val="32"/>
          <w:szCs w:val="32"/>
          <w:lang w:val="en-US" w:eastAsia="zh-CN"/>
        </w:rPr>
        <w:t>贮存</w:t>
      </w:r>
      <w:r>
        <w:rPr>
          <w:rFonts w:hint="default" w:ascii="仿宋_GB2312" w:hAnsi="仿宋_GB2312" w:eastAsia="仿宋_GB2312" w:cs="仿宋_GB2312"/>
          <w:color w:val="auto"/>
          <w:sz w:val="32"/>
          <w:szCs w:val="32"/>
          <w:lang w:val="en-US" w:eastAsia="zh-CN"/>
        </w:rPr>
        <w:t>全流程的质量意识</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US" w:eastAsia="zh-CN"/>
        </w:rPr>
        <w:t>有效意识和系统意识</w:t>
      </w:r>
      <w:r>
        <w:rPr>
          <w:rFonts w:hint="eastAsia" w:ascii="仿宋_GB2312" w:hAnsi="仿宋_GB2312" w:eastAsia="仿宋_GB2312" w:cs="仿宋_GB2312"/>
          <w:color w:val="auto"/>
          <w:sz w:val="32"/>
          <w:szCs w:val="32"/>
          <w:lang w:val="en-US" w:eastAsia="zh-CN"/>
        </w:rPr>
        <w:t>。对</w:t>
      </w:r>
      <w:r>
        <w:rPr>
          <w:rFonts w:hint="default" w:ascii="仿宋_GB2312" w:hAnsi="仿宋_GB2312" w:eastAsia="仿宋_GB2312" w:cs="仿宋_GB2312"/>
          <w:color w:val="auto"/>
          <w:sz w:val="32"/>
          <w:szCs w:val="32"/>
          <w:lang w:val="en-US" w:eastAsia="zh-CN"/>
        </w:rPr>
        <w:t>确保生物制品安全有效，保护患者权益，提升共政府公信力</w:t>
      </w:r>
      <w:r>
        <w:rPr>
          <w:rFonts w:hint="eastAsia" w:ascii="仿宋_GB2312" w:hAnsi="仿宋_GB2312" w:eastAsia="仿宋_GB2312" w:cs="仿宋_GB2312"/>
          <w:color w:val="auto"/>
          <w:sz w:val="32"/>
          <w:szCs w:val="32"/>
          <w:lang w:val="en-US" w:eastAsia="zh-CN"/>
        </w:rPr>
        <w:t>有重要意义。</w:t>
      </w:r>
    </w:p>
    <w:p>
      <w:pPr>
        <w:pageBreakBefore w:val="0"/>
        <w:widowControl w:val="0"/>
        <w:kinsoku/>
        <w:wordWrap/>
        <w:overflowPunct/>
        <w:topLinePunct w:val="0"/>
        <w:bidi w:val="0"/>
        <w:spacing w:line="520" w:lineRule="exact"/>
        <w:ind w:firstLine="562" w:firstLineChars="200"/>
        <w:textAlignment w:val="auto"/>
        <w:rPr>
          <w:rFonts w:ascii="宋体" w:hAnsi="宋体"/>
          <w:b/>
          <w:sz w:val="28"/>
          <w:szCs w:val="28"/>
        </w:rPr>
      </w:pPr>
      <w:r>
        <w:rPr>
          <w:rFonts w:hint="eastAsia" w:ascii="宋体" w:hAnsi="宋体"/>
          <w:b/>
          <w:sz w:val="28"/>
          <w:szCs w:val="28"/>
        </w:rPr>
        <w:t>1．主要起草单位</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主要起草单位：甘肃省药品监督管理局审核查验中心（甘肃省疫苗检查中心）、兰州生物制品研究所有限责任公司、国药集团兰州生物制药有限公司、兰州生物技术开发有限公司。</w:t>
      </w:r>
    </w:p>
    <w:p>
      <w:pPr>
        <w:pageBreakBefore w:val="0"/>
        <w:widowControl w:val="0"/>
        <w:kinsoku/>
        <w:wordWrap/>
        <w:overflowPunct/>
        <w:topLinePunct w:val="0"/>
        <w:bidi w:val="0"/>
        <w:spacing w:line="520" w:lineRule="exact"/>
        <w:ind w:firstLine="562" w:firstLineChars="200"/>
        <w:textAlignment w:val="auto"/>
        <w:rPr>
          <w:rFonts w:ascii="Times New Roman" w:hAnsi="仿宋_GB2312" w:eastAsia="仿宋_GB2312" w:cs="Times New Roman"/>
          <w:color w:val="auto"/>
          <w:kern w:val="2"/>
          <w:sz w:val="28"/>
          <w:szCs w:val="28"/>
        </w:rPr>
      </w:pPr>
      <w:r>
        <w:rPr>
          <w:rFonts w:hint="eastAsia" w:ascii="宋体" w:hAnsi="宋体"/>
          <w:b/>
          <w:sz w:val="28"/>
          <w:szCs w:val="28"/>
          <w:lang w:val="en-US" w:eastAsia="zh-CN"/>
        </w:rPr>
        <w:t>2</w:t>
      </w:r>
      <w:r>
        <w:rPr>
          <w:rFonts w:hint="eastAsia" w:ascii="宋体" w:hAnsi="宋体"/>
          <w:b/>
          <w:sz w:val="28"/>
          <w:szCs w:val="28"/>
        </w:rPr>
        <w:t>．主要工作过程</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为了保证本标准的适用性，我们查阅了国内有关技术资料，并进行了大量的验证试验和研究工作，多次召开标准内容讨论相关会议。</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标准启动会：2024年11月，在“甘肃省市场监督管理局科技计划项目《甘肃省疫苗生产质量风险检查要点的指导原则》（项目编号：2022GSMPA0053）和省药监局科技项目《甘肃省注射用注射用A型肉毒毒素生产风险检查及监管对策研究》（项目编号：2023GSMPA017）”课题组成员基础上进行优化调整组成标准编制组，讨论了编制计划和任务分工，对规范编制注意事项做了相关要求。</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第一次讨论会：2024年11月，编制组对规范的章节目录进行了讨论，本标准是在认真总结我省企业近年来在生物制品贮存过程中存在的问题及风险，广泛征求省内相关单位意见建议的基础上制定，确保标准的协调性和可行性。</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第二次讨论会：2025年3月，编制组对规范进行了详细的讨论，结合生物生产企业、经营企业、疾病预防控制机构、医疗机构、物流配送单位生物制品贮存环节现场实践情况，分析了标准在执行中的适用性和匹配性。</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第三次讨论会：2025年5月，编制组对规范内容进行了全面讨论，进一步规范了用词用语，完善了结构和相应内容。</w:t>
      </w:r>
    </w:p>
    <w:p>
      <w:pPr>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编制组根据讨论结果编制出了《生物制品贮存管理技术规范》（征求意见稿），现向有关单位公开征求意见建议。</w:t>
      </w:r>
    </w:p>
    <w:p>
      <w:pPr>
        <w:pageBreakBefore w:val="0"/>
        <w:widowControl w:val="0"/>
        <w:kinsoku/>
        <w:wordWrap/>
        <w:overflowPunct/>
        <w:topLinePunct w:val="0"/>
        <w:bidi w:val="0"/>
        <w:spacing w:line="520" w:lineRule="exact"/>
        <w:ind w:firstLine="562" w:firstLineChars="200"/>
        <w:textAlignment w:val="auto"/>
        <w:rPr>
          <w:rFonts w:ascii="宋体" w:hAnsi="宋体"/>
          <w:b/>
          <w:sz w:val="28"/>
          <w:szCs w:val="28"/>
        </w:rPr>
      </w:pPr>
      <w:r>
        <w:rPr>
          <w:rFonts w:hint="eastAsia" w:ascii="宋体" w:hAnsi="宋体"/>
          <w:b/>
          <w:sz w:val="28"/>
          <w:szCs w:val="28"/>
          <w:lang w:val="en-US" w:eastAsia="zh-CN"/>
        </w:rPr>
        <w:t>3</w:t>
      </w:r>
      <w:r>
        <w:rPr>
          <w:rFonts w:hint="eastAsia" w:ascii="宋体" w:hAnsi="宋体"/>
          <w:b/>
          <w:sz w:val="28"/>
          <w:szCs w:val="28"/>
        </w:rPr>
        <w:t>．主要起草人情况</w:t>
      </w:r>
    </w:p>
    <w:tbl>
      <w:tblPr>
        <w:tblStyle w:val="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48"/>
        <w:gridCol w:w="708"/>
        <w:gridCol w:w="1303"/>
        <w:gridCol w:w="3612"/>
        <w:gridCol w:w="19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5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szCs w:val="21"/>
              </w:rPr>
            </w:pPr>
            <w:r>
              <w:rPr>
                <w:rFonts w:eastAsia="仿宋_GB2312"/>
                <w:szCs w:val="21"/>
              </w:rPr>
              <w:t>姓名</w:t>
            </w:r>
          </w:p>
        </w:tc>
        <w:tc>
          <w:tcPr>
            <w:tcW w:w="41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szCs w:val="21"/>
              </w:rPr>
            </w:pPr>
            <w:r>
              <w:rPr>
                <w:rFonts w:eastAsia="仿宋_GB2312"/>
                <w:szCs w:val="21"/>
              </w:rPr>
              <w:t>性别</w:t>
            </w:r>
          </w:p>
        </w:tc>
        <w:tc>
          <w:tcPr>
            <w:tcW w:w="76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szCs w:val="21"/>
              </w:rPr>
            </w:pPr>
            <w:r>
              <w:rPr>
                <w:rFonts w:eastAsia="仿宋_GB2312"/>
                <w:szCs w:val="21"/>
              </w:rPr>
              <w:t>职务/职称</w:t>
            </w:r>
          </w:p>
        </w:tc>
        <w:tc>
          <w:tcPr>
            <w:tcW w:w="2118"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szCs w:val="21"/>
              </w:rPr>
            </w:pPr>
            <w:r>
              <w:rPr>
                <w:rFonts w:eastAsia="仿宋_GB2312"/>
                <w:szCs w:val="21"/>
              </w:rPr>
              <w:t>工作单位</w:t>
            </w:r>
          </w:p>
        </w:tc>
        <w:tc>
          <w:tcPr>
            <w:tcW w:w="114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szCs w:val="21"/>
              </w:rPr>
            </w:pPr>
            <w:r>
              <w:rPr>
                <w:rFonts w:eastAsia="仿宋_GB2312"/>
                <w:szCs w:val="21"/>
              </w:rPr>
              <w:t>任务分工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5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szCs w:val="21"/>
                <w:lang w:val="en-US" w:eastAsia="zh-CN"/>
              </w:rPr>
            </w:pPr>
            <w:r>
              <w:rPr>
                <w:rFonts w:hint="eastAsia" w:eastAsia="仿宋_GB2312"/>
                <w:szCs w:val="21"/>
                <w:lang w:val="en-US" w:eastAsia="zh-CN"/>
              </w:rPr>
              <w:t>周 征</w:t>
            </w:r>
          </w:p>
        </w:tc>
        <w:tc>
          <w:tcPr>
            <w:tcW w:w="41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000000" w:themeColor="text1"/>
                <w:szCs w:val="21"/>
                <w:lang w:val="en-US" w:eastAsia="zh-CN"/>
                <w14:textFill>
                  <w14:solidFill>
                    <w14:schemeClr w14:val="tx1"/>
                  </w14:solidFill>
                </w14:textFill>
              </w:rPr>
            </w:pPr>
            <w:r>
              <w:rPr>
                <w:rFonts w:hint="eastAsia" w:eastAsia="仿宋_GB2312"/>
                <w:color w:val="000000" w:themeColor="text1"/>
                <w:szCs w:val="21"/>
                <w:lang w:val="en-US" w:eastAsia="zh-CN"/>
                <w14:textFill>
                  <w14:solidFill>
                    <w14:schemeClr w14:val="tx1"/>
                  </w14:solidFill>
                </w14:textFill>
              </w:rPr>
              <w:t>男</w:t>
            </w:r>
          </w:p>
        </w:tc>
        <w:tc>
          <w:tcPr>
            <w:tcW w:w="76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000000" w:themeColor="text1"/>
                <w:szCs w:val="21"/>
                <w:lang w:val="en-US" w:eastAsia="zh-CN"/>
                <w14:textFill>
                  <w14:solidFill>
                    <w14:schemeClr w14:val="tx1"/>
                  </w14:solidFill>
                </w14:textFill>
              </w:rPr>
            </w:pPr>
            <w:r>
              <w:rPr>
                <w:rFonts w:hint="eastAsia" w:eastAsia="仿宋_GB2312"/>
                <w:color w:val="000000" w:themeColor="text1"/>
                <w:szCs w:val="21"/>
                <w:lang w:val="en-US" w:eastAsia="zh-CN"/>
                <w14:textFill>
                  <w14:solidFill>
                    <w14:schemeClr w14:val="tx1"/>
                  </w14:solidFill>
                </w14:textFill>
              </w:rPr>
              <w:t>高级工程师</w:t>
            </w:r>
          </w:p>
        </w:tc>
        <w:tc>
          <w:tcPr>
            <w:tcW w:w="2118" w:type="pct"/>
            <w:vAlign w:val="center"/>
          </w:tcPr>
          <w:p>
            <w:pPr>
              <w:keepNext w:val="0"/>
              <w:keepLines w:val="0"/>
              <w:pageBreakBefore w:val="0"/>
              <w:widowControl w:val="0"/>
              <w:kinsoku/>
              <w:wordWrap/>
              <w:overflowPunct/>
              <w:topLinePunct w:val="0"/>
              <w:autoSpaceDE/>
              <w:autoSpaceDN/>
              <w:bidi w:val="0"/>
              <w:adjustRightInd/>
              <w:snapToGrid w:val="0"/>
              <w:spacing w:line="360" w:lineRule="exact"/>
              <w:ind w:left="420" w:hanging="420" w:hangingChars="200"/>
              <w:jc w:val="both"/>
              <w:textAlignment w:val="auto"/>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甘肃省药品监督管理局审核查验中心（甘肃省疫苗检查中心）</w:t>
            </w:r>
          </w:p>
        </w:tc>
        <w:tc>
          <w:tcPr>
            <w:tcW w:w="114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color w:val="000000" w:themeColor="text1"/>
                <w:szCs w:val="21"/>
                <w14:textFill>
                  <w14:solidFill>
                    <w14:schemeClr w14:val="tx1"/>
                  </w14:solidFill>
                </w14:textFill>
              </w:rPr>
            </w:pPr>
            <w:r>
              <w:rPr>
                <w:rFonts w:hint="eastAsia" w:eastAsia="仿宋_GB2312"/>
                <w:color w:val="000000" w:themeColor="text1"/>
                <w:szCs w:val="21"/>
                <w14:textFill>
                  <w14:solidFill>
                    <w14:schemeClr w14:val="tx1"/>
                  </w14:solidFill>
                </w14:textFill>
              </w:rPr>
              <w:t>组长 总体负责标准的立项、起草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5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szCs w:val="21"/>
                <w:lang w:val="en-US" w:eastAsia="zh-CN"/>
              </w:rPr>
              <w:t>孔丽亚</w:t>
            </w:r>
          </w:p>
        </w:tc>
        <w:tc>
          <w:tcPr>
            <w:tcW w:w="41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eastAsia="zh-CN"/>
              </w:rPr>
            </w:pPr>
            <w:r>
              <w:rPr>
                <w:rFonts w:hint="eastAsia" w:eastAsia="仿宋_GB2312"/>
                <w:color w:val="000000" w:themeColor="text1"/>
                <w:szCs w:val="21"/>
                <w:lang w:eastAsia="zh-CN"/>
                <w14:textFill>
                  <w14:solidFill>
                    <w14:schemeClr w14:val="tx1"/>
                  </w14:solidFill>
                </w14:textFill>
              </w:rPr>
              <w:t>女</w:t>
            </w:r>
          </w:p>
        </w:tc>
        <w:tc>
          <w:tcPr>
            <w:tcW w:w="76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lang w:val="en-US" w:eastAsia="zh-CN"/>
              </w:rPr>
            </w:pPr>
            <w:r>
              <w:rPr>
                <w:rFonts w:hint="eastAsia" w:eastAsia="仿宋_GB2312"/>
                <w:color w:val="000000" w:themeColor="text1"/>
                <w:szCs w:val="21"/>
                <w:lang w:val="en-US" w:eastAsia="zh-CN"/>
                <w14:textFill>
                  <w14:solidFill>
                    <w14:schemeClr w14:val="tx1"/>
                  </w14:solidFill>
                </w14:textFill>
              </w:rPr>
              <w:t>工程师</w:t>
            </w:r>
          </w:p>
        </w:tc>
        <w:tc>
          <w:tcPr>
            <w:tcW w:w="2118"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color w:val="auto"/>
                <w:szCs w:val="21"/>
              </w:rPr>
            </w:pPr>
            <w:r>
              <w:rPr>
                <w:rFonts w:hint="eastAsia" w:eastAsia="仿宋_GB2312"/>
                <w:color w:val="auto"/>
                <w:szCs w:val="21"/>
              </w:rPr>
              <w:t>甘肃省药品监督管理局审核查验中心（甘肃省疫苗检查中心）</w:t>
            </w:r>
          </w:p>
        </w:tc>
        <w:tc>
          <w:tcPr>
            <w:tcW w:w="114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rPr>
              <w:t>副组长</w:t>
            </w:r>
            <w:r>
              <w:rPr>
                <w:rFonts w:hint="eastAsia" w:eastAsia="仿宋_GB2312"/>
                <w:color w:val="auto"/>
                <w:szCs w:val="21"/>
                <w:lang w:val="en-US" w:eastAsia="zh-CN"/>
              </w:rPr>
              <w:t xml:space="preserve"> </w:t>
            </w:r>
            <w:r>
              <w:rPr>
                <w:rFonts w:hint="eastAsia" w:eastAsia="仿宋_GB2312"/>
                <w:color w:val="auto"/>
                <w:szCs w:val="21"/>
              </w:rPr>
              <w:t>负责标准的起草、</w:t>
            </w:r>
            <w:r>
              <w:rPr>
                <w:rFonts w:hint="eastAsia" w:eastAsia="仿宋_GB2312"/>
                <w:color w:val="auto"/>
                <w:szCs w:val="21"/>
                <w:lang w:val="en-US" w:eastAsia="zh-CN"/>
              </w:rPr>
              <w:t>征求意见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5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麻银林</w:t>
            </w:r>
          </w:p>
        </w:tc>
        <w:tc>
          <w:tcPr>
            <w:tcW w:w="41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eastAsia="zh-CN"/>
              </w:rPr>
            </w:pPr>
            <w:r>
              <w:rPr>
                <w:rFonts w:hint="eastAsia" w:eastAsia="仿宋_GB2312"/>
                <w:color w:val="auto"/>
                <w:szCs w:val="21"/>
                <w:lang w:val="en-US" w:eastAsia="zh-CN"/>
              </w:rPr>
              <w:t>男</w:t>
            </w:r>
          </w:p>
        </w:tc>
        <w:tc>
          <w:tcPr>
            <w:tcW w:w="76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eastAsia="仿宋_GB2312"/>
                <w:color w:val="auto"/>
                <w:szCs w:val="21"/>
                <w:lang w:val="en-US" w:eastAsia="zh-CN"/>
              </w:rPr>
            </w:pPr>
            <w:r>
              <w:rPr>
                <w:rFonts w:hint="eastAsia" w:eastAsia="仿宋_GB2312"/>
                <w:color w:val="auto"/>
                <w:szCs w:val="21"/>
                <w:lang w:val="en-US" w:eastAsia="zh-CN"/>
              </w:rPr>
              <w:t>高级工程师</w:t>
            </w:r>
          </w:p>
        </w:tc>
        <w:tc>
          <w:tcPr>
            <w:tcW w:w="2118"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color w:val="auto"/>
                <w:szCs w:val="21"/>
              </w:rPr>
            </w:pPr>
            <w:r>
              <w:rPr>
                <w:rFonts w:hint="eastAsia" w:eastAsia="仿宋_GB2312"/>
                <w:color w:val="auto"/>
                <w:szCs w:val="21"/>
              </w:rPr>
              <w:t>甘肃省药品监督管理局审核查验中心（甘肃省疫苗检查中心）</w:t>
            </w:r>
          </w:p>
        </w:tc>
        <w:tc>
          <w:tcPr>
            <w:tcW w:w="114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color w:val="auto"/>
                <w:szCs w:val="21"/>
              </w:rPr>
            </w:pPr>
            <w:r>
              <w:rPr>
                <w:rFonts w:hint="eastAsia" w:eastAsia="仿宋_GB2312"/>
                <w:color w:val="auto"/>
                <w:szCs w:val="21"/>
              </w:rPr>
              <w:t>组员 负责调研</w:t>
            </w:r>
            <w:r>
              <w:rPr>
                <w:rFonts w:hint="eastAsia" w:eastAsia="仿宋_GB2312"/>
                <w:color w:val="auto"/>
                <w:szCs w:val="21"/>
                <w:lang w:val="en-US" w:eastAsia="zh-CN"/>
              </w:rPr>
              <w:t>汇总</w:t>
            </w:r>
            <w:r>
              <w:rPr>
                <w:rFonts w:hint="eastAsia" w:eastAsia="仿宋_GB2312"/>
                <w:color w:val="auto"/>
                <w:szCs w:val="21"/>
              </w:rPr>
              <w:t>、标准的起草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5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eastAsia="仿宋_GB2312"/>
                <w:color w:val="auto"/>
                <w:szCs w:val="21"/>
                <w:lang w:val="en-US" w:eastAsia="zh-CN"/>
              </w:rPr>
            </w:pPr>
            <w:r>
              <w:rPr>
                <w:rFonts w:hint="eastAsia" w:eastAsia="仿宋_GB2312"/>
                <w:color w:val="auto"/>
                <w:szCs w:val="21"/>
                <w:lang w:val="en-US" w:eastAsia="zh-CN"/>
              </w:rPr>
              <w:t>吴燕丽</w:t>
            </w:r>
          </w:p>
        </w:tc>
        <w:tc>
          <w:tcPr>
            <w:tcW w:w="41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女</w:t>
            </w:r>
          </w:p>
        </w:tc>
        <w:tc>
          <w:tcPr>
            <w:tcW w:w="76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eastAsia="仿宋_GB2312"/>
                <w:color w:val="auto"/>
                <w:szCs w:val="21"/>
                <w:lang w:val="en-US" w:eastAsia="zh-CN"/>
              </w:rPr>
            </w:pPr>
            <w:r>
              <w:rPr>
                <w:rFonts w:hint="eastAsia" w:eastAsia="仿宋_GB2312"/>
                <w:color w:val="auto"/>
                <w:szCs w:val="21"/>
                <w:lang w:val="en-US" w:eastAsia="zh-CN"/>
              </w:rPr>
              <w:t>高级工程师</w:t>
            </w:r>
          </w:p>
        </w:tc>
        <w:tc>
          <w:tcPr>
            <w:tcW w:w="2118"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color w:val="auto"/>
                <w:szCs w:val="21"/>
              </w:rPr>
            </w:pPr>
            <w:r>
              <w:rPr>
                <w:rFonts w:hint="eastAsia" w:eastAsia="仿宋_GB2312"/>
                <w:color w:val="auto"/>
                <w:szCs w:val="21"/>
              </w:rPr>
              <w:t>甘肃省药品监督管理局审核查验中心（甘肃省疫苗检查中心）</w:t>
            </w:r>
          </w:p>
        </w:tc>
        <w:tc>
          <w:tcPr>
            <w:tcW w:w="114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color w:val="auto"/>
                <w:szCs w:val="21"/>
              </w:rPr>
            </w:pPr>
            <w:r>
              <w:rPr>
                <w:rFonts w:hint="eastAsia" w:eastAsia="仿宋_GB2312"/>
                <w:color w:val="auto"/>
                <w:szCs w:val="21"/>
              </w:rPr>
              <w:t>组员 负责调研、标准的起草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5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 xml:space="preserve">胡 </w:t>
            </w:r>
            <w:bookmarkStart w:id="16" w:name="_GoBack"/>
            <w:bookmarkEnd w:id="16"/>
            <w:r>
              <w:rPr>
                <w:rFonts w:hint="eastAsia" w:eastAsia="仿宋_GB2312"/>
                <w:color w:val="auto"/>
                <w:szCs w:val="21"/>
                <w:lang w:val="en-US" w:eastAsia="zh-CN"/>
              </w:rPr>
              <w:t>闽</w:t>
            </w:r>
          </w:p>
        </w:tc>
        <w:tc>
          <w:tcPr>
            <w:tcW w:w="41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男</w:t>
            </w:r>
          </w:p>
        </w:tc>
        <w:tc>
          <w:tcPr>
            <w:tcW w:w="76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工程师</w:t>
            </w:r>
          </w:p>
        </w:tc>
        <w:tc>
          <w:tcPr>
            <w:tcW w:w="2118"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rPr>
            </w:pPr>
            <w:r>
              <w:rPr>
                <w:rFonts w:hint="eastAsia" w:eastAsia="仿宋_GB2312"/>
                <w:color w:val="auto"/>
                <w:szCs w:val="21"/>
              </w:rPr>
              <w:t>甘肃省药品监督管理局审核查验中心（甘肃省疫苗检查中心）</w:t>
            </w:r>
          </w:p>
        </w:tc>
        <w:tc>
          <w:tcPr>
            <w:tcW w:w="114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rPr>
            </w:pPr>
            <w:r>
              <w:rPr>
                <w:rFonts w:hint="eastAsia" w:eastAsia="仿宋_GB2312"/>
                <w:color w:val="auto"/>
                <w:szCs w:val="21"/>
              </w:rPr>
              <w:t>组员 负责调研、标准的起草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5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魏琪芳</w:t>
            </w:r>
          </w:p>
        </w:tc>
        <w:tc>
          <w:tcPr>
            <w:tcW w:w="41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女</w:t>
            </w:r>
          </w:p>
        </w:tc>
        <w:tc>
          <w:tcPr>
            <w:tcW w:w="76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其他</w:t>
            </w:r>
          </w:p>
        </w:tc>
        <w:tc>
          <w:tcPr>
            <w:tcW w:w="3612" w:type="dxa"/>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rPr>
            </w:pPr>
            <w:r>
              <w:rPr>
                <w:rFonts w:hint="eastAsia" w:eastAsia="仿宋_GB2312"/>
                <w:color w:val="auto"/>
                <w:szCs w:val="21"/>
              </w:rPr>
              <w:t>甘肃省药品监督管理局审核查验中心（甘肃省疫苗检查中心）</w:t>
            </w:r>
          </w:p>
        </w:tc>
        <w:tc>
          <w:tcPr>
            <w:tcW w:w="1951" w:type="dxa"/>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rPr>
            </w:pPr>
            <w:r>
              <w:rPr>
                <w:rFonts w:hint="eastAsia" w:eastAsia="仿宋_GB2312"/>
                <w:color w:val="auto"/>
                <w:szCs w:val="21"/>
              </w:rPr>
              <w:t>组员 负责调研、标准的起草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5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eastAsia="仿宋_GB2312"/>
                <w:color w:val="auto"/>
                <w:szCs w:val="21"/>
                <w:lang w:val="en-US" w:eastAsia="zh-CN"/>
              </w:rPr>
            </w:pPr>
            <w:r>
              <w:rPr>
                <w:rFonts w:hint="eastAsia" w:eastAsia="仿宋_GB2312"/>
                <w:color w:val="auto"/>
                <w:szCs w:val="21"/>
                <w:lang w:val="en-US" w:eastAsia="zh-CN"/>
              </w:rPr>
              <w:t>贺学峰</w:t>
            </w:r>
          </w:p>
        </w:tc>
        <w:tc>
          <w:tcPr>
            <w:tcW w:w="41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女</w:t>
            </w:r>
          </w:p>
        </w:tc>
        <w:tc>
          <w:tcPr>
            <w:tcW w:w="76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eastAsia="仿宋_GB2312"/>
                <w:color w:val="auto"/>
                <w:szCs w:val="21"/>
                <w:lang w:val="en-US" w:eastAsia="zh-CN"/>
              </w:rPr>
            </w:pPr>
            <w:r>
              <w:rPr>
                <w:rFonts w:hint="eastAsia" w:eastAsia="仿宋_GB2312"/>
                <w:color w:val="auto"/>
                <w:szCs w:val="21"/>
                <w:lang w:val="en-US" w:eastAsia="zh-CN"/>
              </w:rPr>
              <w:t>高级工程师</w:t>
            </w:r>
          </w:p>
        </w:tc>
        <w:tc>
          <w:tcPr>
            <w:tcW w:w="2118"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color w:val="auto"/>
                <w:szCs w:val="21"/>
              </w:rPr>
            </w:pPr>
            <w:r>
              <w:rPr>
                <w:rFonts w:hint="eastAsia" w:eastAsia="仿宋_GB2312"/>
                <w:color w:val="auto"/>
                <w:szCs w:val="21"/>
              </w:rPr>
              <w:t>甘肃省药品监督管理局审核查验中心（甘肃省疫苗检查中心）</w:t>
            </w:r>
          </w:p>
        </w:tc>
        <w:tc>
          <w:tcPr>
            <w:tcW w:w="114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color w:val="auto"/>
                <w:szCs w:val="21"/>
              </w:rPr>
            </w:pPr>
            <w:r>
              <w:rPr>
                <w:rFonts w:hint="eastAsia" w:eastAsia="仿宋_GB2312"/>
                <w:color w:val="auto"/>
                <w:szCs w:val="21"/>
              </w:rPr>
              <w:t>组员 负责调研、标准的起草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5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eastAsia="仿宋_GB2312"/>
                <w:color w:val="auto"/>
                <w:szCs w:val="21"/>
                <w:lang w:val="en-US" w:eastAsia="zh-CN"/>
              </w:rPr>
            </w:pPr>
            <w:bookmarkStart w:id="4" w:name="_Hlk20746889"/>
            <w:r>
              <w:rPr>
                <w:rFonts w:hint="eastAsia" w:eastAsia="仿宋_GB2312"/>
                <w:color w:val="auto"/>
                <w:szCs w:val="21"/>
                <w:lang w:val="en-US" w:eastAsia="zh-CN"/>
              </w:rPr>
              <w:t>段志宏</w:t>
            </w:r>
          </w:p>
        </w:tc>
        <w:tc>
          <w:tcPr>
            <w:tcW w:w="41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eastAsia="仿宋_GB2312"/>
                <w:color w:val="auto"/>
                <w:szCs w:val="21"/>
                <w:lang w:val="en-US" w:eastAsia="zh-CN"/>
              </w:rPr>
            </w:pPr>
            <w:r>
              <w:rPr>
                <w:rFonts w:hint="eastAsia" w:eastAsia="仿宋_GB2312"/>
                <w:color w:val="auto"/>
                <w:szCs w:val="21"/>
                <w:lang w:val="en-US" w:eastAsia="zh-CN"/>
              </w:rPr>
              <w:t>男</w:t>
            </w:r>
          </w:p>
        </w:tc>
        <w:tc>
          <w:tcPr>
            <w:tcW w:w="76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其他</w:t>
            </w:r>
          </w:p>
        </w:tc>
        <w:tc>
          <w:tcPr>
            <w:tcW w:w="2118"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eastAsia="仿宋_GB2312"/>
                <w:color w:val="auto"/>
                <w:szCs w:val="21"/>
              </w:rPr>
            </w:pPr>
            <w:r>
              <w:rPr>
                <w:rFonts w:hint="eastAsia" w:eastAsia="仿宋_GB2312"/>
                <w:color w:val="auto"/>
                <w:szCs w:val="21"/>
              </w:rPr>
              <w:t>甘肃省药品监督管理局审核查验中心（甘肃省疫苗检查中心）</w:t>
            </w:r>
          </w:p>
        </w:tc>
        <w:tc>
          <w:tcPr>
            <w:tcW w:w="114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rPr>
            </w:pPr>
            <w:r>
              <w:rPr>
                <w:rFonts w:hint="eastAsia" w:eastAsia="仿宋_GB2312"/>
                <w:color w:val="auto"/>
                <w:szCs w:val="21"/>
              </w:rPr>
              <w:t>组员 负责调研、标准的起草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556"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杨梅春</w:t>
            </w:r>
          </w:p>
        </w:tc>
        <w:tc>
          <w:tcPr>
            <w:tcW w:w="415"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女</w:t>
            </w:r>
          </w:p>
        </w:tc>
        <w:tc>
          <w:tcPr>
            <w:tcW w:w="76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eastAsia="仿宋_GB2312"/>
                <w:color w:val="auto"/>
                <w:szCs w:val="21"/>
                <w:lang w:val="en-US" w:eastAsia="zh-CN"/>
              </w:rPr>
            </w:pPr>
            <w:r>
              <w:rPr>
                <w:rFonts w:hint="eastAsia" w:eastAsia="仿宋_GB2312"/>
                <w:color w:val="auto"/>
                <w:szCs w:val="21"/>
                <w:lang w:val="en-US" w:eastAsia="zh-CN"/>
              </w:rPr>
              <w:t>工程师</w:t>
            </w:r>
          </w:p>
        </w:tc>
        <w:tc>
          <w:tcPr>
            <w:tcW w:w="2118"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Times New Roman" w:hAnsi="Times New Roman" w:eastAsia="仿宋_GB2312" w:cs="Times New Roman"/>
                <w:color w:val="auto"/>
                <w:kern w:val="2"/>
                <w:sz w:val="21"/>
                <w:szCs w:val="21"/>
                <w:lang w:val="en-US" w:eastAsia="zh-CN" w:bidi="ar-SA"/>
              </w:rPr>
            </w:pPr>
            <w:r>
              <w:rPr>
                <w:rFonts w:hint="eastAsia" w:eastAsia="仿宋_GB2312"/>
                <w:color w:val="auto"/>
                <w:szCs w:val="21"/>
              </w:rPr>
              <w:t>甘肃省药品监督管理局审核查验中心（甘肃省疫苗检查中心）</w:t>
            </w:r>
          </w:p>
        </w:tc>
        <w:tc>
          <w:tcPr>
            <w:tcW w:w="1144" w:type="pct"/>
            <w:vAlign w:val="center"/>
          </w:tcPr>
          <w:p>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Times New Roman" w:hAnsi="Times New Roman" w:eastAsia="仿宋_GB2312" w:cs="Times New Roman"/>
                <w:color w:val="auto"/>
                <w:kern w:val="2"/>
                <w:sz w:val="21"/>
                <w:szCs w:val="21"/>
                <w:lang w:val="en-US" w:eastAsia="zh-CN" w:bidi="ar-SA"/>
              </w:rPr>
            </w:pPr>
            <w:r>
              <w:rPr>
                <w:rFonts w:hint="eastAsia" w:eastAsia="仿宋_GB2312"/>
                <w:color w:val="auto"/>
                <w:szCs w:val="21"/>
              </w:rPr>
              <w:t>组员 负责调研、标准的起草</w:t>
            </w:r>
          </w:p>
        </w:tc>
      </w:tr>
      <w:bookmarkEnd w:id="4"/>
    </w:tbl>
    <w:p>
      <w:pPr>
        <w:pStyle w:val="10"/>
        <w:pageBreakBefore w:val="0"/>
        <w:widowControl w:val="0"/>
        <w:kinsoku/>
        <w:wordWrap/>
        <w:overflowPunct/>
        <w:topLinePunct w:val="0"/>
        <w:bidi w:val="0"/>
        <w:spacing w:line="520" w:lineRule="exact"/>
        <w:textAlignment w:val="auto"/>
        <w:rPr>
          <w:rFonts w:hint="eastAsia" w:ascii="Times New Roman" w:hAnsi="仿宋_GB2312" w:eastAsia="仿宋_GB2312" w:cs="Times New Roman"/>
          <w:color w:val="auto"/>
          <w:kern w:val="2"/>
          <w:sz w:val="28"/>
          <w:szCs w:val="28"/>
          <w:lang w:val="en-US" w:eastAsia="zh-CN" w:bidi="ar-SA"/>
        </w:rPr>
      </w:pPr>
    </w:p>
    <w:p>
      <w:pPr>
        <w:pStyle w:val="2"/>
        <w:pageBreakBefore w:val="0"/>
        <w:widowControl w:val="0"/>
        <w:numPr>
          <w:ilvl w:val="0"/>
          <w:numId w:val="5"/>
        </w:numPr>
        <w:kinsoku/>
        <w:wordWrap/>
        <w:overflowPunct/>
        <w:topLinePunct w:val="0"/>
        <w:bidi w:val="0"/>
        <w:spacing w:before="120" w:after="120" w:line="520" w:lineRule="exact"/>
        <w:jc w:val="left"/>
        <w:textAlignment w:val="auto"/>
        <w:rPr>
          <w:sz w:val="32"/>
          <w:szCs w:val="32"/>
        </w:rPr>
      </w:pPr>
      <w:bookmarkStart w:id="5" w:name="_Toc39052453"/>
      <w:r>
        <w:rPr>
          <w:rFonts w:hint="eastAsia"/>
          <w:sz w:val="32"/>
          <w:szCs w:val="32"/>
        </w:rPr>
        <w:t>所涉及的产品、适用范围</w:t>
      </w:r>
      <w:bookmarkEnd w:id="5"/>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文件规定了生物制品贮存管理的基本要求、设施设备、人员、制度和记录、入库管理，贮存管理、出库管理、不合格品的处理、档案管理等技术内容。</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本文件规定的要求是通用的，适用于生物制品生产企业、经营企业、疾病预防控制机构、医疗机构、物流配送单位生物制品的贮存管理环节。</w:t>
      </w:r>
    </w:p>
    <w:p>
      <w:pPr>
        <w:pStyle w:val="2"/>
        <w:pageBreakBefore w:val="0"/>
        <w:widowControl w:val="0"/>
        <w:kinsoku/>
        <w:wordWrap/>
        <w:overflowPunct/>
        <w:topLinePunct w:val="0"/>
        <w:bidi w:val="0"/>
        <w:spacing w:before="120" w:after="120" w:line="520" w:lineRule="exact"/>
        <w:textAlignment w:val="auto"/>
        <w:rPr>
          <w:sz w:val="32"/>
          <w:szCs w:val="32"/>
        </w:rPr>
      </w:pPr>
      <w:bookmarkStart w:id="6" w:name="_Toc23158237"/>
      <w:bookmarkStart w:id="7" w:name="_Toc39052454"/>
      <w:r>
        <w:rPr>
          <w:rFonts w:hint="eastAsia"/>
          <w:sz w:val="32"/>
          <w:szCs w:val="32"/>
        </w:rPr>
        <w:t>四、制定本规程的原则和依据</w:t>
      </w:r>
      <w:bookmarkEnd w:id="6"/>
      <w:bookmarkEnd w:id="7"/>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按照《中华人民共和国标准化法》及其《实施细则》、GB/T 1.1—2020《标准化工作导则 第1部分：标准化文件的结构和起草规则》进行本标准的制订工作。</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本《规范》是在充分调研了国内外相关生物制品贮存方面的研究标准，遵循“可行性、协调性、一致性、规范性”的原则，结合甘肃省生物制品贮存控制的有关要求，按照地方标准的制定要求，制定本地方标准。</w:t>
      </w:r>
    </w:p>
    <w:p>
      <w:pPr>
        <w:pStyle w:val="2"/>
        <w:pageBreakBefore w:val="0"/>
        <w:widowControl w:val="0"/>
        <w:kinsoku/>
        <w:wordWrap/>
        <w:overflowPunct/>
        <w:topLinePunct w:val="0"/>
        <w:bidi w:val="0"/>
        <w:spacing w:before="120" w:after="120" w:line="520" w:lineRule="exact"/>
        <w:textAlignment w:val="auto"/>
        <w:rPr>
          <w:sz w:val="32"/>
          <w:szCs w:val="32"/>
        </w:rPr>
      </w:pPr>
      <w:bookmarkStart w:id="8" w:name="_Toc39052455"/>
      <w:r>
        <w:rPr>
          <w:rFonts w:hint="eastAsia"/>
          <w:sz w:val="32"/>
          <w:szCs w:val="32"/>
        </w:rPr>
        <w:t>五、主要技术内容的说明和论证</w:t>
      </w:r>
      <w:bookmarkEnd w:id="8"/>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（一）标准名称</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为保障公众用药安全，提升我省生物制品贮存环节的质量控制水平，本规范名称定为《生物制品贮存管理技术规范》</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（二）前言</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前言部分对标准的提出单位、起草单位、标准起草人等内容做了简明扼要的概述。</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（三）范围</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规范规定了制定原则以及适用范围，明确了本规范的内容和使用对象。</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（四）规范性引用文件</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本标准中所引用文件的最新版本（包括所有的修改单）适用于本标准。</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（五）术语和定义</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下列术语和定义适用于本文件。</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生物制品  </w:t>
      </w:r>
      <w:r>
        <w:rPr>
          <w:rFonts w:hint="default" w:ascii="仿宋_GB2312" w:hAnsi="仿宋_GB2312" w:eastAsia="仿宋_GB2312" w:cs="仿宋_GB2312"/>
          <w:color w:val="auto"/>
          <w:kern w:val="2"/>
          <w:sz w:val="32"/>
          <w:szCs w:val="32"/>
          <w:lang w:val="en-US" w:eastAsia="zh-CN" w:bidi="ar-SA"/>
        </w:rPr>
        <w:t>Biological Products</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生物制品指以微生物、细胞、动物或人源组织和体液等为起始原材料，用生物学技术制成，用于人类疾病预防、治疗和诊断的药品。‌</w:t>
      </w:r>
    </w:p>
    <w:p>
      <w:pPr>
        <w:pStyle w:val="23"/>
        <w:ind w:left="0" w:leftChars="0"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 xml:space="preserve">冷链 </w:t>
      </w:r>
      <w:r>
        <w:rPr>
          <w:rFonts w:hint="default" w:ascii="仿宋_GB2312" w:hAnsi="仿宋_GB2312" w:eastAsia="仿宋_GB2312" w:cs="仿宋_GB2312"/>
          <w:color w:val="auto"/>
          <w:kern w:val="2"/>
          <w:sz w:val="32"/>
          <w:szCs w:val="32"/>
          <w:lang w:val="en-US" w:eastAsia="zh-CN" w:bidi="ar-SA"/>
        </w:rPr>
        <w:t xml:space="preserve">Refrigerating Chain </w:t>
      </w:r>
      <w:r>
        <w:rPr>
          <w:rFonts w:hint="eastAsia" w:ascii="仿宋_GB2312" w:hAnsi="仿宋_GB2312" w:eastAsia="仿宋_GB2312" w:cs="仿宋_GB2312"/>
          <w:color w:val="auto"/>
          <w:kern w:val="2"/>
          <w:sz w:val="32"/>
          <w:szCs w:val="32"/>
          <w:lang w:val="en-US" w:eastAsia="zh-CN" w:bidi="ar-SA"/>
        </w:rPr>
        <w:t xml:space="preserve"> </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冷链是指药品、生物制品或其他温度敏感产品在生产、储存、运输和配送过程中，始终处于规定的温度范围内，以确保其质量和有效性的系统。</w:t>
      </w:r>
    </w:p>
    <w:p>
      <w:pPr>
        <w:pStyle w:val="23"/>
        <w:ind w:left="0" w:leftChars="0"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冷藏</w:t>
      </w:r>
      <w:r>
        <w:rPr>
          <w:rFonts w:hint="default" w:ascii="仿宋_GB2312" w:hAnsi="仿宋_GB2312" w:eastAsia="仿宋_GB2312" w:cs="仿宋_GB2312"/>
          <w:color w:val="auto"/>
          <w:kern w:val="2"/>
          <w:sz w:val="32"/>
          <w:szCs w:val="32"/>
          <w:lang w:val="en-US" w:eastAsia="zh-CN" w:bidi="ar-SA"/>
        </w:rPr>
        <w:t>Refrigerating</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指温度符合2℃～8℃的低温贮存条件（六）技术要求。</w:t>
      </w:r>
    </w:p>
    <w:p>
      <w:pPr>
        <w:pStyle w:val="23"/>
        <w:ind w:left="0" w:leftChars="0"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冷冻</w:t>
      </w:r>
      <w:r>
        <w:rPr>
          <w:rFonts w:hint="default" w:ascii="仿宋_GB2312" w:hAnsi="仿宋_GB2312" w:eastAsia="仿宋_GB2312" w:cs="仿宋_GB2312"/>
          <w:color w:val="auto"/>
          <w:kern w:val="2"/>
          <w:sz w:val="32"/>
          <w:szCs w:val="32"/>
          <w:lang w:val="en-US" w:eastAsia="zh-CN" w:bidi="ar-SA"/>
        </w:rPr>
        <w:t>Freezing</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指温度符合-20℃以下的低温贮存条件。</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bookmarkStart w:id="9" w:name="_Toc39052456"/>
      <w:r>
        <w:rPr>
          <w:rFonts w:hint="eastAsia" w:ascii="仿宋_GB2312" w:hAnsi="仿宋_GB2312" w:eastAsia="仿宋_GB2312" w:cs="仿宋_GB2312"/>
          <w:color w:val="auto"/>
          <w:kern w:val="2"/>
          <w:sz w:val="32"/>
          <w:szCs w:val="32"/>
          <w:lang w:val="en-US" w:eastAsia="zh-CN" w:bidi="ar-SA"/>
        </w:rPr>
        <w:t>主要参考法规及技术规程：主要参考《中华人民共和国药品管理法》《中华人民共和国疫苗管理法》《药品经营质量管理规范》《药品生产质量管理规范（2010年）修订》及其附录等现有法律法规和和标准。</w:t>
      </w:r>
    </w:p>
    <w:p>
      <w:pPr>
        <w:pStyle w:val="23"/>
        <w:ind w:left="0" w:leftChars="0" w:firstLine="640" w:firstLineChars="200"/>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生物制品贮存管理技术规范主要内容：生物制品的贮存管理的基本要求、设施设备、人员、制度和记录、入库管理，贮存管理、出库管理、不合格品的处理、信息管理、档案管理等技术内容。</w:t>
      </w:r>
    </w:p>
    <w:p>
      <w:pPr>
        <w:pStyle w:val="23"/>
        <w:ind w:left="0" w:leftChars="0" w:firstLine="642" w:firstLineChars="200"/>
        <w:rPr>
          <w:rFonts w:hint="eastAsia" w:ascii="Times New Roman" w:hAnsi="Times New Roman" w:eastAsia="宋体" w:cs="Times New Roman"/>
          <w:b/>
          <w:bCs/>
          <w:kern w:val="44"/>
          <w:sz w:val="32"/>
          <w:szCs w:val="32"/>
          <w:lang w:val="en-US" w:eastAsia="zh-CN" w:bidi="ar-SA"/>
        </w:rPr>
      </w:pPr>
      <w:r>
        <w:rPr>
          <w:rFonts w:hint="eastAsia" w:ascii="Times New Roman" w:hAnsi="Times New Roman" w:eastAsia="宋体" w:cs="Times New Roman"/>
          <w:b/>
          <w:bCs/>
          <w:kern w:val="44"/>
          <w:sz w:val="32"/>
          <w:szCs w:val="32"/>
          <w:lang w:val="en-US" w:eastAsia="zh-CN" w:bidi="ar-SA"/>
        </w:rPr>
        <w:t>六、与现行法律、法规、国家标准一致情况的说明</w:t>
      </w:r>
      <w:bookmarkEnd w:id="9"/>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（一）严格执行GB/T 1.1-2020《标准化工作导则 第1部分：标准化文件的结构和起草规则》、GB/T 20001.7-2017《标准编写规则 第7部分：指南标准》等标准化工作基础标准。</w:t>
      </w:r>
    </w:p>
    <w:p>
      <w:pPr>
        <w:pStyle w:val="23"/>
        <w:ind w:left="0" w:leftChars="0"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二）本《规范》的制定是基于甘肃省市场监督管理局科技计划项目《甘肃省疫苗生产质量风险检查要点的指导原则》（项目编号：2022GSMPA0053）和省药监局科技项目《甘肃省注射用注射用A型肉毒毒素生产风险检查及监管对策研究》（项目编号：2023GSMPA017）的研究结果基础上，把研究成果转化成地方标准固定下来，作为规范性约束标准，为我省企业生物制品贮存提供了明确的依据和标准，使贮存管理工作更加科学、规范、高效。本规范严格按照</w:t>
      </w:r>
      <w:bookmarkStart w:id="10" w:name="OLE_LINK1"/>
      <w:r>
        <w:rPr>
          <w:rFonts w:hint="eastAsia" w:ascii="仿宋_GB2312" w:hAnsi="仿宋_GB2312" w:eastAsia="仿宋_GB2312" w:cs="仿宋_GB2312"/>
          <w:color w:val="auto"/>
          <w:kern w:val="2"/>
          <w:sz w:val="32"/>
          <w:szCs w:val="32"/>
          <w:lang w:val="en-US" w:eastAsia="zh-CN" w:bidi="ar-SA"/>
        </w:rPr>
        <w:t>《甘肃省地方标准管理办法》</w:t>
      </w:r>
      <w:bookmarkEnd w:id="10"/>
      <w:r>
        <w:rPr>
          <w:rFonts w:hint="eastAsia" w:ascii="仿宋_GB2312" w:hAnsi="仿宋_GB2312" w:eastAsia="仿宋_GB2312" w:cs="仿宋_GB2312"/>
          <w:color w:val="auto"/>
          <w:kern w:val="2"/>
          <w:sz w:val="32"/>
          <w:szCs w:val="32"/>
          <w:lang w:val="en-US" w:eastAsia="zh-CN" w:bidi="ar-SA"/>
        </w:rPr>
        <w:t>的要求落实标准的起草编制工作方案。编制组将通过公开征求意见稿，进行反复讨论修订，以保证该标准制定后既符合法规要求，又可行和协调统一。</w:t>
      </w:r>
    </w:p>
    <w:p>
      <w:pPr>
        <w:pStyle w:val="2"/>
        <w:pageBreakBefore w:val="0"/>
        <w:widowControl w:val="0"/>
        <w:kinsoku/>
        <w:wordWrap/>
        <w:overflowPunct/>
        <w:topLinePunct w:val="0"/>
        <w:bidi w:val="0"/>
        <w:spacing w:before="120" w:after="120" w:line="520" w:lineRule="exact"/>
        <w:textAlignment w:val="auto"/>
        <w:rPr>
          <w:sz w:val="32"/>
          <w:szCs w:val="32"/>
        </w:rPr>
      </w:pPr>
      <w:bookmarkStart w:id="11" w:name="_Toc39052457"/>
      <w:r>
        <w:rPr>
          <w:rFonts w:hint="eastAsia"/>
          <w:sz w:val="32"/>
          <w:szCs w:val="32"/>
        </w:rPr>
        <w:t>七、重大分歧意见的处理经过和依据</w:t>
      </w:r>
      <w:bookmarkEnd w:id="11"/>
    </w:p>
    <w:p>
      <w:pPr>
        <w:pageBreakBefore w:val="0"/>
        <w:widowControl w:val="0"/>
        <w:kinsoku/>
        <w:wordWrap/>
        <w:overflowPunct/>
        <w:topLinePunct w:val="0"/>
        <w:bidi w:val="0"/>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本《规范》编制过程中不存在重大分歧意见。</w:t>
      </w:r>
    </w:p>
    <w:p>
      <w:pPr>
        <w:pStyle w:val="2"/>
        <w:pageBreakBefore w:val="0"/>
        <w:widowControl w:val="0"/>
        <w:kinsoku/>
        <w:wordWrap/>
        <w:overflowPunct/>
        <w:topLinePunct w:val="0"/>
        <w:bidi w:val="0"/>
        <w:spacing w:before="120" w:after="120" w:line="520" w:lineRule="exact"/>
        <w:textAlignment w:val="auto"/>
        <w:rPr>
          <w:sz w:val="32"/>
          <w:szCs w:val="32"/>
        </w:rPr>
      </w:pPr>
      <w:bookmarkStart w:id="12" w:name="_Toc39052458"/>
      <w:r>
        <w:rPr>
          <w:rFonts w:hint="eastAsia"/>
          <w:sz w:val="32"/>
          <w:szCs w:val="32"/>
        </w:rPr>
        <w:t>八、标准性质的建议说明</w:t>
      </w:r>
      <w:bookmarkEnd w:id="12"/>
    </w:p>
    <w:p>
      <w:pPr>
        <w:pageBreakBefore w:val="0"/>
        <w:widowControl w:val="0"/>
        <w:kinsoku/>
        <w:wordWrap/>
        <w:overflowPunct/>
        <w:topLinePunct w:val="0"/>
        <w:bidi w:val="0"/>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本标准为推荐性标准。</w:t>
      </w:r>
    </w:p>
    <w:p>
      <w:pPr>
        <w:pStyle w:val="2"/>
        <w:pageBreakBefore w:val="0"/>
        <w:widowControl w:val="0"/>
        <w:kinsoku/>
        <w:wordWrap/>
        <w:overflowPunct/>
        <w:topLinePunct w:val="0"/>
        <w:bidi w:val="0"/>
        <w:spacing w:before="120" w:after="120" w:line="520" w:lineRule="exact"/>
        <w:textAlignment w:val="auto"/>
        <w:rPr>
          <w:color w:val="auto"/>
          <w:sz w:val="32"/>
          <w:szCs w:val="32"/>
        </w:rPr>
      </w:pPr>
      <w:bookmarkStart w:id="13" w:name="_Toc39052459"/>
      <w:r>
        <w:rPr>
          <w:rFonts w:hint="eastAsia"/>
          <w:color w:val="auto"/>
          <w:sz w:val="32"/>
          <w:szCs w:val="32"/>
        </w:rPr>
        <w:t>九、贯彻地方标准的要求和建议措施</w:t>
      </w:r>
      <w:bookmarkEnd w:id="13"/>
    </w:p>
    <w:p>
      <w:pPr>
        <w:pageBreakBefore w:val="0"/>
        <w:widowControl w:val="0"/>
        <w:kinsoku/>
        <w:wordWrap/>
        <w:overflowPunct/>
        <w:topLinePunct w:val="0"/>
        <w:bidi w:val="0"/>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地方标准《生物制品贮存管理技术规范》的制定，将有效规范生物制品贮存管理技术，确保生物制品安全有效，保护患者权益，提升政府的公信力。建议本标准发布后，在职能部门的领导下在全省范围内进行标准宣贯及实施。</w:t>
      </w:r>
    </w:p>
    <w:p>
      <w:pPr>
        <w:pStyle w:val="2"/>
        <w:pageBreakBefore w:val="0"/>
        <w:widowControl w:val="0"/>
        <w:kinsoku/>
        <w:wordWrap/>
        <w:overflowPunct/>
        <w:topLinePunct w:val="0"/>
        <w:bidi w:val="0"/>
        <w:spacing w:before="120" w:after="120" w:line="520" w:lineRule="exact"/>
        <w:textAlignment w:val="auto"/>
        <w:rPr>
          <w:color w:val="auto"/>
          <w:sz w:val="32"/>
          <w:szCs w:val="32"/>
        </w:rPr>
      </w:pPr>
      <w:bookmarkStart w:id="14" w:name="_Toc39052460"/>
      <w:r>
        <w:rPr>
          <w:rFonts w:hint="eastAsia"/>
          <w:color w:val="auto"/>
          <w:sz w:val="32"/>
          <w:szCs w:val="32"/>
        </w:rPr>
        <w:t>十、废止现行相关标准的建议</w:t>
      </w:r>
      <w:bookmarkEnd w:id="14"/>
    </w:p>
    <w:p>
      <w:pPr>
        <w:pageBreakBefore w:val="0"/>
        <w:widowControl w:val="0"/>
        <w:kinsoku/>
        <w:wordWrap/>
        <w:overflowPunct/>
        <w:topLinePunct w:val="0"/>
        <w:bidi w:val="0"/>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无。</w:t>
      </w:r>
    </w:p>
    <w:p>
      <w:pPr>
        <w:pStyle w:val="2"/>
        <w:pageBreakBefore w:val="0"/>
        <w:widowControl w:val="0"/>
        <w:kinsoku/>
        <w:wordWrap/>
        <w:overflowPunct/>
        <w:topLinePunct w:val="0"/>
        <w:bidi w:val="0"/>
        <w:spacing w:before="120" w:after="120" w:line="520" w:lineRule="exact"/>
        <w:textAlignment w:val="auto"/>
        <w:rPr>
          <w:color w:val="auto"/>
          <w:sz w:val="32"/>
          <w:szCs w:val="32"/>
        </w:rPr>
      </w:pPr>
      <w:bookmarkStart w:id="15" w:name="_Toc39052461"/>
      <w:r>
        <w:rPr>
          <w:rFonts w:hint="eastAsia"/>
          <w:color w:val="auto"/>
          <w:sz w:val="32"/>
          <w:szCs w:val="32"/>
        </w:rPr>
        <w:t>十一、其他应说明事项</w:t>
      </w:r>
      <w:bookmarkEnd w:id="15"/>
    </w:p>
    <w:p>
      <w:pPr>
        <w:pageBreakBefore w:val="0"/>
        <w:widowControl w:val="0"/>
        <w:kinsoku/>
        <w:wordWrap/>
        <w:overflowPunct/>
        <w:topLinePunct w:val="0"/>
        <w:bidi w:val="0"/>
        <w:spacing w:line="52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无。</w:t>
      </w:r>
    </w:p>
    <w:sectPr>
      <w:footerReference r:id="rId8"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2010600030101010101"/>
    <w:charset w:val="88"/>
    <w:family w:val="swiss"/>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等线">
    <w:altName w:val="汉仪中宋简"/>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汉仪中宋简">
    <w:panose1 w:val="02010600000101010101"/>
    <w:charset w:val="86"/>
    <w:family w:val="auto"/>
    <w:pitch w:val="default"/>
    <w:sig w:usb0="00000001" w:usb1="080E0800" w:usb2="00000002" w:usb3="00000000" w:csb0="00040000" w:csb1="00000000"/>
  </w:font>
  <w:font w:name="方正细黑一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3</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84391"/>
      <w:docPartObj>
        <w:docPartGallery w:val="autotext"/>
      </w:docPartObj>
    </w:sdtPr>
    <w:sdtContent>
      <w:p>
        <w:pPr>
          <w:pStyle w:val="4"/>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top w:val="none" w:color="auto" w:sz="0" w:space="0"/>
        <w:left w:val="none" w:color="auto" w:sz="0" w:space="0"/>
        <w:bottom w:val="none" w:color="auto" w:sz="0" w:space="1"/>
        <w:right w:val="none" w:color="auto" w:sz="0" w:space="0"/>
        <w:between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2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42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5"/>
      <w:suff w:val="nothing"/>
      <w:lvlText w:val="%1.%2.%3　"/>
      <w:lvlJc w:val="left"/>
      <w:pPr>
        <w:ind w:left="0" w:firstLine="0"/>
      </w:pPr>
      <w:rPr>
        <w:rFonts w:hint="eastAsia" w:ascii="黑体" w:hAnsi="Times New Roman" w:eastAsia="黑体"/>
        <w:b w:val="0"/>
        <w:i w:val="0"/>
        <w:color w:val="auto"/>
        <w:sz w:val="21"/>
      </w:rPr>
    </w:lvl>
    <w:lvl w:ilvl="3" w:tentative="0">
      <w:start w:val="1"/>
      <w:numFmt w:val="decimal"/>
      <w:suff w:val="nothing"/>
      <w:lvlText w:val="%1.%2.%3.%4　"/>
      <w:lvlJc w:val="left"/>
      <w:pPr>
        <w:ind w:left="0" w:firstLine="0"/>
      </w:pPr>
      <w:rPr>
        <w:rFonts w:hint="eastAsia" w:ascii="黑体" w:hAnsi="Times New Roman" w:eastAsia="黑体"/>
        <w:b w:val="0"/>
        <w:i w:val="0"/>
        <w:color w:val="auto"/>
        <w:sz w:val="21"/>
      </w:rPr>
    </w:lvl>
    <w:lvl w:ilvl="4" w:tentative="0">
      <w:start w:val="1"/>
      <w:numFmt w:val="decimal"/>
      <w:suff w:val="nothing"/>
      <w:lvlText w:val="%1.%2.%3.%4.%5　"/>
      <w:lvlJc w:val="left"/>
      <w:pPr>
        <w:ind w:left="0" w:firstLine="0"/>
      </w:pPr>
      <w:rPr>
        <w:rFonts w:hint="eastAsia" w:ascii="黑体" w:hAnsi="Times New Roman" w:eastAsia="黑体"/>
        <w:b w:val="0"/>
        <w:i w:val="0"/>
        <w:color w:val="FF000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546330F5"/>
    <w:multiLevelType w:val="multilevel"/>
    <w:tmpl w:val="546330F5"/>
    <w:lvl w:ilvl="0" w:tentative="0">
      <w:start w:val="1"/>
      <w:numFmt w:val="japaneseCounting"/>
      <w:lvlText w:val="%1、"/>
      <w:lvlJc w:val="left"/>
      <w:pPr>
        <w:ind w:left="660" w:hanging="6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2"/>
      <w:suff w:val="nothing"/>
      <w:lvlText w:val="%1%2　"/>
      <w:lvlJc w:val="left"/>
      <w:pPr>
        <w:ind w:left="0" w:firstLine="0"/>
      </w:pPr>
      <w:rPr>
        <w:rFonts w:hint="eastAsia" w:ascii="黑体" w:eastAsia="黑体"/>
        <w:b w:val="0"/>
        <w:i w:val="0"/>
        <w:sz w:val="21"/>
      </w:rPr>
    </w:lvl>
    <w:lvl w:ilvl="2" w:tentative="0">
      <w:start w:val="1"/>
      <w:numFmt w:val="decimal"/>
      <w:pStyle w:val="2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DBF04F4"/>
    <w:multiLevelType w:val="multilevel"/>
    <w:tmpl w:val="6DBF04F4"/>
    <w:lvl w:ilvl="0" w:tentative="0">
      <w:start w:val="1"/>
      <w:numFmt w:val="none"/>
      <w:pStyle w:val="2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NDVhNTlhNzgxNjgyNmU5ZmQ4NzgxYjllYzYyZTYifQ=="/>
  </w:docVars>
  <w:rsids>
    <w:rsidRoot w:val="001C7252"/>
    <w:rsid w:val="00042867"/>
    <w:rsid w:val="00071A2E"/>
    <w:rsid w:val="000741D8"/>
    <w:rsid w:val="000744D8"/>
    <w:rsid w:val="000B6095"/>
    <w:rsid w:val="000C198C"/>
    <w:rsid w:val="000D740C"/>
    <w:rsid w:val="001C4626"/>
    <w:rsid w:val="001C7252"/>
    <w:rsid w:val="00296386"/>
    <w:rsid w:val="00307129"/>
    <w:rsid w:val="00321F98"/>
    <w:rsid w:val="0035714A"/>
    <w:rsid w:val="0038352C"/>
    <w:rsid w:val="003E6864"/>
    <w:rsid w:val="004665C0"/>
    <w:rsid w:val="004D5EA7"/>
    <w:rsid w:val="004F1FDA"/>
    <w:rsid w:val="005157E2"/>
    <w:rsid w:val="005E63FC"/>
    <w:rsid w:val="0068145E"/>
    <w:rsid w:val="007534CF"/>
    <w:rsid w:val="007B01A3"/>
    <w:rsid w:val="008B43B6"/>
    <w:rsid w:val="008D71B9"/>
    <w:rsid w:val="009C244B"/>
    <w:rsid w:val="009C513D"/>
    <w:rsid w:val="009D4393"/>
    <w:rsid w:val="00B0247A"/>
    <w:rsid w:val="00BD4376"/>
    <w:rsid w:val="00C85CB0"/>
    <w:rsid w:val="00D64870"/>
    <w:rsid w:val="00E80972"/>
    <w:rsid w:val="00E836F3"/>
    <w:rsid w:val="00E871FD"/>
    <w:rsid w:val="00EA203B"/>
    <w:rsid w:val="00F905DB"/>
    <w:rsid w:val="061C5D5D"/>
    <w:rsid w:val="0CFF129D"/>
    <w:rsid w:val="106525BC"/>
    <w:rsid w:val="116E041E"/>
    <w:rsid w:val="11CF1929"/>
    <w:rsid w:val="169F6585"/>
    <w:rsid w:val="16A82372"/>
    <w:rsid w:val="16A923BB"/>
    <w:rsid w:val="17803BF4"/>
    <w:rsid w:val="178C2929"/>
    <w:rsid w:val="17FF1632"/>
    <w:rsid w:val="18A1389D"/>
    <w:rsid w:val="1A077661"/>
    <w:rsid w:val="1A420223"/>
    <w:rsid w:val="1AC977BC"/>
    <w:rsid w:val="1D8B1C51"/>
    <w:rsid w:val="1E6B40A1"/>
    <w:rsid w:val="1F024508"/>
    <w:rsid w:val="1FBD6810"/>
    <w:rsid w:val="22B60782"/>
    <w:rsid w:val="24794A37"/>
    <w:rsid w:val="269F2A02"/>
    <w:rsid w:val="26FD5043"/>
    <w:rsid w:val="2CDF621C"/>
    <w:rsid w:val="2E9748B6"/>
    <w:rsid w:val="2F003B1E"/>
    <w:rsid w:val="348778C5"/>
    <w:rsid w:val="34E46AC5"/>
    <w:rsid w:val="39604201"/>
    <w:rsid w:val="3A13722C"/>
    <w:rsid w:val="3AAF3867"/>
    <w:rsid w:val="3ABE67F6"/>
    <w:rsid w:val="400A343D"/>
    <w:rsid w:val="42DE4236"/>
    <w:rsid w:val="432D5189"/>
    <w:rsid w:val="44C96882"/>
    <w:rsid w:val="45270B01"/>
    <w:rsid w:val="489D725F"/>
    <w:rsid w:val="49F66488"/>
    <w:rsid w:val="4A0F5F3A"/>
    <w:rsid w:val="4A7150A9"/>
    <w:rsid w:val="4B207B41"/>
    <w:rsid w:val="4D337D20"/>
    <w:rsid w:val="4DDC1B4D"/>
    <w:rsid w:val="4EA07161"/>
    <w:rsid w:val="4F6143F2"/>
    <w:rsid w:val="51224383"/>
    <w:rsid w:val="51B3420F"/>
    <w:rsid w:val="51EE6000"/>
    <w:rsid w:val="57827D4C"/>
    <w:rsid w:val="57963AB3"/>
    <w:rsid w:val="57BA337A"/>
    <w:rsid w:val="57BF6551"/>
    <w:rsid w:val="581A4428"/>
    <w:rsid w:val="5A8C76E0"/>
    <w:rsid w:val="5E2A4C99"/>
    <w:rsid w:val="5F217AC3"/>
    <w:rsid w:val="5F5666A5"/>
    <w:rsid w:val="5FDC5438"/>
    <w:rsid w:val="653516C5"/>
    <w:rsid w:val="693C7500"/>
    <w:rsid w:val="69F85C4B"/>
    <w:rsid w:val="6A743838"/>
    <w:rsid w:val="6AC2168C"/>
    <w:rsid w:val="6AEC0549"/>
    <w:rsid w:val="6B5D0804"/>
    <w:rsid w:val="6C044D7B"/>
    <w:rsid w:val="6C371682"/>
    <w:rsid w:val="6C5E436B"/>
    <w:rsid w:val="6E1C3E79"/>
    <w:rsid w:val="70343755"/>
    <w:rsid w:val="711A6C62"/>
    <w:rsid w:val="711C3FFE"/>
    <w:rsid w:val="728C5A51"/>
    <w:rsid w:val="72DF201D"/>
    <w:rsid w:val="77ACC401"/>
    <w:rsid w:val="786633C3"/>
    <w:rsid w:val="78C97C64"/>
    <w:rsid w:val="D5F3A7F2"/>
    <w:rsid w:val="ED4F663E"/>
    <w:rsid w:val="EDFD8D9E"/>
    <w:rsid w:val="F77F9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仿宋" w:hAnsi="仿宋" w:eastAsia="仿宋" w:cs="仿宋"/>
      <w:sz w:val="33"/>
      <w:szCs w:val="33"/>
      <w:lang w:val="en-US" w:eastAsia="en-US" w:bidi="ar-SA"/>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toc 1"/>
    <w:basedOn w:val="1"/>
    <w:next w:val="1"/>
    <w:unhideWhenUsed/>
    <w:qFormat/>
    <w:uiPriority w:val="39"/>
  </w:style>
  <w:style w:type="character" w:styleId="9">
    <w:name w:val="Hyperlink"/>
    <w:basedOn w:val="8"/>
    <w:unhideWhenUsed/>
    <w:qFormat/>
    <w:uiPriority w:val="99"/>
    <w:rPr>
      <w:color w:val="0563C1" w:themeColor="hyperlink"/>
      <w:u w:val="single"/>
      <w14:textFill>
        <w14:solidFill>
          <w14:schemeClr w14:val="hlink"/>
        </w14:solidFill>
      </w14:textFill>
    </w:rPr>
  </w:style>
  <w:style w:type="paragraph" w:customStyle="1" w:styleId="10">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标题 1 Char"/>
    <w:basedOn w:val="8"/>
    <w:link w:val="2"/>
    <w:qFormat/>
    <w:uiPriority w:val="0"/>
    <w:rPr>
      <w:rFonts w:ascii="Times New Roman" w:hAnsi="Times New Roman" w:eastAsia="宋体" w:cs="Times New Roman"/>
      <w:b/>
      <w:bCs/>
      <w:kern w:val="44"/>
      <w:sz w:val="44"/>
      <w:szCs w:val="44"/>
    </w:rPr>
  </w:style>
  <w:style w:type="paragraph" w:styleId="14">
    <w:name w:val="List Paragraph"/>
    <w:basedOn w:val="1"/>
    <w:qFormat/>
    <w:uiPriority w:val="34"/>
    <w:pPr>
      <w:ind w:firstLine="420" w:firstLineChars="200"/>
    </w:pPr>
  </w:style>
  <w:style w:type="paragraph" w:customStyle="1" w:styleId="15">
    <w:name w:val="二级条标题"/>
    <w:basedOn w:val="1"/>
    <w:next w:val="1"/>
    <w:qFormat/>
    <w:uiPriority w:val="0"/>
    <w:pPr>
      <w:widowControl/>
      <w:numPr>
        <w:ilvl w:val="2"/>
        <w:numId w:val="1"/>
      </w:numPr>
      <w:spacing w:beforeLines="50" w:afterLines="50"/>
      <w:jc w:val="left"/>
      <w:outlineLvl w:val="3"/>
    </w:pPr>
    <w:rPr>
      <w:rFonts w:ascii="黑体" w:eastAsia="黑体"/>
      <w:kern w:val="0"/>
      <w:szCs w:val="21"/>
    </w:rPr>
  </w:style>
  <w:style w:type="character" w:customStyle="1" w:styleId="16">
    <w:name w:val="标题 1 字符"/>
    <w:qFormat/>
    <w:uiPriority w:val="0"/>
    <w:rPr>
      <w:b/>
      <w:bCs/>
      <w:kern w:val="44"/>
      <w:sz w:val="44"/>
      <w:szCs w:val="44"/>
    </w:rPr>
  </w:style>
  <w:style w:type="paragraph" w:customStyle="1" w:styleId="17">
    <w:name w:val="段"/>
    <w:link w:val="1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8">
    <w:name w:val="段 Char"/>
    <w:link w:val="17"/>
    <w:qFormat/>
    <w:uiPriority w:val="0"/>
    <w:rPr>
      <w:rFonts w:ascii="宋体" w:hAnsi="Times New Roman" w:eastAsia="宋体" w:cs="Times New Roman"/>
      <w:kern w:val="0"/>
      <w:szCs w:val="20"/>
    </w:rPr>
  </w:style>
  <w:style w:type="paragraph" w:customStyle="1" w:styleId="19">
    <w:name w:val="标准文件_术语条一"/>
    <w:basedOn w:val="20"/>
    <w:next w:val="23"/>
    <w:qFormat/>
    <w:uiPriority w:val="0"/>
  </w:style>
  <w:style w:type="paragraph" w:customStyle="1" w:styleId="20">
    <w:name w:val="标准文件_一级无标题"/>
    <w:basedOn w:val="21"/>
    <w:qFormat/>
    <w:uiPriority w:val="0"/>
    <w:pPr>
      <w:spacing w:before="0" w:beforeLines="0" w:after="0" w:afterLines="0"/>
      <w:outlineLvl w:val="9"/>
    </w:pPr>
    <w:rPr>
      <w:rFonts w:ascii="宋体" w:eastAsia="宋体"/>
    </w:rPr>
  </w:style>
  <w:style w:type="paragraph" w:customStyle="1" w:styleId="21">
    <w:name w:val="标准文件_一级条标题"/>
    <w:basedOn w:val="22"/>
    <w:next w:val="23"/>
    <w:qFormat/>
    <w:uiPriority w:val="0"/>
    <w:pPr>
      <w:numPr>
        <w:ilvl w:val="2"/>
      </w:numPr>
      <w:spacing w:before="50" w:beforeLines="50" w:after="50" w:afterLines="50"/>
      <w:outlineLvl w:val="1"/>
    </w:pPr>
  </w:style>
  <w:style w:type="paragraph" w:customStyle="1" w:styleId="22">
    <w:name w:val="标准文件_章标题"/>
    <w:next w:val="2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4">
    <w:name w:val="标准文件_注："/>
    <w:next w:val="23"/>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 w:type="paragraph" w:customStyle="1" w:styleId="25">
    <w:name w:val="标准文件_注×："/>
    <w:qFormat/>
    <w:uiPriority w:val="0"/>
    <w:pPr>
      <w:widowControl w:val="0"/>
      <w:numPr>
        <w:ilvl w:val="0"/>
        <w:numId w:val="4"/>
      </w:numPr>
      <w:autoSpaceDE w:val="0"/>
      <w:autoSpaceDN w:val="0"/>
      <w:jc w:val="both"/>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4245</Words>
  <Characters>4421</Characters>
  <Lines>28</Lines>
  <Paragraphs>7</Paragraphs>
  <TotalTime>3</TotalTime>
  <ScaleCrop>false</ScaleCrop>
  <LinksUpToDate>false</LinksUpToDate>
  <CharactersWithSpaces>4474</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2020-05-09T20:09:00Z</dcterms:created>
  <dc:creator>Windows 用户</dc:creator>
  <cp:lastModifiedBy>孔丽亚</cp:lastModifiedBy>
  <dcterms:modified xsi:type="dcterms:W3CDTF">2025-06-04T11:29:56Z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378575A28FC74423BD27C20177B81D01_13</vt:lpwstr>
  </property>
  <property fmtid="{D5CDD505-2E9C-101B-9397-08002B2CF9AE}" pid="4" name="KSOTemplateDocerSaveRecord">
    <vt:lpwstr>eyJoZGlkIjoiMmU4OTJiODVmODcwYmI1OTVlNTIyYWYyOGRkM2I5MTYiLCJ1c2VySWQiOiI2MTY1NDE1NzQifQ==</vt:lpwstr>
  </property>
</Properties>
</file>