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E5FA3C4">
      <w:pPr>
        <w:pStyle w:val="11"/>
        <w:spacing w:before="120" w:line="216" w:lineRule="auto"/>
        <w:jc w:val="center"/>
        <w:rPr>
          <w:rFonts w:ascii="黑体" w:hAnsi="黑体" w:eastAsia="黑体" w:cs="宋体"/>
          <w:bCs/>
          <w:sz w:val="36"/>
          <w:szCs w:val="36"/>
        </w:rPr>
      </w:pPr>
      <w:r>
        <w:rPr>
          <w:rFonts w:hint="eastAsia" w:ascii="黑体" w:hAnsi="黑体" w:eastAsia="黑体" w:cs="宋体"/>
          <w:bCs/>
          <w:sz w:val="36"/>
          <w:szCs w:val="36"/>
        </w:rPr>
        <w:t>贵阳市地方标准《稻田蚕豆接茬栽培技术规程》</w:t>
      </w:r>
    </w:p>
    <w:p w14:paraId="7648D485">
      <w:pPr>
        <w:pStyle w:val="11"/>
        <w:spacing w:before="120" w:line="216" w:lineRule="auto"/>
        <w:jc w:val="center"/>
        <w:rPr>
          <w:rFonts w:ascii="黑体" w:hAnsi="黑体" w:eastAsia="黑体" w:cs="宋体"/>
          <w:bCs/>
          <w:sz w:val="36"/>
          <w:szCs w:val="36"/>
        </w:rPr>
      </w:pPr>
      <w:r>
        <w:rPr>
          <w:rFonts w:hint="eastAsia" w:ascii="黑体" w:hAnsi="黑体" w:eastAsia="黑体" w:cs="宋体"/>
          <w:bCs/>
          <w:sz w:val="36"/>
          <w:szCs w:val="36"/>
        </w:rPr>
        <w:t xml:space="preserve"> 编制说明</w:t>
      </w:r>
      <w:r>
        <w:rPr>
          <w:rFonts w:hint="eastAsia" w:ascii="黑体" w:hAnsi="黑体" w:eastAsia="黑体" w:cs="宋体"/>
          <w:bCs/>
          <w:sz w:val="36"/>
          <w:szCs w:val="36"/>
        </w:rPr>
        <w:t>（</w:t>
      </w:r>
      <w:r>
        <w:rPr>
          <w:rFonts w:hint="eastAsia" w:ascii="黑体" w:hAnsi="黑体" w:eastAsia="黑体" w:cs="宋体"/>
          <w:bCs/>
          <w:sz w:val="36"/>
          <w:szCs w:val="36"/>
          <w:lang w:eastAsia="zh-CN"/>
        </w:rPr>
        <w:t>送审</w:t>
      </w:r>
      <w:r>
        <w:rPr>
          <w:rFonts w:hint="eastAsia" w:ascii="黑体" w:hAnsi="黑体" w:eastAsia="黑体" w:cs="宋体"/>
          <w:bCs/>
          <w:sz w:val="36"/>
          <w:szCs w:val="36"/>
        </w:rPr>
        <w:t>稿）</w:t>
      </w:r>
      <w:bookmarkStart w:id="18" w:name="_GoBack"/>
      <w:bookmarkEnd w:id="18"/>
    </w:p>
    <w:p w14:paraId="050B7D4D">
      <w:pPr>
        <w:spacing w:line="580" w:lineRule="exact"/>
        <w:rPr>
          <w:rFonts w:ascii="仿宋_GB2312" w:hAnsi="仿宋_GB2312" w:eastAsia="仿宋_GB2312" w:cs="仿宋_GB2312"/>
          <w:sz w:val="32"/>
          <w:szCs w:val="32"/>
        </w:rPr>
      </w:pPr>
    </w:p>
    <w:p w14:paraId="07F5C5D3">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前言</w:t>
      </w:r>
    </w:p>
    <w:p w14:paraId="789CB015">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蚕豆属豆科植物，俗称佛豆、罗汉豆等，是经济价值较高的粮、菜兼用作物，同时也是春季特色的蔬菜产品。蚕豆中营养物质含量丰富，蛋白质含量约25%～30%，蛋白质含量仅次于大豆，是重要的蛋白质原料之一。蚕豆中维生素和矿物质等含量丰富，其中维生素A和胡萝卜素及微量元素含量高于其他谷物原料，蚕豆也是动物补充维生素C、维生素B类物质的重要原料来源。近年来，蚕豆种植面积逐年扩大，在贵阳市乃至贵州省将蚕豆作为冬春时令蔬菜进行栽培，特别是水稻等粮食作物秋收后，推广水稻与蚕豆接茬栽培模式，不仅可以提高土壤中有机质的含量，减少化肥的使用量，还能有效提高土地利用率和经济效益，在一定程度上盘活冬季闲置稻田，让冬闲田成为“增收田”。</w:t>
      </w:r>
    </w:p>
    <w:p w14:paraId="70D30315">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一、项目背景</w:t>
      </w:r>
    </w:p>
    <w:p w14:paraId="2D818822">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（一）全省和国内外产业、技术现状</w:t>
      </w:r>
    </w:p>
    <w:p w14:paraId="1F625A1F">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蚕豆是人类栽培的最古老的食用豆类作物之一，一般认为蚕豆起源于亚洲西南部和地中海东岸，蚕豆传入中国最可能的路径是由印度经云南传入，然后向东南沿海地区传播。中国蚕豆育种工作始于20世纪50年代，报道育成的鲜食蚕豆品种大多为秋蚕豆,少数为春蚕豆,极少数为夏蚕豆。截止2024年底，通过国家认定的蚕豆新品种数量为65个。2005年5月20日，蚕豆被列入《中华人民共和国农业植物品种保护名录》（第六批）。目前蚕豆抗性鉴定主要围绕锈病等病害、绿豆象等虫害、盐碱等逆境、蛋白质和淀粉含量等进行研究。</w:t>
      </w:r>
    </w:p>
    <w:p w14:paraId="00F1057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蚕豆在中国的主要种植区域包括西南、长江流域、西北及华北地区，这些地区分为春播区和秋播区。西南及长江流域等秋播区蚕豆在秋季播种，来年春夏季收获；西北等春播区蚕豆春季播种，当年秋季收获。全国蚕豆种植面积270万亩左右，其中云南是蚕豆种植面积最大的省份，占全国27.8%左右，常年种植在75万亩左右。其余种植区域主要分布在四川、湖北、江苏、山东、河北、新疆、青海、甘肃等省份。贵州省常年种植蚕豆面积在40万亩以上。2023年以来，贵阳市大力推广稻田蚕豆接茬栽培模式，全市蚕豆种植面积在1万亩以上，有效提高耕地复种指数，实现稻田一季多收，对于改善农田生态环境、维护国家粮食安全、提高粮食产量，增加农民收入具有重要意义。</w:t>
      </w:r>
    </w:p>
    <w:p w14:paraId="77B09A57">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2019年起，位于贵阳市花溪区黔陶乡的贵州力合农业科技有限公司致力蚕豆的良种研发或引进推广，先后在金沙、纳雍、黔西、黄平、兴仁进行大面积推广，2019年至今先后累计推广贵农21号、贵农3号、贵农七星豆3个优良品种38万亩次，同时强化蚕豆全产业链的打造，与云南悦来香等公司联营建立加工厂，在贵州已累计收购加工蚕豆1.3万余吨，取得显著成效。目前已在贵阳市花溪区、开阳县、息烽县等地开展多点试验、种植示范，品种表现均良好。</w:t>
      </w:r>
    </w:p>
    <w:p w14:paraId="1F898D5F">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在推广蚕豆栽种的同时，特别是水稻与蚕豆接茬栽培中存在种植不规范、管理水平较低、产量不够高等问题，亟需总结和出台一套完善的栽培技术规程，对实现精准栽培与管理、节本增效、助推农民增收具有重要的现实指导意义。因此，为提升我市稻田蚕豆接茬栽培技术水平，贵阳市蔬菜技术推广站联合贵州力合农业科技有限公司、相关区县蔬菜部门依托2023年贵阳现代种业项目《蚕豆+优质稻免耕轮作高效栽培技术模式应用与示范项目》，共同编制了《贵阳市地方标准 稻田蚕豆接茬栽培技术规程》，在实践中对现行的蚕豆栽培技术进行不断改进，提高了蚕豆种植技术水平，表现出植株抗病性强、产量高、经济效益较好等特点，推进稻田蚕豆接茬栽培更科学、更规范。</w:t>
      </w:r>
    </w:p>
    <w:p w14:paraId="41E38EC4">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（二）制定地方标准的必要性和意义</w:t>
      </w:r>
    </w:p>
    <w:p w14:paraId="60C95D8D">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1.制定地方标准的必要性</w:t>
      </w:r>
    </w:p>
    <w:p w14:paraId="338FCC86">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蚕豆是贵阳市民喜爱的蔬菜品种之一，在贵阳的种植和消费有着悠久的历史和广泛的群众基础。蚕豆不仅可以直接食用，还可以通过加工后食用，具有多种烹饪方法，如干炒、凉拌、油炸等，深受当地人喜爱。作为粮食作物，蚕豆在冬季种植，不与水稻等正季作物争地，可以作为正季粮食作物的重要秋冬季接茬作物，可大幅度提高粮食种植面积及整体产量。为提高“菜篮子”的稳价保供能力，贵阳市政府高度重视，连续三年印发《贵阳贵安10万亩蔬菜保供基地建设方案》，提出要大力推进“水稻+蚕豆”示范基地建设，截止2024年，全市建成稻田蚕豆接茬基地在1万亩以上。但不同的生产主体对品种选择、 播种时间、栽培密度、田间管理等不尽相同。贵阳蚕豆产业发展较快，在实际生产中，蚕豆种植存在品种结构不合理，新品种更替缓慢，栽培方式较为粗放，尤其在种子处理、合理密植及病虫害防治等关键技术上存在管理不到位等问题。同时，随着市民生活水平的提高，城市规模扩大，市民对蚕豆价格、品种、适鲜度、品质等保供要求越来越高，因此蚕豆规范化种植表现得更为重要。</w:t>
      </w:r>
    </w:p>
    <w:p w14:paraId="0A54890E">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通过“贵州省地方标准查询服务平台”查询，贵州未出台稻田蚕豆接茬栽培的有关标准。为规范和提高水稻与蚕豆接茬栽培技术及水平，进一步提升稻田蚕豆综合效益，制定稻田蚕豆接茬栽培技术规程，提升贵阳保护地栽培技术水平，进行系统、全面的技术培训非常必要。</w:t>
      </w:r>
    </w:p>
    <w:p w14:paraId="008C9E2A">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2.制定地方标准的意义</w:t>
      </w:r>
    </w:p>
    <w:p w14:paraId="722C995F">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稻田蚕豆接茬栽培技术规程的制定，有利于贵阳市乃至贵州省规模化推广稻田蚕豆接茬栽培技术，是省内首次开展稻田蚕豆接茬栽培技术标准制定，具有创新性。该技术规程的制定，可充分利用当地自然条件和栽培条件，挖掘秋收后及冬闲生产潜力，有效规范和推广蚕豆栽培技术，提高蚕豆产量和稻田综合效益，为扩大蚕豆种植面积提供科学依据和实践指导。因此，此标准的制定及发布具有重要意义。</w:t>
      </w:r>
    </w:p>
    <w:p w14:paraId="460C7263">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（三）主要内容</w:t>
      </w:r>
    </w:p>
    <w:p w14:paraId="60433EE1">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标准主要由前言和正文组成。主要包括：术语和定义、产地环境、选地整厢、品种选择、种子处理、适时播种、合理密植、田间管理、病虫害防治、采收、生产档案等内容。</w:t>
      </w:r>
    </w:p>
    <w:p w14:paraId="11D72A65">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本文件是结合贵阳市气候特点与实际种植经验编制而成，对于稻田蚕豆接茬栽培具有很好的指导意义，适用于当前贵阳稻田蚕豆接茬栽培所用品种。</w:t>
      </w:r>
    </w:p>
    <w:p w14:paraId="5C7F8F59">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（四）其它必要的情况说明</w:t>
      </w:r>
    </w:p>
    <w:p w14:paraId="4026F22C">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lang w:val="zh-CN"/>
        </w:rPr>
      </w:pPr>
      <w:r>
        <w:rPr>
          <w:rFonts w:hint="eastAsia" w:ascii="Times New Roman" w:hAnsi="Times New Roman" w:eastAsia="宋体" w:cs="Times New Roman"/>
          <w:color w:val="000000" w:themeColor="text1"/>
          <w:spacing w:val="5"/>
          <w:sz w:val="24"/>
          <w:szCs w:val="24"/>
          <w:shd w:val="clear" w:color="auto" w:fill="FFFFFF"/>
          <w:lang w:val="zh-CN"/>
        </w:rPr>
        <w:t>准确性  标准所规定的条款力求明确而无歧义。</w:t>
      </w:r>
    </w:p>
    <w:p w14:paraId="240EF182">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lang w:val="zh-CN"/>
        </w:rPr>
      </w:pPr>
      <w:r>
        <w:rPr>
          <w:rFonts w:hint="eastAsia" w:ascii="Times New Roman" w:hAnsi="Times New Roman" w:eastAsia="宋体" w:cs="Times New Roman"/>
          <w:color w:val="000000" w:themeColor="text1"/>
          <w:spacing w:val="5"/>
          <w:sz w:val="24"/>
          <w:szCs w:val="24"/>
          <w:shd w:val="clear" w:color="auto" w:fill="FFFFFF"/>
          <w:lang w:val="zh-CN"/>
        </w:rPr>
        <w:t>统一性  标准结构、文体和术语力求统一。</w:t>
      </w:r>
    </w:p>
    <w:p w14:paraId="0E387053">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lang w:val="zh-CN"/>
        </w:rPr>
      </w:pPr>
      <w:r>
        <w:rPr>
          <w:rFonts w:hint="eastAsia" w:ascii="Times New Roman" w:hAnsi="Times New Roman" w:eastAsia="宋体" w:cs="Times New Roman"/>
          <w:color w:val="000000" w:themeColor="text1"/>
          <w:spacing w:val="5"/>
          <w:sz w:val="24"/>
          <w:szCs w:val="24"/>
          <w:shd w:val="clear" w:color="auto" w:fill="FFFFFF"/>
          <w:lang w:val="zh-CN"/>
        </w:rPr>
        <w:t>协调性  充分结合现有基础标准的有关条款，达到标准间的相互协调。</w:t>
      </w:r>
    </w:p>
    <w:p w14:paraId="38920376">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lang w:val="zh-CN"/>
        </w:rPr>
      </w:pPr>
      <w:r>
        <w:rPr>
          <w:rFonts w:hint="eastAsia" w:ascii="Times New Roman" w:hAnsi="Times New Roman" w:eastAsia="宋体" w:cs="Times New Roman"/>
          <w:color w:val="000000" w:themeColor="text1"/>
          <w:spacing w:val="5"/>
          <w:sz w:val="24"/>
          <w:szCs w:val="24"/>
          <w:shd w:val="clear" w:color="auto" w:fill="FFFFFF"/>
          <w:lang w:val="zh-CN"/>
        </w:rPr>
        <w:t>适用性  标准符合贵阳农业生产的特点特色及生态农业发展，通俗易懂，易于实施，切合生产实际，便于推广应用。</w:t>
      </w:r>
    </w:p>
    <w:p w14:paraId="39B4B75E">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lang w:val="zh-CN"/>
        </w:rPr>
      </w:pPr>
      <w:r>
        <w:rPr>
          <w:rFonts w:hint="eastAsia" w:ascii="Times New Roman" w:hAnsi="Times New Roman" w:eastAsia="宋体" w:cs="Times New Roman"/>
          <w:color w:val="000000" w:themeColor="text1"/>
          <w:spacing w:val="5"/>
          <w:sz w:val="24"/>
          <w:szCs w:val="24"/>
          <w:shd w:val="clear" w:color="auto" w:fill="FFFFFF"/>
          <w:lang w:val="zh-CN"/>
        </w:rPr>
        <w:t>安全性  标准制定遵循确保质量安全的原则，有关质量安全控制按绿色农产品相关要求执行。</w:t>
      </w:r>
    </w:p>
    <w:p w14:paraId="0ADB6701">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lang w:val="zh-CN"/>
        </w:rPr>
      </w:pPr>
      <w:r>
        <w:rPr>
          <w:rFonts w:hint="eastAsia" w:ascii="Times New Roman" w:hAnsi="Times New Roman" w:eastAsia="宋体" w:cs="Times New Roman"/>
          <w:color w:val="000000" w:themeColor="text1"/>
          <w:spacing w:val="5"/>
          <w:sz w:val="24"/>
          <w:szCs w:val="24"/>
          <w:shd w:val="clear" w:color="auto" w:fill="FFFFFF"/>
          <w:lang w:val="zh-CN"/>
        </w:rPr>
        <w:t>特殊性  本标准既遵循相关国家标准和地方标准的要求，又体现贵阳气候条件、土壤条件、地势地形等的特殊性和区域性，并注重实用性和可操作性。</w:t>
      </w:r>
    </w:p>
    <w:p w14:paraId="2266707F">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二、工作简况</w:t>
      </w:r>
    </w:p>
    <w:p w14:paraId="5534764D">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lang w:val="zh-CN"/>
        </w:rPr>
      </w:pPr>
      <w:r>
        <w:rPr>
          <w:rFonts w:hint="eastAsia" w:ascii="Times New Roman" w:hAnsi="Times New Roman" w:eastAsia="宋体" w:cs="Times New Roman"/>
          <w:b/>
          <w:bCs/>
          <w:color w:val="000000" w:themeColor="text1"/>
          <w:spacing w:val="5"/>
          <w:sz w:val="24"/>
          <w:szCs w:val="24"/>
          <w:shd w:val="clear" w:color="auto" w:fill="FFFFFF"/>
          <w:lang w:val="zh-CN"/>
        </w:rPr>
        <w:t>（一）任务来源</w:t>
      </w:r>
    </w:p>
    <w:p w14:paraId="660C5D2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lang w:val="zh-CN"/>
        </w:rPr>
      </w:pPr>
      <w:r>
        <w:rPr>
          <w:rFonts w:hint="eastAsia" w:ascii="Times New Roman" w:hAnsi="Times New Roman" w:eastAsia="宋体" w:cs="Times New Roman"/>
          <w:color w:val="000000" w:themeColor="text1"/>
          <w:spacing w:val="5"/>
          <w:sz w:val="24"/>
          <w:szCs w:val="24"/>
          <w:shd w:val="clear" w:color="auto" w:fill="FFFFFF"/>
          <w:lang w:val="zh-CN"/>
        </w:rPr>
        <w:t>2023年4月，贵阳市蔬菜技术推广站根据贵阳市市场监管局《关于组织开展2023年市级地方标准制修订项目立项申报工作的通知》精神，申报《稻田松花菜接茬栽培技术规程》立项；2023年11月7日贵阳市市场监督管理局对关于拟立项《喀斯特小微湿地修复重建技术规程》等26项地方标准制定项目的公示；2023年11月27日，贵阳市市场监督管理局下达《关于对《喀斯特小微湿地修复重建技术规程》等26项地方标准制定项目立项的通知》，批准《稻田蚕豆接茬栽培技术规程》地方标准立项，立项标号（2023-21），贵阳市蔬菜技术推广站为主要起草单位。</w:t>
      </w:r>
    </w:p>
    <w:p w14:paraId="58B6DBCC">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lang w:val="zh-CN"/>
        </w:rPr>
      </w:pPr>
      <w:r>
        <w:rPr>
          <w:rFonts w:hint="eastAsia" w:ascii="Times New Roman" w:hAnsi="Times New Roman" w:eastAsia="宋体" w:cs="Times New Roman"/>
          <w:b/>
          <w:bCs/>
          <w:color w:val="000000" w:themeColor="text1"/>
          <w:spacing w:val="5"/>
          <w:sz w:val="24"/>
          <w:szCs w:val="24"/>
          <w:shd w:val="clear" w:color="auto" w:fill="FFFFFF"/>
          <w:lang w:val="zh-CN"/>
        </w:rPr>
        <w:t>（二）编制过程</w:t>
      </w:r>
    </w:p>
    <w:p w14:paraId="7EB13BAF">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1.组织起草阶段</w:t>
      </w:r>
    </w:p>
    <w:p w14:paraId="38AFFFF0">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lang w:val="zh-CN"/>
        </w:rPr>
      </w:pPr>
      <w:r>
        <w:rPr>
          <w:rFonts w:hint="eastAsia" w:ascii="Times New Roman" w:hAnsi="Times New Roman" w:eastAsia="宋体" w:cs="Times New Roman"/>
          <w:color w:val="000000" w:themeColor="text1"/>
          <w:spacing w:val="5"/>
          <w:sz w:val="24"/>
          <w:szCs w:val="24"/>
          <w:shd w:val="clear" w:color="auto" w:fill="FFFFFF"/>
          <w:lang w:val="zh-CN"/>
        </w:rPr>
        <w:t>2023年9月25日，贵阳市蔬菜技术推广站邀请贵州力合农业科技有限公司、花溪区、开阳县、息烽县等区县相关专家、技术人员负责人组成标准起草小组对标准进行认真细致研讨，制定工作方案。根据2023-2024年印发的</w:t>
      </w:r>
      <w:r>
        <w:rPr>
          <w:rFonts w:hint="eastAsia" w:ascii="Times New Roman" w:hAnsi="Times New Roman" w:eastAsia="宋体" w:cs="Times New Roman"/>
          <w:color w:val="000000" w:themeColor="text1"/>
          <w:spacing w:val="5"/>
          <w:sz w:val="24"/>
          <w:szCs w:val="24"/>
          <w:shd w:val="clear" w:color="auto" w:fill="FFFFFF"/>
        </w:rPr>
        <w:t>《贵阳贵安“稻+菜”示范基地建设工作方案》（筑农通〔2023〕29号）、《贵阳贵安10万亩蔬菜保供示范基地建设实施方案》（筑农领通〔2024〕3号）及</w:t>
      </w:r>
      <w:r>
        <w:rPr>
          <w:rFonts w:hint="eastAsia" w:ascii="Times New Roman" w:hAnsi="Times New Roman" w:eastAsia="宋体" w:cs="Times New Roman"/>
          <w:color w:val="000000" w:themeColor="text1"/>
          <w:spacing w:val="5"/>
          <w:sz w:val="24"/>
          <w:szCs w:val="24"/>
          <w:shd w:val="clear" w:color="auto" w:fill="FFFFFF"/>
          <w:lang w:val="zh-CN"/>
        </w:rPr>
        <w:t>2023年贵阳现代种业项目《蚕豆+优质稻免耕轮作高效栽培技术模式应用与示范项目》在贵阳贵安实施状况，结合编制组多年筛选的最佳工艺试验总结及种植基地企业、合作社等主体多年生产实践经验和实地调查，确定了本地方标准起草的重要技术指标和参数。</w:t>
      </w:r>
    </w:p>
    <w:p w14:paraId="2288BF22">
      <w:pPr>
        <w:spacing w:line="360" w:lineRule="auto"/>
        <w:ind w:firstLine="480" w:firstLineChars="200"/>
        <w:rPr>
          <w:rFonts w:ascii="Times New Roman" w:hAnsi="Times New Roman" w:eastAsia="宋体" w:cs="Times New Roman"/>
          <w:spacing w:val="5"/>
          <w:sz w:val="24"/>
          <w:szCs w:val="24"/>
          <w:shd w:val="clear" w:color="auto" w:fill="FFFFFF"/>
          <w:lang w:val="zh-CN"/>
        </w:rPr>
      </w:pPr>
      <w:r>
        <w:rPr>
          <w:rFonts w:ascii="Times New Roman" w:hAnsi="Times New Roman" w:eastAsia="宋体" w:cs="Times New Roman"/>
          <w:sz w:val="24"/>
          <w:szCs w:val="24"/>
          <w:lang w:val="zh-CN"/>
        </w:rPr>
        <w:t>202</w:t>
      </w:r>
      <w:r>
        <w:rPr>
          <w:rFonts w:hint="eastAsia" w:ascii="Times New Roman" w:hAnsi="Times New Roman" w:eastAsia="宋体" w:cs="Times New Roman"/>
          <w:sz w:val="24"/>
          <w:szCs w:val="24"/>
          <w:lang w:val="zh-CN"/>
        </w:rPr>
        <w:t>3</w:t>
      </w:r>
      <w:r>
        <w:rPr>
          <w:rFonts w:ascii="Times New Roman" w:hAnsi="Times New Roman" w:eastAsia="宋体" w:cs="Times New Roman"/>
          <w:sz w:val="24"/>
          <w:szCs w:val="24"/>
          <w:lang w:val="zh-CN"/>
        </w:rPr>
        <w:t>年</w:t>
      </w:r>
      <w:r>
        <w:rPr>
          <w:rFonts w:hint="eastAsia" w:ascii="Times New Roman" w:hAnsi="Times New Roman" w:eastAsia="宋体" w:cs="Times New Roman"/>
          <w:sz w:val="24"/>
          <w:szCs w:val="24"/>
        </w:rPr>
        <w:t>12</w:t>
      </w:r>
      <w:r>
        <w:rPr>
          <w:rFonts w:ascii="Times New Roman" w:hAnsi="Times New Roman" w:eastAsia="宋体" w:cs="Times New Roman"/>
          <w:sz w:val="24"/>
          <w:szCs w:val="24"/>
          <w:lang w:val="zh-CN"/>
        </w:rPr>
        <w:t>月</w:t>
      </w:r>
      <w:r>
        <w:rPr>
          <w:rFonts w:hint="eastAsia" w:ascii="Times New Roman" w:hAnsi="Times New Roman" w:eastAsia="宋体" w:cs="Times New Roman"/>
          <w:sz w:val="24"/>
          <w:szCs w:val="24"/>
        </w:rPr>
        <w:t>15</w:t>
      </w:r>
      <w:r>
        <w:rPr>
          <w:rFonts w:ascii="Times New Roman" w:hAnsi="Times New Roman" w:eastAsia="宋体" w:cs="Times New Roman"/>
          <w:sz w:val="24"/>
          <w:szCs w:val="24"/>
          <w:lang w:val="zh-CN"/>
        </w:rPr>
        <w:t>日</w:t>
      </w:r>
      <w:r>
        <w:rPr>
          <w:rFonts w:hint="eastAsia" w:ascii="Times New Roman" w:hAnsi="Times New Roman" w:eastAsia="宋体" w:cs="Times New Roman"/>
          <w:spacing w:val="5"/>
          <w:sz w:val="24"/>
          <w:szCs w:val="24"/>
          <w:shd w:val="clear" w:color="auto" w:fill="FFFFFF"/>
          <w:lang w:val="zh-CN"/>
        </w:rPr>
        <w:t>，按照GB/T1.1-2020《文件化工作导则 第1部分：标准化文件的结构和起草规则编写》的规定完成本地方标准起草初稿。</w:t>
      </w:r>
    </w:p>
    <w:p w14:paraId="0D205E3D">
      <w:pPr>
        <w:spacing w:line="360" w:lineRule="auto"/>
        <w:ind w:firstLine="480" w:firstLineChars="200"/>
        <w:rPr>
          <w:rFonts w:ascii="Times New Roman" w:hAnsi="Times New Roman" w:eastAsia="宋体" w:cs="Times New Roman"/>
          <w:spacing w:val="5"/>
          <w:sz w:val="24"/>
          <w:szCs w:val="24"/>
          <w:shd w:val="clear" w:color="auto" w:fill="FFFFFF"/>
        </w:rPr>
      </w:pPr>
      <w:r>
        <w:rPr>
          <w:rFonts w:ascii="Times New Roman" w:hAnsi="Times New Roman" w:eastAsia="宋体" w:cs="Times New Roman"/>
          <w:sz w:val="24"/>
          <w:szCs w:val="24"/>
        </w:rPr>
        <w:t>202</w:t>
      </w:r>
      <w:r>
        <w:rPr>
          <w:rFonts w:hint="eastAsia" w:ascii="Times New Roman" w:hAnsi="Times New Roman" w:eastAsia="宋体" w:cs="Times New Roman"/>
          <w:sz w:val="24"/>
          <w:szCs w:val="24"/>
        </w:rPr>
        <w:t>3</w:t>
      </w:r>
      <w:r>
        <w:rPr>
          <w:rFonts w:ascii="Times New Roman" w:hAnsi="Times New Roman" w:eastAsia="宋体" w:cs="Times New Roman"/>
          <w:sz w:val="24"/>
          <w:szCs w:val="24"/>
        </w:rPr>
        <w:t>年</w:t>
      </w:r>
      <w:r>
        <w:rPr>
          <w:rFonts w:hint="eastAsia" w:ascii="Times New Roman" w:hAnsi="Times New Roman" w:eastAsia="宋体" w:cs="Times New Roman"/>
          <w:sz w:val="24"/>
          <w:szCs w:val="24"/>
        </w:rPr>
        <w:t>12</w:t>
      </w:r>
      <w:r>
        <w:rPr>
          <w:rFonts w:ascii="Times New Roman" w:hAnsi="Times New Roman" w:eastAsia="宋体" w:cs="Times New Roman"/>
          <w:sz w:val="24"/>
          <w:szCs w:val="24"/>
        </w:rPr>
        <w:t>月—</w:t>
      </w:r>
      <w:r>
        <w:rPr>
          <w:rFonts w:hint="eastAsia" w:ascii="Times New Roman" w:hAnsi="Times New Roman" w:eastAsia="宋体" w:cs="Times New Roman"/>
          <w:sz w:val="24"/>
          <w:szCs w:val="24"/>
        </w:rPr>
        <w:t>2025年2</w:t>
      </w:r>
      <w:r>
        <w:rPr>
          <w:rFonts w:ascii="Times New Roman" w:hAnsi="Times New Roman" w:eastAsia="宋体" w:cs="Times New Roman"/>
          <w:sz w:val="24"/>
          <w:szCs w:val="24"/>
        </w:rPr>
        <w:t>月</w:t>
      </w:r>
      <w:r>
        <w:rPr>
          <w:rFonts w:hint="eastAsia" w:ascii="Times New Roman" w:hAnsi="Times New Roman" w:eastAsia="宋体" w:cs="Times New Roman"/>
          <w:spacing w:val="5"/>
          <w:sz w:val="24"/>
          <w:szCs w:val="24"/>
          <w:shd w:val="clear" w:color="auto" w:fill="FFFFFF"/>
        </w:rPr>
        <w:t>，</w:t>
      </w:r>
      <w:r>
        <w:rPr>
          <w:rFonts w:hint="eastAsia" w:ascii="Times New Roman" w:hAnsi="Times New Roman" w:eastAsia="宋体" w:cs="Times New Roman"/>
          <w:spacing w:val="5"/>
          <w:sz w:val="24"/>
          <w:szCs w:val="24"/>
          <w:shd w:val="clear" w:color="auto" w:fill="FFFFFF"/>
          <w:lang w:val="zh-CN"/>
        </w:rPr>
        <w:t>贵阳市蔬菜技术推广站召集标准拟稿人在花溪区、开阳县、息烽县等生产基地开展蚕豆栽培试验示范，复核相关数据。</w:t>
      </w:r>
    </w:p>
    <w:p w14:paraId="4FE14CC5">
      <w:pPr>
        <w:spacing w:line="360" w:lineRule="auto"/>
        <w:ind w:firstLine="480" w:firstLineChars="200"/>
        <w:rPr>
          <w:rFonts w:ascii="Times New Roman" w:hAnsi="Times New Roman" w:eastAsia="宋体" w:cs="Times New Roman"/>
          <w:spacing w:val="5"/>
          <w:sz w:val="24"/>
          <w:szCs w:val="24"/>
          <w:shd w:val="clear" w:color="auto" w:fill="FFFFFF"/>
          <w:lang w:val="zh-CN"/>
        </w:rPr>
      </w:pPr>
      <w:r>
        <w:rPr>
          <w:rFonts w:hint="eastAsia" w:ascii="Times New Roman" w:hAnsi="Times New Roman" w:eastAsia="宋体" w:cs="Times New Roman"/>
          <w:sz w:val="24"/>
          <w:szCs w:val="24"/>
          <w:lang w:val="zh-CN"/>
        </w:rPr>
        <w:t>202</w:t>
      </w:r>
      <w:r>
        <w:rPr>
          <w:rFonts w:hint="eastAsia" w:ascii="Times New Roman" w:hAnsi="Times New Roman" w:eastAsia="宋体" w:cs="Times New Roman"/>
          <w:sz w:val="24"/>
          <w:szCs w:val="24"/>
        </w:rPr>
        <w:t>5</w:t>
      </w:r>
      <w:r>
        <w:rPr>
          <w:rFonts w:hint="eastAsia" w:ascii="Times New Roman" w:hAnsi="Times New Roman" w:eastAsia="宋体" w:cs="Times New Roman"/>
          <w:sz w:val="24"/>
          <w:szCs w:val="24"/>
          <w:lang w:val="zh-CN"/>
        </w:rPr>
        <w:t>年</w:t>
      </w:r>
      <w:r>
        <w:rPr>
          <w:rFonts w:hint="eastAsia" w:ascii="Times New Roman" w:hAnsi="Times New Roman" w:eastAsia="宋体" w:cs="Times New Roman"/>
          <w:sz w:val="24"/>
          <w:szCs w:val="24"/>
        </w:rPr>
        <w:t>2</w:t>
      </w:r>
      <w:r>
        <w:rPr>
          <w:rFonts w:hint="eastAsia" w:ascii="Times New Roman" w:hAnsi="Times New Roman" w:eastAsia="宋体" w:cs="Times New Roman"/>
          <w:sz w:val="24"/>
          <w:szCs w:val="24"/>
          <w:lang w:val="zh-CN"/>
        </w:rPr>
        <w:t>月</w:t>
      </w:r>
      <w:r>
        <w:rPr>
          <w:rFonts w:hint="eastAsia" w:ascii="Times New Roman" w:hAnsi="Times New Roman" w:eastAsia="宋体" w:cs="Times New Roman"/>
          <w:sz w:val="24"/>
          <w:szCs w:val="24"/>
        </w:rPr>
        <w:t>25</w:t>
      </w:r>
      <w:r>
        <w:rPr>
          <w:rFonts w:hint="eastAsia" w:ascii="Times New Roman" w:hAnsi="Times New Roman" w:eastAsia="宋体" w:cs="Times New Roman"/>
          <w:sz w:val="24"/>
          <w:szCs w:val="24"/>
          <w:lang w:val="zh-CN"/>
        </w:rPr>
        <w:t>日，</w:t>
      </w:r>
      <w:r>
        <w:rPr>
          <w:rFonts w:hint="eastAsia" w:ascii="Times New Roman" w:hAnsi="Times New Roman" w:eastAsia="宋体" w:cs="Times New Roman"/>
          <w:spacing w:val="5"/>
          <w:sz w:val="24"/>
          <w:szCs w:val="24"/>
          <w:shd w:val="clear" w:color="auto" w:fill="FFFFFF"/>
          <w:lang w:val="zh-CN"/>
        </w:rPr>
        <w:t>贵阳市蔬菜技术推广站召集标准拟稿人召开标准会议，经认真讨论修改后形成了初稿。</w:t>
      </w:r>
    </w:p>
    <w:p w14:paraId="7674419B">
      <w:pPr>
        <w:spacing w:line="360" w:lineRule="auto"/>
        <w:ind w:firstLine="480" w:firstLineChars="200"/>
        <w:rPr>
          <w:rFonts w:ascii="Times New Roman" w:hAnsi="Times New Roman" w:eastAsia="宋体" w:cs="Times New Roman"/>
          <w:spacing w:val="5"/>
          <w:sz w:val="24"/>
          <w:szCs w:val="24"/>
          <w:shd w:val="clear" w:color="auto" w:fill="FFFFFF"/>
          <w:lang w:val="zh-CN"/>
        </w:rPr>
      </w:pPr>
      <w:r>
        <w:rPr>
          <w:rFonts w:ascii="Times New Roman" w:hAnsi="Times New Roman" w:eastAsia="宋体" w:cs="Times New Roman"/>
          <w:sz w:val="24"/>
          <w:szCs w:val="24"/>
          <w:lang w:val="zh-CN"/>
        </w:rPr>
        <w:t>202</w:t>
      </w:r>
      <w:r>
        <w:rPr>
          <w:rFonts w:hint="eastAsia" w:ascii="Times New Roman" w:hAnsi="Times New Roman" w:eastAsia="宋体" w:cs="Times New Roman"/>
          <w:sz w:val="24"/>
          <w:szCs w:val="24"/>
          <w:lang w:val="zh-CN"/>
        </w:rPr>
        <w:t>5</w:t>
      </w:r>
      <w:r>
        <w:rPr>
          <w:rFonts w:ascii="Times New Roman" w:hAnsi="Times New Roman" w:eastAsia="宋体" w:cs="Times New Roman"/>
          <w:sz w:val="24"/>
          <w:szCs w:val="24"/>
          <w:lang w:val="zh-CN"/>
        </w:rPr>
        <w:t>年</w:t>
      </w:r>
      <w:r>
        <w:rPr>
          <w:rFonts w:hint="eastAsia" w:ascii="Times New Roman" w:hAnsi="Times New Roman" w:eastAsia="宋体" w:cs="Times New Roman"/>
          <w:sz w:val="24"/>
          <w:szCs w:val="24"/>
        </w:rPr>
        <w:t>3</w:t>
      </w:r>
      <w:r>
        <w:rPr>
          <w:rFonts w:ascii="Times New Roman" w:hAnsi="Times New Roman" w:eastAsia="宋体" w:cs="Times New Roman"/>
          <w:sz w:val="24"/>
          <w:szCs w:val="24"/>
          <w:lang w:val="zh-CN"/>
        </w:rPr>
        <w:t>月</w:t>
      </w:r>
      <w:r>
        <w:rPr>
          <w:rFonts w:hint="eastAsia" w:ascii="Times New Roman" w:hAnsi="Times New Roman" w:eastAsia="宋体" w:cs="Times New Roman"/>
          <w:sz w:val="24"/>
          <w:szCs w:val="24"/>
        </w:rPr>
        <w:t>10</w:t>
      </w:r>
      <w:r>
        <w:rPr>
          <w:rFonts w:ascii="Times New Roman" w:hAnsi="Times New Roman" w:eastAsia="宋体" w:cs="Times New Roman"/>
          <w:sz w:val="24"/>
          <w:szCs w:val="24"/>
          <w:lang w:val="zh-CN"/>
        </w:rPr>
        <w:t>日，</w:t>
      </w:r>
      <w:r>
        <w:rPr>
          <w:rFonts w:hint="eastAsia" w:ascii="Times New Roman" w:hAnsi="Times New Roman" w:eastAsia="宋体" w:cs="Times New Roman"/>
          <w:spacing w:val="5"/>
          <w:sz w:val="24"/>
          <w:szCs w:val="24"/>
          <w:shd w:val="clear" w:color="auto" w:fill="FFFFFF"/>
          <w:lang w:val="zh-CN"/>
        </w:rPr>
        <w:t>贵阳市蔬菜技术推广站召集标准拟稿人召开标准会议，经认真讨论修改后形成了讨论稿。</w:t>
      </w:r>
    </w:p>
    <w:p w14:paraId="222C22C3">
      <w:pPr>
        <w:spacing w:line="336" w:lineRule="auto"/>
        <w:ind w:firstLine="482" w:firstLineChars="200"/>
        <w:rPr>
          <w:rFonts w:ascii="等线" w:hAnsi="等线" w:eastAsia="等线" w:cs="Times New Roman"/>
          <w:b/>
          <w:bCs/>
          <w:sz w:val="24"/>
        </w:rPr>
      </w:pPr>
      <w:r>
        <w:rPr>
          <w:rFonts w:ascii="Times New Roman" w:hAnsi="Times New Roman" w:eastAsia="宋体" w:cs="Times New Roman"/>
          <w:b/>
          <w:bCs/>
          <w:sz w:val="24"/>
          <w:szCs w:val="24"/>
        </w:rPr>
        <w:t>2.征求意见阶段</w:t>
      </w:r>
    </w:p>
    <w:p w14:paraId="1BE63A1D">
      <w:pPr>
        <w:spacing w:line="336" w:lineRule="auto"/>
        <w:ind w:firstLine="480" w:firstLineChars="200"/>
        <w:rPr>
          <w:rFonts w:ascii="等线" w:hAnsi="等线" w:eastAsia="等线" w:cs="Times New Roman"/>
          <w:sz w:val="24"/>
          <w:lang w:val="zh-CN"/>
        </w:rPr>
      </w:pPr>
      <w:r>
        <w:rPr>
          <w:rFonts w:ascii="Times New Roman" w:hAnsi="Times New Roman" w:eastAsia="宋体" w:cs="Times New Roman"/>
          <w:sz w:val="24"/>
          <w:szCs w:val="24"/>
          <w:lang w:val="zh-CN"/>
        </w:rPr>
        <w:t>202</w:t>
      </w:r>
      <w:r>
        <w:rPr>
          <w:rFonts w:hint="eastAsia" w:ascii="Times New Roman" w:hAnsi="Times New Roman" w:eastAsia="宋体" w:cs="Times New Roman"/>
          <w:sz w:val="24"/>
          <w:szCs w:val="24"/>
          <w:lang w:val="zh-CN"/>
        </w:rPr>
        <w:t>5</w:t>
      </w:r>
      <w:r>
        <w:rPr>
          <w:rFonts w:ascii="Times New Roman" w:hAnsi="Times New Roman" w:eastAsia="宋体" w:cs="Times New Roman"/>
          <w:sz w:val="24"/>
          <w:szCs w:val="24"/>
          <w:lang w:val="zh-CN"/>
        </w:rPr>
        <w:t>年</w:t>
      </w:r>
      <w:r>
        <w:rPr>
          <w:rFonts w:hint="eastAsia" w:ascii="Times New Roman" w:hAnsi="Times New Roman" w:eastAsia="宋体" w:cs="Times New Roman"/>
          <w:sz w:val="24"/>
          <w:szCs w:val="24"/>
        </w:rPr>
        <w:t>3</w:t>
      </w:r>
      <w:r>
        <w:rPr>
          <w:rFonts w:ascii="Times New Roman" w:hAnsi="Times New Roman" w:eastAsia="宋体" w:cs="Times New Roman"/>
          <w:sz w:val="24"/>
          <w:szCs w:val="24"/>
          <w:lang w:val="zh-CN"/>
        </w:rPr>
        <w:t>月</w:t>
      </w:r>
      <w:r>
        <w:rPr>
          <w:rFonts w:hint="eastAsia" w:ascii="Times New Roman" w:hAnsi="Times New Roman" w:eastAsia="宋体" w:cs="Times New Roman"/>
          <w:sz w:val="24"/>
          <w:szCs w:val="24"/>
        </w:rPr>
        <w:t>20</w:t>
      </w:r>
      <w:r>
        <w:rPr>
          <w:rFonts w:ascii="Times New Roman" w:hAnsi="Times New Roman" w:eastAsia="宋体" w:cs="Times New Roman"/>
          <w:sz w:val="24"/>
          <w:szCs w:val="24"/>
          <w:lang w:val="zh-CN"/>
        </w:rPr>
        <w:t>日，贵阳市蔬菜技术推广站召集标准拟稿人召开标准会议，经认真讨论修改后形成了征求意见初稿。</w:t>
      </w:r>
    </w:p>
    <w:p w14:paraId="7D9F9DAA">
      <w:pPr>
        <w:spacing w:line="336" w:lineRule="auto"/>
        <w:ind w:firstLine="480" w:firstLineChars="200"/>
        <w:rPr>
          <w:rFonts w:ascii="等线" w:hAnsi="等线" w:eastAsia="等线" w:cs="Times New Roman"/>
          <w:sz w:val="24"/>
          <w:lang w:val="zh-CN"/>
        </w:rPr>
      </w:pPr>
      <w:r>
        <w:rPr>
          <w:rFonts w:ascii="Times New Roman" w:hAnsi="Times New Roman" w:eastAsia="宋体" w:cs="Times New Roman"/>
          <w:sz w:val="24"/>
          <w:szCs w:val="24"/>
          <w:lang w:val="zh-CN"/>
        </w:rPr>
        <w:t>202</w:t>
      </w:r>
      <w:r>
        <w:rPr>
          <w:rFonts w:hint="eastAsia" w:ascii="Times New Roman" w:hAnsi="Times New Roman" w:eastAsia="宋体" w:cs="Times New Roman"/>
          <w:sz w:val="24"/>
          <w:szCs w:val="24"/>
          <w:lang w:val="zh-CN"/>
        </w:rPr>
        <w:t>5</w:t>
      </w:r>
      <w:r>
        <w:rPr>
          <w:rFonts w:ascii="Times New Roman" w:hAnsi="Times New Roman" w:eastAsia="宋体" w:cs="Times New Roman"/>
          <w:sz w:val="24"/>
          <w:szCs w:val="24"/>
          <w:lang w:val="zh-CN"/>
        </w:rPr>
        <w:t>年</w:t>
      </w:r>
      <w:r>
        <w:rPr>
          <w:rFonts w:hint="eastAsia" w:ascii="Times New Roman" w:hAnsi="Times New Roman" w:eastAsia="宋体" w:cs="Times New Roman"/>
          <w:sz w:val="24"/>
          <w:szCs w:val="24"/>
        </w:rPr>
        <w:t>3</w:t>
      </w:r>
      <w:r>
        <w:rPr>
          <w:rFonts w:ascii="Times New Roman" w:hAnsi="Times New Roman" w:eastAsia="宋体" w:cs="Times New Roman"/>
          <w:sz w:val="24"/>
          <w:szCs w:val="24"/>
          <w:lang w:val="zh-CN"/>
        </w:rPr>
        <w:t>月</w:t>
      </w:r>
      <w:r>
        <w:rPr>
          <w:rFonts w:hint="eastAsia" w:ascii="Times New Roman" w:hAnsi="Times New Roman" w:eastAsia="宋体" w:cs="Times New Roman"/>
          <w:sz w:val="24"/>
          <w:szCs w:val="24"/>
        </w:rPr>
        <w:t>28</w:t>
      </w:r>
      <w:r>
        <w:rPr>
          <w:rFonts w:ascii="Times New Roman" w:hAnsi="Times New Roman" w:eastAsia="宋体" w:cs="Times New Roman"/>
          <w:sz w:val="24"/>
          <w:szCs w:val="24"/>
          <w:lang w:val="zh-CN"/>
        </w:rPr>
        <w:t>日，贵阳市蔬菜技术推广站再次召集标准拟稿人召开标准会议，经认真讨论修改后形成了征求意见稿。</w:t>
      </w:r>
    </w:p>
    <w:p w14:paraId="56EC1395">
      <w:pPr>
        <w:spacing w:line="336" w:lineRule="auto"/>
        <w:ind w:firstLine="480" w:firstLineChars="200"/>
        <w:rPr>
          <w:rFonts w:ascii="Times New Roman" w:hAnsi="Times New Roman" w:eastAsia="宋体" w:cs="Times New Roman"/>
          <w:sz w:val="24"/>
          <w:szCs w:val="24"/>
          <w:lang w:val="zh-CN"/>
        </w:rPr>
      </w:pPr>
      <w:r>
        <w:rPr>
          <w:rFonts w:ascii="Times New Roman" w:hAnsi="Times New Roman" w:eastAsia="宋体" w:cs="Times New Roman"/>
          <w:sz w:val="24"/>
          <w:szCs w:val="24"/>
          <w:lang w:val="zh-CN"/>
        </w:rPr>
        <w:t>202</w:t>
      </w:r>
      <w:r>
        <w:rPr>
          <w:rFonts w:hint="eastAsia" w:ascii="Times New Roman" w:hAnsi="Times New Roman" w:eastAsia="宋体" w:cs="Times New Roman"/>
          <w:sz w:val="24"/>
          <w:szCs w:val="24"/>
          <w:lang w:val="zh-CN"/>
        </w:rPr>
        <w:t>5</w:t>
      </w:r>
      <w:r>
        <w:rPr>
          <w:rFonts w:ascii="Times New Roman" w:hAnsi="Times New Roman" w:eastAsia="宋体" w:cs="Times New Roman"/>
          <w:sz w:val="24"/>
          <w:szCs w:val="24"/>
          <w:lang w:val="zh-CN"/>
        </w:rPr>
        <w:t>年</w:t>
      </w:r>
      <w:r>
        <w:rPr>
          <w:rFonts w:hint="eastAsia" w:ascii="Times New Roman" w:hAnsi="Times New Roman" w:eastAsia="宋体" w:cs="Times New Roman"/>
          <w:sz w:val="24"/>
          <w:szCs w:val="24"/>
        </w:rPr>
        <w:t>3</w:t>
      </w:r>
      <w:r>
        <w:rPr>
          <w:rFonts w:ascii="Times New Roman" w:hAnsi="Times New Roman" w:eastAsia="宋体" w:cs="Times New Roman"/>
          <w:sz w:val="24"/>
          <w:szCs w:val="24"/>
          <w:lang w:val="zh-CN"/>
        </w:rPr>
        <w:t>月</w:t>
      </w:r>
      <w:r>
        <w:rPr>
          <w:rFonts w:hint="eastAsia" w:ascii="Times New Roman" w:hAnsi="Times New Roman" w:eastAsia="宋体" w:cs="Times New Roman"/>
          <w:sz w:val="24"/>
          <w:szCs w:val="24"/>
        </w:rPr>
        <w:t>31</w:t>
      </w:r>
      <w:r>
        <w:rPr>
          <w:rFonts w:ascii="Times New Roman" w:hAnsi="Times New Roman" w:eastAsia="宋体" w:cs="Times New Roman"/>
          <w:sz w:val="24"/>
          <w:szCs w:val="24"/>
          <w:lang w:val="zh-CN"/>
        </w:rPr>
        <w:t>日，贵阳市蔬菜技术推广站将征求意见稿定向发送给贵州省果树蔬菜工作站、贵州大学和贵州省农科院相关专家，收集专家意见。</w:t>
      </w:r>
    </w:p>
    <w:p w14:paraId="338FCAA0">
      <w:pPr>
        <w:spacing w:line="336" w:lineRule="auto"/>
        <w:ind w:firstLine="480" w:firstLineChars="200"/>
        <w:rPr>
          <w:rFonts w:ascii="Times New Roman" w:hAnsi="Times New Roman" w:eastAsia="宋体" w:cs="Times New Roman"/>
          <w:sz w:val="24"/>
          <w:szCs w:val="24"/>
          <w:lang w:val="zh-CN"/>
        </w:rPr>
      </w:pPr>
      <w:r>
        <w:rPr>
          <w:rFonts w:ascii="Times New Roman" w:hAnsi="Times New Roman" w:eastAsia="宋体" w:cs="Times New Roman"/>
          <w:sz w:val="24"/>
          <w:szCs w:val="24"/>
          <w:lang w:val="zh-CN"/>
        </w:rPr>
        <w:t>202</w:t>
      </w:r>
      <w:r>
        <w:rPr>
          <w:rFonts w:hint="eastAsia" w:ascii="Times New Roman" w:hAnsi="Times New Roman" w:eastAsia="宋体" w:cs="Times New Roman"/>
          <w:sz w:val="24"/>
          <w:szCs w:val="24"/>
          <w:lang w:val="zh-CN"/>
        </w:rPr>
        <w:t>5</w:t>
      </w:r>
      <w:r>
        <w:rPr>
          <w:rFonts w:ascii="Times New Roman" w:hAnsi="Times New Roman" w:eastAsia="宋体" w:cs="Times New Roman"/>
          <w:sz w:val="24"/>
          <w:szCs w:val="24"/>
          <w:lang w:val="zh-CN"/>
        </w:rPr>
        <w:t>年</w:t>
      </w:r>
      <w:r>
        <w:rPr>
          <w:rFonts w:hint="eastAsia" w:ascii="Times New Roman" w:hAnsi="Times New Roman" w:eastAsia="宋体" w:cs="Times New Roman"/>
          <w:sz w:val="24"/>
          <w:szCs w:val="24"/>
        </w:rPr>
        <w:t>4</w:t>
      </w:r>
      <w:r>
        <w:rPr>
          <w:rFonts w:ascii="Times New Roman" w:hAnsi="Times New Roman" w:eastAsia="宋体" w:cs="Times New Roman"/>
          <w:sz w:val="24"/>
          <w:szCs w:val="24"/>
          <w:lang w:val="zh-CN"/>
        </w:rPr>
        <w:t>月</w:t>
      </w:r>
      <w:r>
        <w:rPr>
          <w:rFonts w:hint="eastAsia" w:ascii="Times New Roman" w:hAnsi="Times New Roman" w:eastAsia="宋体" w:cs="Times New Roman"/>
          <w:sz w:val="24"/>
          <w:szCs w:val="24"/>
        </w:rPr>
        <w:t>12</w:t>
      </w:r>
      <w:r>
        <w:rPr>
          <w:rFonts w:ascii="Times New Roman" w:hAnsi="Times New Roman" w:eastAsia="宋体" w:cs="Times New Roman"/>
          <w:sz w:val="24"/>
          <w:szCs w:val="24"/>
          <w:lang w:val="zh-CN"/>
        </w:rPr>
        <w:t>日，贵阳市蔬菜技术推广站再次组织标准拟稿人员，汇总送审专家提出的修改意见</w:t>
      </w:r>
      <w:r>
        <w:rPr>
          <w:rFonts w:hint="eastAsia" w:ascii="Times New Roman" w:hAnsi="Times New Roman" w:eastAsia="宋体" w:cs="Times New Roman"/>
          <w:sz w:val="24"/>
          <w:szCs w:val="24"/>
        </w:rPr>
        <w:t>26</w:t>
      </w:r>
      <w:r>
        <w:rPr>
          <w:rFonts w:ascii="Times New Roman" w:hAnsi="Times New Roman" w:eastAsia="宋体" w:cs="Times New Roman"/>
          <w:sz w:val="24"/>
          <w:szCs w:val="24"/>
          <w:lang w:val="zh-CN"/>
        </w:rPr>
        <w:t>条，采纳</w:t>
      </w:r>
      <w:r>
        <w:rPr>
          <w:rFonts w:hint="eastAsia" w:ascii="Times New Roman" w:hAnsi="Times New Roman" w:eastAsia="宋体" w:cs="Times New Roman"/>
          <w:sz w:val="24"/>
          <w:szCs w:val="24"/>
        </w:rPr>
        <w:t>26</w:t>
      </w:r>
      <w:r>
        <w:rPr>
          <w:rFonts w:ascii="Times New Roman" w:hAnsi="Times New Roman" w:eastAsia="宋体" w:cs="Times New Roman"/>
          <w:sz w:val="24"/>
          <w:szCs w:val="24"/>
          <w:lang w:val="zh-CN"/>
        </w:rPr>
        <w:t>条，未采纳</w:t>
      </w:r>
      <w:r>
        <w:rPr>
          <w:rFonts w:hint="eastAsia" w:ascii="Times New Roman" w:hAnsi="Times New Roman" w:eastAsia="宋体" w:cs="Times New Roman"/>
          <w:sz w:val="24"/>
          <w:szCs w:val="24"/>
        </w:rPr>
        <w:t>0</w:t>
      </w:r>
      <w:r>
        <w:rPr>
          <w:rFonts w:ascii="Times New Roman" w:hAnsi="Times New Roman" w:eastAsia="宋体" w:cs="Times New Roman"/>
          <w:sz w:val="24"/>
          <w:szCs w:val="24"/>
          <w:lang w:val="zh-CN"/>
        </w:rPr>
        <w:t>条，并按照专家意见对标准进行统一修改完善。</w:t>
      </w:r>
    </w:p>
    <w:p w14:paraId="7093316D">
      <w:pPr>
        <w:spacing w:line="336" w:lineRule="auto"/>
        <w:ind w:firstLine="480" w:firstLineChars="200"/>
        <w:rPr>
          <w:rFonts w:ascii="等线" w:hAnsi="等线" w:eastAsia="等线" w:cs="Times New Roman"/>
          <w:sz w:val="24"/>
        </w:rPr>
      </w:pPr>
      <w:r>
        <w:rPr>
          <w:rFonts w:hint="eastAsia" w:ascii="Times New Roman" w:hAnsi="Times New Roman" w:eastAsia="宋体" w:cs="Times New Roman"/>
          <w:sz w:val="24"/>
          <w:szCs w:val="24"/>
        </w:rPr>
        <w:t>2025</w:t>
      </w:r>
      <w:r>
        <w:rPr>
          <w:rFonts w:hint="eastAsia" w:ascii="Times New Roman" w:hAnsi="Times New Roman" w:eastAsia="宋体" w:cs="Times New Roman"/>
          <w:sz w:val="24"/>
          <w:szCs w:val="24"/>
          <w:lang w:val="zh-CN"/>
        </w:rPr>
        <w:t>年</w:t>
      </w:r>
      <w:r>
        <w:rPr>
          <w:rFonts w:hint="eastAsia" w:ascii="Times New Roman" w:hAnsi="Times New Roman" w:eastAsia="宋体" w:cs="Times New Roman"/>
          <w:sz w:val="24"/>
          <w:szCs w:val="24"/>
        </w:rPr>
        <w:t>4</w:t>
      </w:r>
      <w:r>
        <w:rPr>
          <w:rFonts w:hint="eastAsia" w:ascii="Times New Roman" w:hAnsi="Times New Roman" w:eastAsia="宋体" w:cs="Times New Roman"/>
          <w:sz w:val="24"/>
          <w:szCs w:val="24"/>
          <w:lang w:val="zh-CN"/>
        </w:rPr>
        <w:t>月</w:t>
      </w:r>
      <w:r>
        <w:rPr>
          <w:rFonts w:hint="eastAsia" w:ascii="Times New Roman" w:hAnsi="Times New Roman" w:eastAsia="宋体" w:cs="Times New Roman"/>
          <w:sz w:val="24"/>
          <w:szCs w:val="24"/>
        </w:rPr>
        <w:t>23</w:t>
      </w:r>
      <w:r>
        <w:rPr>
          <w:rFonts w:hint="eastAsia" w:ascii="Times New Roman" w:hAnsi="Times New Roman" w:eastAsia="宋体" w:cs="Times New Roman"/>
          <w:sz w:val="24"/>
          <w:szCs w:val="24"/>
          <w:lang w:val="zh-CN"/>
        </w:rPr>
        <w:t>日，</w:t>
      </w:r>
      <w:r>
        <w:rPr>
          <w:rFonts w:hint="eastAsia" w:ascii="Times New Roman" w:hAnsi="Times New Roman" w:eastAsia="宋体" w:cs="Times New Roman"/>
          <w:sz w:val="24"/>
          <w:szCs w:val="24"/>
        </w:rPr>
        <w:t>贵阳市蔬菜技术推广站组织各标准拟稿人再次对标准进行统一修改完善，形成面向社会的标准征求意见稿及其编制说明。</w:t>
      </w:r>
    </w:p>
    <w:p w14:paraId="16F8D6EC">
      <w:pPr>
        <w:spacing w:line="336" w:lineRule="auto"/>
        <w:ind w:firstLine="480" w:firstLineChars="200"/>
        <w:rPr>
          <w:rFonts w:ascii="等线" w:hAnsi="等线" w:eastAsia="等线" w:cs="Times New Roman"/>
          <w:sz w:val="24"/>
        </w:rPr>
      </w:pPr>
      <w:r>
        <w:rPr>
          <w:rFonts w:hint="eastAsia" w:ascii="Times New Roman" w:hAnsi="Times New Roman" w:eastAsia="宋体" w:cs="Times New Roman"/>
          <w:sz w:val="24"/>
          <w:szCs w:val="24"/>
        </w:rPr>
        <w:t>2025年 月</w:t>
      </w:r>
      <w:r>
        <w:rPr>
          <w:rFonts w:ascii="Times New Roman" w:hAnsi="Times New Roman" w:eastAsia="宋体" w:cs="Times New Roman"/>
          <w:sz w:val="24"/>
          <w:szCs w:val="24"/>
        </w:rPr>
        <w:t>—</w:t>
      </w:r>
      <w:r>
        <w:rPr>
          <w:rFonts w:hint="eastAsia" w:ascii="Times New Roman" w:hAnsi="Times New Roman" w:eastAsia="宋体" w:cs="Times New Roman"/>
          <w:sz w:val="24"/>
          <w:szCs w:val="24"/>
        </w:rPr>
        <w:t>2025年 月，向贵阳市市场监督管理局提交标准征求意见稿及编制说明申请公开征求意见，通过贵阳市市场监督管理局网站，挂网1个月向社会公开征求意见建议，共收到意见建议？条。在此基础上，进一步完善形成标准送审稿及其编制说明。</w:t>
      </w:r>
    </w:p>
    <w:p w14:paraId="085EA74F">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w:t>
      </w:r>
      <w:r>
        <w:rPr>
          <w:rFonts w:hint="eastAsia" w:ascii="Times New Roman" w:hAnsi="Times New Roman" w:eastAsia="宋体" w:cs="Times New Roman"/>
          <w:b/>
          <w:bCs/>
          <w:color w:val="000000" w:themeColor="text1"/>
          <w:spacing w:val="5"/>
          <w:sz w:val="24"/>
          <w:szCs w:val="24"/>
          <w:shd w:val="clear" w:color="auto" w:fill="FFFFFF"/>
          <w:lang w:val="zh-CN"/>
        </w:rPr>
        <w:t>三</w:t>
      </w:r>
      <w:r>
        <w:rPr>
          <w:rFonts w:hint="eastAsia" w:ascii="Times New Roman" w:hAnsi="Times New Roman" w:eastAsia="宋体" w:cs="Times New Roman"/>
          <w:b/>
          <w:bCs/>
          <w:color w:val="000000" w:themeColor="text1"/>
          <w:spacing w:val="5"/>
          <w:sz w:val="24"/>
          <w:szCs w:val="24"/>
          <w:shd w:val="clear" w:color="auto" w:fill="FFFFFF"/>
        </w:rPr>
        <w:t>）</w:t>
      </w:r>
      <w:r>
        <w:rPr>
          <w:rFonts w:hint="eastAsia" w:ascii="Times New Roman" w:hAnsi="Times New Roman" w:eastAsia="宋体" w:cs="Times New Roman"/>
          <w:b/>
          <w:bCs/>
          <w:color w:val="000000" w:themeColor="text1"/>
          <w:spacing w:val="5"/>
          <w:sz w:val="24"/>
          <w:szCs w:val="24"/>
          <w:shd w:val="clear" w:color="auto" w:fill="FFFFFF"/>
          <w:lang w:val="zh-CN"/>
        </w:rPr>
        <w:t>主要起草人及其工作分工</w:t>
      </w:r>
    </w:p>
    <w:tbl>
      <w:tblPr>
        <w:tblStyle w:val="18"/>
        <w:tblW w:w="8739" w:type="dxa"/>
        <w:jc w:val="center"/>
        <w:tblLayout w:type="fixed"/>
        <w:tblCellMar>
          <w:top w:w="0" w:type="dxa"/>
          <w:left w:w="108" w:type="dxa"/>
          <w:bottom w:w="0" w:type="dxa"/>
          <w:right w:w="108" w:type="dxa"/>
        </w:tblCellMar>
      </w:tblPr>
      <w:tblGrid>
        <w:gridCol w:w="2985"/>
        <w:gridCol w:w="1704"/>
        <w:gridCol w:w="2132"/>
        <w:gridCol w:w="1918"/>
      </w:tblGrid>
      <w:tr w14:paraId="76092A79">
        <w:tblPrEx>
          <w:tblCellMar>
            <w:top w:w="0" w:type="dxa"/>
            <w:left w:w="108" w:type="dxa"/>
            <w:bottom w:w="0" w:type="dxa"/>
            <w:right w:w="108" w:type="dxa"/>
          </w:tblCellMar>
        </w:tblPrEx>
        <w:trPr>
          <w:trHeight w:val="540" w:hRule="atLeast"/>
          <w:tblHeader/>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3E0F0ED1">
            <w:pPr>
              <w:spacing w:line="360" w:lineRule="auto"/>
              <w:jc w:val="center"/>
              <w:rPr>
                <w:rFonts w:ascii="黑体" w:hAnsi="黑体" w:eastAsia="黑体" w:cs="黑体"/>
                <w:sz w:val="24"/>
                <w:szCs w:val="24"/>
              </w:rPr>
            </w:pPr>
            <w:r>
              <w:rPr>
                <w:rFonts w:hint="eastAsia" w:ascii="黑体" w:hAnsi="黑体" w:eastAsia="黑体" w:cs="黑体"/>
                <w:sz w:val="24"/>
                <w:szCs w:val="24"/>
              </w:rPr>
              <w:t>主要起草单位</w:t>
            </w:r>
          </w:p>
        </w:tc>
        <w:tc>
          <w:tcPr>
            <w:tcW w:w="1704" w:type="dxa"/>
            <w:tcBorders>
              <w:top w:val="single" w:color="000000" w:sz="8" w:space="0"/>
              <w:left w:val="nil"/>
              <w:bottom w:val="single" w:color="000000" w:sz="8" w:space="0"/>
              <w:right w:val="single" w:color="000000" w:sz="8" w:space="0"/>
            </w:tcBorders>
            <w:vAlign w:val="center"/>
          </w:tcPr>
          <w:p w14:paraId="15F73458">
            <w:pPr>
              <w:spacing w:line="360" w:lineRule="auto"/>
              <w:jc w:val="center"/>
              <w:rPr>
                <w:rFonts w:ascii="黑体" w:hAnsi="黑体" w:eastAsia="黑体" w:cs="黑体"/>
                <w:sz w:val="24"/>
                <w:szCs w:val="24"/>
              </w:rPr>
            </w:pPr>
            <w:r>
              <w:rPr>
                <w:rFonts w:hint="eastAsia" w:ascii="黑体" w:hAnsi="黑体" w:eastAsia="黑体" w:cs="黑体"/>
                <w:sz w:val="24"/>
                <w:szCs w:val="24"/>
              </w:rPr>
              <w:t>主要起草人员</w:t>
            </w:r>
          </w:p>
        </w:tc>
        <w:tc>
          <w:tcPr>
            <w:tcW w:w="2132" w:type="dxa"/>
            <w:tcBorders>
              <w:top w:val="single" w:color="000000" w:sz="8" w:space="0"/>
              <w:left w:val="nil"/>
              <w:bottom w:val="single" w:color="000000" w:sz="8" w:space="0"/>
              <w:right w:val="single" w:color="000000" w:sz="8" w:space="0"/>
            </w:tcBorders>
            <w:vAlign w:val="center"/>
          </w:tcPr>
          <w:p w14:paraId="27D52A1D">
            <w:pPr>
              <w:spacing w:line="360" w:lineRule="auto"/>
              <w:jc w:val="center"/>
              <w:rPr>
                <w:rFonts w:ascii="黑体" w:hAnsi="黑体" w:eastAsia="黑体" w:cs="黑体"/>
                <w:sz w:val="24"/>
                <w:szCs w:val="24"/>
              </w:rPr>
            </w:pPr>
            <w:r>
              <w:rPr>
                <w:rFonts w:hint="eastAsia" w:ascii="黑体" w:hAnsi="黑体" w:eastAsia="黑体" w:cs="黑体"/>
                <w:sz w:val="24"/>
                <w:szCs w:val="24"/>
              </w:rPr>
              <w:t>职称/职务</w:t>
            </w:r>
          </w:p>
        </w:tc>
        <w:tc>
          <w:tcPr>
            <w:tcW w:w="1918" w:type="dxa"/>
            <w:tcBorders>
              <w:top w:val="single" w:color="000000" w:sz="8" w:space="0"/>
              <w:left w:val="nil"/>
              <w:bottom w:val="single" w:color="000000" w:sz="8" w:space="0"/>
              <w:right w:val="single" w:color="000000" w:sz="8" w:space="0"/>
            </w:tcBorders>
            <w:vAlign w:val="center"/>
          </w:tcPr>
          <w:p w14:paraId="30484FF6">
            <w:pPr>
              <w:spacing w:line="360" w:lineRule="auto"/>
              <w:jc w:val="center"/>
              <w:rPr>
                <w:rFonts w:ascii="黑体" w:hAnsi="黑体" w:eastAsia="黑体" w:cs="黑体"/>
                <w:sz w:val="24"/>
                <w:szCs w:val="24"/>
              </w:rPr>
            </w:pPr>
            <w:r>
              <w:rPr>
                <w:rFonts w:hint="eastAsia" w:ascii="黑体" w:hAnsi="黑体" w:eastAsia="黑体" w:cs="黑体"/>
                <w:sz w:val="24"/>
                <w:szCs w:val="24"/>
              </w:rPr>
              <w:t>任务分工</w:t>
            </w:r>
          </w:p>
        </w:tc>
      </w:tr>
      <w:tr w14:paraId="1E1E4C0F">
        <w:tblPrEx>
          <w:tblCellMar>
            <w:top w:w="0" w:type="dxa"/>
            <w:left w:w="108" w:type="dxa"/>
            <w:bottom w:w="0" w:type="dxa"/>
            <w:right w:w="108" w:type="dxa"/>
          </w:tblCellMar>
        </w:tblPrEx>
        <w:trPr>
          <w:trHeight w:val="480"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55511837">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0AFBFE13">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陈永波</w:t>
            </w:r>
          </w:p>
        </w:tc>
        <w:tc>
          <w:tcPr>
            <w:tcW w:w="2132" w:type="dxa"/>
            <w:tcBorders>
              <w:top w:val="single" w:color="000000" w:sz="8" w:space="0"/>
              <w:left w:val="nil"/>
              <w:bottom w:val="single" w:color="000000" w:sz="8" w:space="0"/>
              <w:right w:val="single" w:color="000000" w:sz="8" w:space="0"/>
            </w:tcBorders>
            <w:vAlign w:val="center"/>
          </w:tcPr>
          <w:p w14:paraId="2D673F4B">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副站长、高级农艺师</w:t>
            </w:r>
          </w:p>
        </w:tc>
        <w:tc>
          <w:tcPr>
            <w:tcW w:w="1918" w:type="dxa"/>
            <w:tcBorders>
              <w:top w:val="single" w:color="000000" w:sz="8" w:space="0"/>
              <w:left w:val="nil"/>
              <w:bottom w:val="single" w:color="000000" w:sz="8" w:space="0"/>
              <w:right w:val="single" w:color="000000" w:sz="8" w:space="0"/>
            </w:tcBorders>
            <w:vAlign w:val="center"/>
          </w:tcPr>
          <w:p w14:paraId="51F740C4">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主持主笔起草标准</w:t>
            </w:r>
          </w:p>
        </w:tc>
      </w:tr>
      <w:tr w14:paraId="4B93151B">
        <w:tblPrEx>
          <w:tblCellMar>
            <w:top w:w="0" w:type="dxa"/>
            <w:left w:w="108" w:type="dxa"/>
            <w:bottom w:w="0" w:type="dxa"/>
            <w:right w:w="108" w:type="dxa"/>
          </w:tblCellMar>
        </w:tblPrEx>
        <w:trPr>
          <w:trHeight w:val="415"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4FC65BFE">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115C6002">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陈德军</w:t>
            </w:r>
          </w:p>
        </w:tc>
        <w:tc>
          <w:tcPr>
            <w:tcW w:w="2132" w:type="dxa"/>
            <w:tcBorders>
              <w:top w:val="single" w:color="000000" w:sz="8" w:space="0"/>
              <w:left w:val="nil"/>
              <w:bottom w:val="single" w:color="000000" w:sz="8" w:space="0"/>
              <w:right w:val="single" w:color="000000" w:sz="8" w:space="0"/>
            </w:tcBorders>
            <w:vAlign w:val="center"/>
          </w:tcPr>
          <w:p w14:paraId="3D90472B">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站长、高级农经师</w:t>
            </w:r>
          </w:p>
        </w:tc>
        <w:tc>
          <w:tcPr>
            <w:tcW w:w="1918" w:type="dxa"/>
            <w:tcBorders>
              <w:top w:val="single" w:color="000000" w:sz="8" w:space="0"/>
              <w:left w:val="nil"/>
              <w:bottom w:val="single" w:color="000000" w:sz="8" w:space="0"/>
              <w:right w:val="single" w:color="000000" w:sz="8" w:space="0"/>
            </w:tcBorders>
            <w:vAlign w:val="center"/>
          </w:tcPr>
          <w:p w14:paraId="057E31CA">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主持标准全面工作</w:t>
            </w:r>
          </w:p>
        </w:tc>
      </w:tr>
      <w:tr w14:paraId="4FD04893">
        <w:tblPrEx>
          <w:tblCellMar>
            <w:top w:w="0" w:type="dxa"/>
            <w:left w:w="108" w:type="dxa"/>
            <w:bottom w:w="0" w:type="dxa"/>
            <w:right w:w="108" w:type="dxa"/>
          </w:tblCellMar>
        </w:tblPrEx>
        <w:trPr>
          <w:trHeight w:val="90" w:hRule="atLeast"/>
          <w:jc w:val="center"/>
        </w:trPr>
        <w:tc>
          <w:tcPr>
            <w:tcW w:w="2985" w:type="dxa"/>
            <w:tcBorders>
              <w:top w:val="single" w:color="000000" w:sz="8" w:space="0"/>
              <w:left w:val="single" w:color="000000" w:sz="8" w:space="0"/>
              <w:bottom w:val="single" w:color="000000" w:sz="8" w:space="0"/>
              <w:right w:val="single" w:color="000000" w:sz="8" w:space="0"/>
            </w:tcBorders>
            <w:shd w:val="clear" w:color="auto" w:fill="auto"/>
            <w:vAlign w:val="center"/>
          </w:tcPr>
          <w:p w14:paraId="3168CF92">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贵州力合农业科技有限公司</w:t>
            </w:r>
          </w:p>
        </w:tc>
        <w:tc>
          <w:tcPr>
            <w:tcW w:w="1704" w:type="dxa"/>
            <w:tcBorders>
              <w:top w:val="single" w:color="000000" w:sz="8" w:space="0"/>
              <w:left w:val="nil"/>
              <w:bottom w:val="single" w:color="000000" w:sz="8" w:space="0"/>
              <w:right w:val="single" w:color="000000" w:sz="8" w:space="0"/>
            </w:tcBorders>
            <w:shd w:val="clear" w:color="auto" w:fill="auto"/>
            <w:vAlign w:val="center"/>
          </w:tcPr>
          <w:p w14:paraId="7D336E9B">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管正策</w:t>
            </w:r>
          </w:p>
        </w:tc>
        <w:tc>
          <w:tcPr>
            <w:tcW w:w="2132" w:type="dxa"/>
            <w:tcBorders>
              <w:top w:val="single" w:color="000000" w:sz="8" w:space="0"/>
              <w:left w:val="nil"/>
              <w:bottom w:val="single" w:color="000000" w:sz="8" w:space="0"/>
              <w:right w:val="single" w:color="000000" w:sz="8" w:space="0"/>
            </w:tcBorders>
            <w:shd w:val="clear" w:color="auto" w:fill="auto"/>
            <w:vAlign w:val="center"/>
          </w:tcPr>
          <w:p w14:paraId="1575A940">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高级农艺师</w:t>
            </w:r>
          </w:p>
        </w:tc>
        <w:tc>
          <w:tcPr>
            <w:tcW w:w="1918" w:type="dxa"/>
            <w:tcBorders>
              <w:top w:val="single" w:color="000000" w:sz="8" w:space="0"/>
              <w:left w:val="nil"/>
              <w:bottom w:val="single" w:color="000000" w:sz="8" w:space="0"/>
              <w:right w:val="single" w:color="000000" w:sz="8" w:space="0"/>
            </w:tcBorders>
            <w:vAlign w:val="center"/>
          </w:tcPr>
          <w:p w14:paraId="0CF40890">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主要起草人</w:t>
            </w:r>
          </w:p>
        </w:tc>
      </w:tr>
      <w:tr w14:paraId="495B9B40">
        <w:tblPrEx>
          <w:tblCellMar>
            <w:top w:w="0" w:type="dxa"/>
            <w:left w:w="108" w:type="dxa"/>
            <w:bottom w:w="0" w:type="dxa"/>
            <w:right w:w="108" w:type="dxa"/>
          </w:tblCellMar>
        </w:tblPrEx>
        <w:trPr>
          <w:trHeight w:val="402"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5F2F5AF5">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2EE980DF">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刘  江</w:t>
            </w:r>
          </w:p>
        </w:tc>
        <w:tc>
          <w:tcPr>
            <w:tcW w:w="2132" w:type="dxa"/>
            <w:tcBorders>
              <w:top w:val="single" w:color="000000" w:sz="8" w:space="0"/>
              <w:left w:val="nil"/>
              <w:bottom w:val="single" w:color="000000" w:sz="8" w:space="0"/>
              <w:right w:val="single" w:color="000000" w:sz="8" w:space="0"/>
            </w:tcBorders>
            <w:vAlign w:val="center"/>
          </w:tcPr>
          <w:p w14:paraId="2A99BF99">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农艺师</w:t>
            </w:r>
          </w:p>
        </w:tc>
        <w:tc>
          <w:tcPr>
            <w:tcW w:w="1918" w:type="dxa"/>
            <w:tcBorders>
              <w:top w:val="single" w:color="000000" w:sz="8" w:space="0"/>
              <w:left w:val="nil"/>
              <w:bottom w:val="single" w:color="000000" w:sz="8" w:space="0"/>
              <w:right w:val="single" w:color="000000" w:sz="8" w:space="0"/>
            </w:tcBorders>
            <w:vAlign w:val="center"/>
          </w:tcPr>
          <w:p w14:paraId="5C72DF12">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主要起草人</w:t>
            </w:r>
          </w:p>
        </w:tc>
      </w:tr>
      <w:tr w14:paraId="7D06965C">
        <w:tblPrEx>
          <w:tblCellMar>
            <w:top w:w="0" w:type="dxa"/>
            <w:left w:w="108" w:type="dxa"/>
            <w:bottom w:w="0" w:type="dxa"/>
            <w:right w:w="108" w:type="dxa"/>
          </w:tblCellMar>
        </w:tblPrEx>
        <w:trPr>
          <w:trHeight w:val="90"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721A4D2D">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18CCFE64">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任雪莲</w:t>
            </w:r>
          </w:p>
        </w:tc>
        <w:tc>
          <w:tcPr>
            <w:tcW w:w="2132" w:type="dxa"/>
            <w:tcBorders>
              <w:top w:val="single" w:color="000000" w:sz="8" w:space="0"/>
              <w:left w:val="nil"/>
              <w:bottom w:val="single" w:color="000000" w:sz="8" w:space="0"/>
              <w:right w:val="single" w:color="000000" w:sz="8" w:space="0"/>
            </w:tcBorders>
            <w:vAlign w:val="center"/>
          </w:tcPr>
          <w:p w14:paraId="184429EA">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农艺师</w:t>
            </w:r>
          </w:p>
        </w:tc>
        <w:tc>
          <w:tcPr>
            <w:tcW w:w="1918" w:type="dxa"/>
            <w:tcBorders>
              <w:top w:val="single" w:color="000000" w:sz="8" w:space="0"/>
              <w:left w:val="nil"/>
              <w:bottom w:val="single" w:color="000000" w:sz="8" w:space="0"/>
              <w:right w:val="single" w:color="000000" w:sz="8" w:space="0"/>
            </w:tcBorders>
            <w:vAlign w:val="center"/>
          </w:tcPr>
          <w:p w14:paraId="49F070A1">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主要起草人</w:t>
            </w:r>
          </w:p>
        </w:tc>
      </w:tr>
      <w:tr w14:paraId="54D217F6">
        <w:tblPrEx>
          <w:tblCellMar>
            <w:top w:w="0" w:type="dxa"/>
            <w:left w:w="108" w:type="dxa"/>
            <w:bottom w:w="0" w:type="dxa"/>
            <w:right w:w="108" w:type="dxa"/>
          </w:tblCellMar>
        </w:tblPrEx>
        <w:trPr>
          <w:trHeight w:val="402"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412671B6">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贵阳市蔬菜技术推广站</w:t>
            </w:r>
          </w:p>
        </w:tc>
        <w:tc>
          <w:tcPr>
            <w:tcW w:w="1704" w:type="dxa"/>
            <w:tcBorders>
              <w:top w:val="single" w:color="000000" w:sz="8" w:space="0"/>
              <w:left w:val="nil"/>
              <w:bottom w:val="single" w:color="000000" w:sz="8" w:space="0"/>
              <w:right w:val="single" w:color="000000" w:sz="8" w:space="0"/>
            </w:tcBorders>
            <w:vAlign w:val="center"/>
          </w:tcPr>
          <w:p w14:paraId="09C3593D">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赵  宏</w:t>
            </w:r>
          </w:p>
        </w:tc>
        <w:tc>
          <w:tcPr>
            <w:tcW w:w="2132" w:type="dxa"/>
            <w:tcBorders>
              <w:top w:val="single" w:color="000000" w:sz="8" w:space="0"/>
              <w:left w:val="nil"/>
              <w:bottom w:val="single" w:color="000000" w:sz="8" w:space="0"/>
              <w:right w:val="single" w:color="000000" w:sz="8" w:space="0"/>
            </w:tcBorders>
            <w:vAlign w:val="center"/>
          </w:tcPr>
          <w:p w14:paraId="433268BE">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正高级农艺师</w:t>
            </w:r>
          </w:p>
        </w:tc>
        <w:tc>
          <w:tcPr>
            <w:tcW w:w="1918" w:type="dxa"/>
            <w:tcBorders>
              <w:top w:val="single" w:color="000000" w:sz="8" w:space="0"/>
              <w:left w:val="nil"/>
              <w:bottom w:val="single" w:color="000000" w:sz="8" w:space="0"/>
              <w:right w:val="single" w:color="000000" w:sz="8" w:space="0"/>
            </w:tcBorders>
            <w:vAlign w:val="center"/>
          </w:tcPr>
          <w:p w14:paraId="485D22EB">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参与起草</w:t>
            </w:r>
          </w:p>
        </w:tc>
      </w:tr>
      <w:tr w14:paraId="205B5591">
        <w:tblPrEx>
          <w:tblCellMar>
            <w:top w:w="0" w:type="dxa"/>
            <w:left w:w="108" w:type="dxa"/>
            <w:bottom w:w="0" w:type="dxa"/>
            <w:right w:w="108" w:type="dxa"/>
          </w:tblCellMar>
        </w:tblPrEx>
        <w:trPr>
          <w:trHeight w:val="402"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5DB943C8">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花溪区农业农村局</w:t>
            </w:r>
          </w:p>
        </w:tc>
        <w:tc>
          <w:tcPr>
            <w:tcW w:w="1704" w:type="dxa"/>
            <w:tcBorders>
              <w:top w:val="single" w:color="000000" w:sz="8" w:space="0"/>
              <w:left w:val="nil"/>
              <w:bottom w:val="single" w:color="000000" w:sz="8" w:space="0"/>
              <w:right w:val="single" w:color="000000" w:sz="8" w:space="0"/>
            </w:tcBorders>
            <w:vAlign w:val="center"/>
          </w:tcPr>
          <w:p w14:paraId="2848A37D">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杨金燕</w:t>
            </w:r>
          </w:p>
        </w:tc>
        <w:tc>
          <w:tcPr>
            <w:tcW w:w="2132" w:type="dxa"/>
            <w:tcBorders>
              <w:top w:val="single" w:color="000000" w:sz="8" w:space="0"/>
              <w:left w:val="nil"/>
              <w:bottom w:val="single" w:color="000000" w:sz="8" w:space="0"/>
              <w:right w:val="single" w:color="000000" w:sz="8" w:space="0"/>
            </w:tcBorders>
            <w:vAlign w:val="center"/>
          </w:tcPr>
          <w:p w14:paraId="278205C6">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农艺师</w:t>
            </w:r>
          </w:p>
        </w:tc>
        <w:tc>
          <w:tcPr>
            <w:tcW w:w="1918" w:type="dxa"/>
            <w:tcBorders>
              <w:top w:val="single" w:color="000000" w:sz="8" w:space="0"/>
              <w:left w:val="nil"/>
              <w:bottom w:val="single" w:color="000000" w:sz="8" w:space="0"/>
              <w:right w:val="single" w:color="000000" w:sz="8" w:space="0"/>
            </w:tcBorders>
            <w:vAlign w:val="center"/>
          </w:tcPr>
          <w:p w14:paraId="1D753375">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收集试验数据总结</w:t>
            </w:r>
          </w:p>
        </w:tc>
      </w:tr>
      <w:tr w14:paraId="4ADAC192">
        <w:tblPrEx>
          <w:tblCellMar>
            <w:top w:w="0" w:type="dxa"/>
            <w:left w:w="108" w:type="dxa"/>
            <w:bottom w:w="0" w:type="dxa"/>
            <w:right w:w="108" w:type="dxa"/>
          </w:tblCellMar>
        </w:tblPrEx>
        <w:trPr>
          <w:trHeight w:val="402"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19689536">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开阳县农业农村局</w:t>
            </w:r>
          </w:p>
        </w:tc>
        <w:tc>
          <w:tcPr>
            <w:tcW w:w="1704" w:type="dxa"/>
            <w:tcBorders>
              <w:top w:val="single" w:color="000000" w:sz="8" w:space="0"/>
              <w:left w:val="nil"/>
              <w:bottom w:val="single" w:color="000000" w:sz="8" w:space="0"/>
              <w:right w:val="single" w:color="000000" w:sz="8" w:space="0"/>
            </w:tcBorders>
            <w:vAlign w:val="center"/>
          </w:tcPr>
          <w:p w14:paraId="7DEDC7AD">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杨  森</w:t>
            </w:r>
          </w:p>
        </w:tc>
        <w:tc>
          <w:tcPr>
            <w:tcW w:w="2132" w:type="dxa"/>
            <w:tcBorders>
              <w:top w:val="single" w:color="000000" w:sz="8" w:space="0"/>
              <w:left w:val="nil"/>
              <w:bottom w:val="single" w:color="000000" w:sz="8" w:space="0"/>
              <w:right w:val="single" w:color="000000" w:sz="8" w:space="0"/>
            </w:tcBorders>
            <w:vAlign w:val="center"/>
          </w:tcPr>
          <w:p w14:paraId="63155AA5">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站长、助理农艺师</w:t>
            </w:r>
          </w:p>
        </w:tc>
        <w:tc>
          <w:tcPr>
            <w:tcW w:w="1918" w:type="dxa"/>
            <w:tcBorders>
              <w:top w:val="single" w:color="000000" w:sz="8" w:space="0"/>
              <w:left w:val="nil"/>
              <w:bottom w:val="single" w:color="000000" w:sz="8" w:space="0"/>
              <w:right w:val="single" w:color="000000" w:sz="8" w:space="0"/>
            </w:tcBorders>
            <w:vAlign w:val="center"/>
          </w:tcPr>
          <w:p w14:paraId="2D960406">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收集试验数据总结</w:t>
            </w:r>
          </w:p>
        </w:tc>
      </w:tr>
      <w:tr w14:paraId="7370FFFC">
        <w:tblPrEx>
          <w:tblCellMar>
            <w:top w:w="0" w:type="dxa"/>
            <w:left w:w="108" w:type="dxa"/>
            <w:bottom w:w="0" w:type="dxa"/>
            <w:right w:w="108" w:type="dxa"/>
          </w:tblCellMar>
        </w:tblPrEx>
        <w:trPr>
          <w:trHeight w:val="402"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5E4A23A1">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息烽县农业农村局</w:t>
            </w:r>
          </w:p>
        </w:tc>
        <w:tc>
          <w:tcPr>
            <w:tcW w:w="1704" w:type="dxa"/>
            <w:tcBorders>
              <w:top w:val="single" w:color="000000" w:sz="8" w:space="0"/>
              <w:left w:val="nil"/>
              <w:bottom w:val="single" w:color="000000" w:sz="8" w:space="0"/>
              <w:right w:val="single" w:color="000000" w:sz="8" w:space="0"/>
            </w:tcBorders>
            <w:vAlign w:val="center"/>
          </w:tcPr>
          <w:p w14:paraId="48652185">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莫邦兰</w:t>
            </w:r>
          </w:p>
        </w:tc>
        <w:tc>
          <w:tcPr>
            <w:tcW w:w="2132" w:type="dxa"/>
            <w:tcBorders>
              <w:top w:val="single" w:color="000000" w:sz="8" w:space="0"/>
              <w:left w:val="nil"/>
              <w:bottom w:val="single" w:color="000000" w:sz="8" w:space="0"/>
              <w:right w:val="single" w:color="000000" w:sz="8" w:space="0"/>
            </w:tcBorders>
            <w:vAlign w:val="center"/>
          </w:tcPr>
          <w:p w14:paraId="6993853C">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农艺师</w:t>
            </w:r>
          </w:p>
        </w:tc>
        <w:tc>
          <w:tcPr>
            <w:tcW w:w="1918" w:type="dxa"/>
            <w:tcBorders>
              <w:top w:val="single" w:color="000000" w:sz="8" w:space="0"/>
              <w:left w:val="nil"/>
              <w:bottom w:val="single" w:color="000000" w:sz="8" w:space="0"/>
              <w:right w:val="single" w:color="000000" w:sz="8" w:space="0"/>
            </w:tcBorders>
            <w:vAlign w:val="center"/>
          </w:tcPr>
          <w:p w14:paraId="6ED12D87">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收集试验数据总结</w:t>
            </w:r>
          </w:p>
        </w:tc>
      </w:tr>
      <w:tr w14:paraId="38FC3400">
        <w:tblPrEx>
          <w:tblCellMar>
            <w:top w:w="0" w:type="dxa"/>
            <w:left w:w="108" w:type="dxa"/>
            <w:bottom w:w="0" w:type="dxa"/>
            <w:right w:w="108" w:type="dxa"/>
          </w:tblCellMar>
        </w:tblPrEx>
        <w:trPr>
          <w:trHeight w:val="563"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71A913DE">
            <w:pPr>
              <w:jc w:val="center"/>
              <w:rPr>
                <w:rFonts w:ascii="仿宋_GB2312" w:hAnsi="仿宋_GB2312" w:eastAsia="宋体" w:cs="仿宋_GB2312"/>
                <w:szCs w:val="21"/>
              </w:rPr>
            </w:pPr>
            <w:r>
              <w:rPr>
                <w:rFonts w:hint="eastAsia" w:ascii="仿宋_GB2312" w:hAnsi="仿宋_GB2312" w:eastAsia="宋体" w:cs="仿宋_GB2312"/>
                <w:szCs w:val="21"/>
              </w:rPr>
              <w:t>贵安新区高峰镇农业农村综合服务中心</w:t>
            </w:r>
          </w:p>
        </w:tc>
        <w:tc>
          <w:tcPr>
            <w:tcW w:w="1704" w:type="dxa"/>
            <w:tcBorders>
              <w:top w:val="single" w:color="000000" w:sz="8" w:space="0"/>
              <w:left w:val="nil"/>
              <w:bottom w:val="single" w:color="000000" w:sz="8" w:space="0"/>
              <w:right w:val="single" w:color="000000" w:sz="8" w:space="0"/>
            </w:tcBorders>
            <w:vAlign w:val="center"/>
          </w:tcPr>
          <w:p w14:paraId="7738012F">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刘文启</w:t>
            </w:r>
          </w:p>
        </w:tc>
        <w:tc>
          <w:tcPr>
            <w:tcW w:w="2132" w:type="dxa"/>
            <w:tcBorders>
              <w:top w:val="single" w:color="000000" w:sz="8" w:space="0"/>
              <w:left w:val="nil"/>
              <w:bottom w:val="single" w:color="000000" w:sz="8" w:space="0"/>
              <w:right w:val="single" w:color="000000" w:sz="8" w:space="0"/>
            </w:tcBorders>
            <w:vAlign w:val="center"/>
          </w:tcPr>
          <w:p w14:paraId="080F7EEB">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农艺师</w:t>
            </w:r>
          </w:p>
        </w:tc>
        <w:tc>
          <w:tcPr>
            <w:tcW w:w="1918" w:type="dxa"/>
            <w:tcBorders>
              <w:top w:val="single" w:color="000000" w:sz="8" w:space="0"/>
              <w:left w:val="nil"/>
              <w:bottom w:val="single" w:color="000000" w:sz="8" w:space="0"/>
              <w:right w:val="single" w:color="000000" w:sz="8" w:space="0"/>
            </w:tcBorders>
            <w:vAlign w:val="center"/>
          </w:tcPr>
          <w:p w14:paraId="3F27D28C">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收集试验数据总结</w:t>
            </w:r>
          </w:p>
        </w:tc>
      </w:tr>
      <w:tr w14:paraId="60AF5058">
        <w:tblPrEx>
          <w:tblCellMar>
            <w:top w:w="0" w:type="dxa"/>
            <w:left w:w="108" w:type="dxa"/>
            <w:bottom w:w="0" w:type="dxa"/>
            <w:right w:w="108" w:type="dxa"/>
          </w:tblCellMar>
        </w:tblPrEx>
        <w:trPr>
          <w:trHeight w:val="402" w:hRule="atLeast"/>
          <w:jc w:val="center"/>
        </w:trPr>
        <w:tc>
          <w:tcPr>
            <w:tcW w:w="2985" w:type="dxa"/>
            <w:tcBorders>
              <w:top w:val="single" w:color="000000" w:sz="8" w:space="0"/>
              <w:left w:val="single" w:color="000000" w:sz="8" w:space="0"/>
              <w:bottom w:val="single" w:color="000000" w:sz="8" w:space="0"/>
              <w:right w:val="single" w:color="000000" w:sz="8" w:space="0"/>
            </w:tcBorders>
            <w:vAlign w:val="center"/>
          </w:tcPr>
          <w:p w14:paraId="19044EBC">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贵州力合农业科技有限公司</w:t>
            </w:r>
          </w:p>
        </w:tc>
        <w:tc>
          <w:tcPr>
            <w:tcW w:w="1704" w:type="dxa"/>
            <w:tcBorders>
              <w:top w:val="single" w:color="000000" w:sz="8" w:space="0"/>
              <w:left w:val="nil"/>
              <w:bottom w:val="single" w:color="000000" w:sz="8" w:space="0"/>
              <w:right w:val="single" w:color="000000" w:sz="8" w:space="0"/>
            </w:tcBorders>
            <w:vAlign w:val="center"/>
          </w:tcPr>
          <w:p w14:paraId="0D8D9378">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王开猛</w:t>
            </w:r>
          </w:p>
        </w:tc>
        <w:tc>
          <w:tcPr>
            <w:tcW w:w="2132" w:type="dxa"/>
            <w:tcBorders>
              <w:top w:val="single" w:color="000000" w:sz="8" w:space="0"/>
              <w:left w:val="nil"/>
              <w:bottom w:val="single" w:color="000000" w:sz="8" w:space="0"/>
              <w:right w:val="single" w:color="000000" w:sz="8" w:space="0"/>
            </w:tcBorders>
            <w:vAlign w:val="center"/>
          </w:tcPr>
          <w:p w14:paraId="271B04E6">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 xml:space="preserve">总经理 </w:t>
            </w:r>
          </w:p>
        </w:tc>
        <w:tc>
          <w:tcPr>
            <w:tcW w:w="1918" w:type="dxa"/>
            <w:tcBorders>
              <w:top w:val="single" w:color="000000" w:sz="8" w:space="0"/>
              <w:left w:val="nil"/>
              <w:bottom w:val="single" w:color="000000" w:sz="8" w:space="0"/>
              <w:right w:val="single" w:color="000000" w:sz="8" w:space="0"/>
            </w:tcBorders>
            <w:vAlign w:val="center"/>
          </w:tcPr>
          <w:p w14:paraId="46C6A5A0">
            <w:pPr>
              <w:spacing w:line="360" w:lineRule="auto"/>
              <w:jc w:val="center"/>
              <w:rPr>
                <w:rFonts w:ascii="仿宋_GB2312" w:hAnsi="仿宋_GB2312" w:eastAsia="宋体" w:cs="仿宋_GB2312"/>
                <w:szCs w:val="21"/>
              </w:rPr>
            </w:pPr>
            <w:r>
              <w:rPr>
                <w:rFonts w:hint="eastAsia" w:ascii="仿宋_GB2312" w:hAnsi="仿宋_GB2312" w:eastAsia="宋体" w:cs="仿宋_GB2312"/>
                <w:szCs w:val="21"/>
              </w:rPr>
              <w:t>参与标准起草</w:t>
            </w:r>
          </w:p>
        </w:tc>
      </w:tr>
    </w:tbl>
    <w:p w14:paraId="1E5ADBC7">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三、主要条款的说明及确定依据</w:t>
      </w:r>
    </w:p>
    <w:p w14:paraId="0C0CD61B">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（一）标准编制依据</w:t>
      </w:r>
    </w:p>
    <w:p w14:paraId="41D5AB91">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bookmarkStart w:id="0" w:name="_Hlk151740051"/>
      <w:r>
        <w:rPr>
          <w:rFonts w:hint="eastAsia" w:ascii="Times New Roman" w:hAnsi="Times New Roman" w:eastAsia="宋体" w:cs="Times New Roman"/>
          <w:color w:val="000000" w:themeColor="text1"/>
          <w:spacing w:val="5"/>
          <w:sz w:val="24"/>
          <w:szCs w:val="24"/>
          <w:shd w:val="clear" w:color="auto" w:fill="FFFFFF"/>
        </w:rPr>
        <w:t>1. GB 3095《环境空气质量标准》、GB 4404.2《粮食作物种子  第二部分：豆类》、GB 5084《农田灌溉水质标准》、GB 15618《土壤环境质量  农用地土壤污染风险管控标准（试行）》。</w:t>
      </w:r>
    </w:p>
    <w:p w14:paraId="576A93D4">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2. NY/T 391《绿色食品  产地环境质量》、NY/T 1276《农药安全使用规范总则》。</w:t>
      </w:r>
    </w:p>
    <w:bookmarkEnd w:id="0"/>
    <w:p w14:paraId="401FD4A3">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（二）主要条款说明及确定</w:t>
      </w:r>
    </w:p>
    <w:p w14:paraId="340625BA">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1. 第4章产地环境</w:t>
      </w:r>
    </w:p>
    <w:p w14:paraId="20729097">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规定了稻田蚕豆接茬栽培所需的海拔范围、气候条件、土壤环境质量、大气质量、灌溉水质的相关要求。</w:t>
      </w:r>
    </w:p>
    <w:p w14:paraId="6580F943">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主要确定依据：直接引用GB 15618、GB 3095、GB 5084、NY/T 391，并结合当地的环境条件和稻田蚕豆栽培的要求给出。</w:t>
      </w:r>
    </w:p>
    <w:p w14:paraId="74F80AE3">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第5章选地整厢</w:t>
      </w:r>
    </w:p>
    <w:p w14:paraId="2962ACF2">
      <w:pPr>
        <w:spacing w:line="360" w:lineRule="auto"/>
        <w:ind w:firstLine="500" w:firstLineChars="200"/>
        <w:rPr>
          <w:rFonts w:ascii="Times New Roman" w:hAnsi="Times New Roman" w:eastAsia="宋体" w:cs="Times New Roman"/>
          <w:spacing w:val="5"/>
          <w:sz w:val="24"/>
          <w:szCs w:val="24"/>
          <w:shd w:val="clear" w:color="auto" w:fill="FFFFFF"/>
        </w:rPr>
      </w:pPr>
      <w:bookmarkStart w:id="1" w:name="_Hlk189903004"/>
      <w:r>
        <w:rPr>
          <w:rFonts w:hint="eastAsia" w:ascii="Times New Roman" w:hAnsi="Times New Roman" w:eastAsia="宋体" w:cs="Times New Roman"/>
          <w:color w:val="000000" w:themeColor="text1"/>
          <w:spacing w:val="5"/>
          <w:sz w:val="24"/>
          <w:szCs w:val="24"/>
          <w:shd w:val="clear" w:color="auto" w:fill="FFFFFF"/>
        </w:rPr>
        <w:t>规定了宜选择阳光充足，排水良好，土层深厚，酸碱度中性或微碱性的田块，</w:t>
      </w:r>
      <w:r>
        <w:rPr>
          <w:rFonts w:hint="eastAsia" w:ascii="Times New Roman" w:hAnsi="Times New Roman" w:eastAsia="宋体" w:cs="Times New Roman"/>
          <w:spacing w:val="5"/>
          <w:sz w:val="24"/>
          <w:szCs w:val="24"/>
          <w:shd w:val="clear" w:color="auto" w:fill="FFFFFF"/>
        </w:rPr>
        <w:t>播种</w:t>
      </w:r>
      <w:r>
        <w:rPr>
          <w:rFonts w:ascii="Times New Roman" w:hAnsi="Times New Roman" w:eastAsia="宋体" w:cs="Times New Roman"/>
          <w:spacing w:val="5"/>
          <w:sz w:val="24"/>
          <w:szCs w:val="24"/>
          <w:shd w:val="clear" w:color="auto" w:fill="FFFFFF"/>
        </w:rPr>
        <w:t>7 d前每667 m</w:t>
      </w:r>
      <w:r>
        <w:rPr>
          <w:rFonts w:ascii="Times New Roman" w:hAnsi="Times New Roman" w:eastAsia="宋体" w:cs="Times New Roman"/>
          <w:spacing w:val="5"/>
          <w:sz w:val="24"/>
          <w:szCs w:val="24"/>
          <w:shd w:val="clear" w:color="auto" w:fill="FFFFFF"/>
          <w:vertAlign w:val="superscript"/>
        </w:rPr>
        <w:t>2</w:t>
      </w:r>
      <w:r>
        <w:rPr>
          <w:rFonts w:ascii="Times New Roman" w:hAnsi="Times New Roman" w:eastAsia="宋体" w:cs="Times New Roman"/>
          <w:spacing w:val="5"/>
          <w:sz w:val="24"/>
          <w:szCs w:val="24"/>
          <w:shd w:val="clear" w:color="auto" w:fill="FFFFFF"/>
        </w:rPr>
        <w:t>施腐熟有机肥300 kg、复合肥100 kg作基肥。翻耕方式栽培，深翻做厢，厢宽1 m，厢面0.8 m，沟宽、深各0.3 m，每厢播种2行。</w:t>
      </w:r>
    </w:p>
    <w:bookmarkEnd w:id="1"/>
    <w:p w14:paraId="42ED07B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根据蚕豆所需生长环境和实践经验总结提炼作出的要求。实践证明，蚕豆适宜在排水性良好、土层深厚而又富含有机质的中性或微碱性土壤中生长；蚕豆是一种需肥较多的作物，在播种前一周需要施足底肥促进发芽和生长。从花溪区黔陶乡、贵安新区高峰镇等地生产经验来看，通过</w:t>
      </w:r>
      <w:bookmarkStart w:id="2" w:name="OLE_LINK3"/>
      <w:bookmarkStart w:id="3" w:name="OLE_LINK4"/>
      <w:r>
        <w:rPr>
          <w:rFonts w:hint="eastAsia" w:ascii="Times New Roman" w:hAnsi="Times New Roman" w:eastAsia="宋体" w:cs="Times New Roman"/>
          <w:color w:val="000000" w:themeColor="text1"/>
          <w:spacing w:val="5"/>
          <w:sz w:val="24"/>
          <w:szCs w:val="24"/>
          <w:shd w:val="clear" w:color="auto" w:fill="FFFFFF"/>
        </w:rPr>
        <w:t>深翻耕</w:t>
      </w:r>
      <w:bookmarkEnd w:id="2"/>
      <w:bookmarkEnd w:id="3"/>
      <w:r>
        <w:rPr>
          <w:rFonts w:hint="eastAsia" w:ascii="Times New Roman" w:hAnsi="Times New Roman" w:eastAsia="宋体" w:cs="Times New Roman"/>
          <w:color w:val="000000" w:themeColor="text1"/>
          <w:spacing w:val="5"/>
          <w:sz w:val="24"/>
          <w:szCs w:val="24"/>
          <w:shd w:val="clear" w:color="auto" w:fill="FFFFFF"/>
        </w:rPr>
        <w:t>能切断土壤的毛细管，阻止土壤深处的水分蒸发，起到春墒秋保的作用，同时增加土壤通透性。</w:t>
      </w:r>
      <w:bookmarkStart w:id="4" w:name="OLE_LINK6"/>
      <w:bookmarkStart w:id="5" w:name="OLE_LINK5"/>
      <w:r>
        <w:rPr>
          <w:rFonts w:hint="eastAsia" w:ascii="Times New Roman" w:hAnsi="Times New Roman" w:eastAsia="宋体" w:cs="Times New Roman"/>
          <w:color w:val="000000" w:themeColor="text1"/>
          <w:spacing w:val="5"/>
          <w:sz w:val="24"/>
          <w:szCs w:val="24"/>
          <w:shd w:val="clear" w:color="auto" w:fill="FFFFFF"/>
        </w:rPr>
        <w:t>由于蚕豆属于喜光作物，以南北方向开厢</w:t>
      </w:r>
      <w:bookmarkEnd w:id="4"/>
      <w:bookmarkEnd w:id="5"/>
      <w:r>
        <w:rPr>
          <w:rFonts w:hint="eastAsia" w:ascii="Times New Roman" w:hAnsi="Times New Roman" w:eastAsia="宋体" w:cs="Times New Roman"/>
          <w:color w:val="000000" w:themeColor="text1"/>
          <w:spacing w:val="5"/>
          <w:sz w:val="24"/>
          <w:szCs w:val="24"/>
          <w:shd w:val="clear" w:color="auto" w:fill="FFFFFF"/>
        </w:rPr>
        <w:t>，可以最大限度地吸收和利用阳光，保证充足的光照。开厢厢宽</w:t>
      </w:r>
      <w:r>
        <w:rPr>
          <w:rFonts w:ascii="Times New Roman" w:hAnsi="Times New Roman" w:eastAsia="宋体" w:cs="Times New Roman"/>
          <w:color w:val="000000" w:themeColor="text1"/>
          <w:spacing w:val="5"/>
          <w:sz w:val="24"/>
          <w:szCs w:val="24"/>
          <w:shd w:val="clear" w:color="auto" w:fill="FFFFFF"/>
        </w:rPr>
        <w:t>1 m，厢面0.8 m</w:t>
      </w:r>
      <w:r>
        <w:rPr>
          <w:rFonts w:hint="eastAsia" w:ascii="Times New Roman" w:hAnsi="Times New Roman" w:eastAsia="宋体" w:cs="Times New Roman"/>
          <w:color w:val="000000" w:themeColor="text1"/>
          <w:spacing w:val="5"/>
          <w:sz w:val="24"/>
          <w:szCs w:val="24"/>
          <w:shd w:val="clear" w:color="auto" w:fill="FFFFFF"/>
        </w:rPr>
        <w:t>，开沟的宽度、深度各0.3m，每厢播种2行利于提高产量。</w:t>
      </w:r>
    </w:p>
    <w:p w14:paraId="330B8B63">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第6章品种选择</w:t>
      </w:r>
    </w:p>
    <w:p w14:paraId="34344374">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规定了选择产量高、品质优、抗病力强、商品性高、适合本区域的贵农</w:t>
      </w:r>
      <w:r>
        <w:rPr>
          <w:rFonts w:ascii="Times New Roman" w:hAnsi="Times New Roman" w:eastAsia="宋体" w:cs="Times New Roman"/>
          <w:color w:val="000000" w:themeColor="text1"/>
          <w:spacing w:val="5"/>
          <w:sz w:val="24"/>
          <w:szCs w:val="24"/>
          <w:shd w:val="clear" w:color="auto" w:fill="FFFFFF"/>
        </w:rPr>
        <w:t>3号、贵农21号等优良品种。</w:t>
      </w:r>
    </w:p>
    <w:p w14:paraId="2F7159C1">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根据蚕豆生物学特性和实践经验总结提炼作出的要求。实践证明，云豆324、云南农家蚕豆、大志蚕豆、贵农21号、贵农3号、贵农33号、七粒香、贵农圆满等8个品种产量高、抗病性强，可作为适宜贵州秋冬季生产上推广应用品种。结合贵州省和贵阳市生产实际，贵农3号、贵农21号两个品种在稻田接茬栽培中表现好，因此可作为稻田接茬栽培品种进行推广。</w:t>
      </w:r>
    </w:p>
    <w:p w14:paraId="41EC2FED">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第7章种子处理</w:t>
      </w:r>
    </w:p>
    <w:p w14:paraId="48A89C4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规定了（1）种子质量：精选均匀饱满、无病斑、无霉烂、无虫蛀、无损伤的种子，种子质量符合</w:t>
      </w:r>
      <w:r>
        <w:rPr>
          <w:rFonts w:ascii="Times New Roman" w:hAnsi="Times New Roman" w:eastAsia="宋体" w:cs="Times New Roman"/>
          <w:color w:val="000000" w:themeColor="text1"/>
          <w:spacing w:val="5"/>
          <w:sz w:val="24"/>
          <w:szCs w:val="24"/>
          <w:shd w:val="clear" w:color="auto" w:fill="FFFFFF"/>
        </w:rPr>
        <w:t>GB 4404.2的规定。</w:t>
      </w:r>
      <w:r>
        <w:rPr>
          <w:rFonts w:hint="eastAsia" w:ascii="Times New Roman" w:hAnsi="Times New Roman" w:eastAsia="宋体" w:cs="Times New Roman"/>
          <w:color w:val="000000" w:themeColor="text1"/>
          <w:spacing w:val="5"/>
          <w:sz w:val="24"/>
          <w:szCs w:val="24"/>
          <w:shd w:val="clear" w:color="auto" w:fill="FFFFFF"/>
        </w:rPr>
        <w:t>（2）浸种处理：蚕豆种皮厚而坚硬，播种前用水浸种</w:t>
      </w:r>
      <w:r>
        <w:rPr>
          <w:rFonts w:ascii="Times New Roman" w:hAnsi="Times New Roman" w:eastAsia="宋体" w:cs="Times New Roman"/>
          <w:color w:val="000000" w:themeColor="text1"/>
          <w:spacing w:val="5"/>
          <w:sz w:val="24"/>
          <w:szCs w:val="24"/>
          <w:shd w:val="clear" w:color="auto" w:fill="FFFFFF"/>
        </w:rPr>
        <w:t>36 h，每4 h-6 h淘洗、换水一次。待蚕豆饱胀，无瘪、无皱纹、切开断面无白心、平嘴处皮壳未开裂时，结束浸种。</w:t>
      </w:r>
    </w:p>
    <w:p w14:paraId="156A1F74">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w:t>
      </w:r>
      <w:bookmarkStart w:id="6" w:name="_Hlk190016763"/>
      <w:r>
        <w:rPr>
          <w:rFonts w:hint="eastAsia" w:ascii="Times New Roman" w:hAnsi="Times New Roman" w:eastAsia="宋体" w:cs="Times New Roman"/>
          <w:color w:val="000000" w:themeColor="text1"/>
          <w:spacing w:val="5"/>
          <w:sz w:val="24"/>
          <w:szCs w:val="24"/>
          <w:shd w:val="clear" w:color="auto" w:fill="FFFFFF"/>
        </w:rPr>
        <w:t>参照《粮食作物种子 第2部分：豆类》（GB 4404.2-2010）的相关要求，结合实践经验的总结提炼；依据花溪区黔陶乡、贵安新区高峰镇等地生产经验，</w:t>
      </w:r>
      <w:bookmarkStart w:id="7" w:name="OLE_LINK9"/>
      <w:bookmarkStart w:id="8" w:name="OLE_LINK10"/>
      <w:r>
        <w:rPr>
          <w:rFonts w:hint="eastAsia" w:ascii="Times New Roman" w:hAnsi="Times New Roman" w:eastAsia="宋体" w:cs="Times New Roman"/>
          <w:color w:val="000000" w:themeColor="text1"/>
          <w:spacing w:val="5"/>
          <w:sz w:val="24"/>
          <w:szCs w:val="24"/>
          <w:shd w:val="clear" w:color="auto" w:fill="FFFFFF"/>
        </w:rPr>
        <w:t>通过催芽处理</w:t>
      </w:r>
      <w:bookmarkEnd w:id="7"/>
      <w:bookmarkEnd w:id="8"/>
      <w:r>
        <w:rPr>
          <w:rFonts w:hint="eastAsia" w:ascii="Times New Roman" w:hAnsi="Times New Roman" w:eastAsia="宋体" w:cs="Times New Roman"/>
          <w:color w:val="000000" w:themeColor="text1"/>
          <w:spacing w:val="5"/>
          <w:sz w:val="24"/>
          <w:szCs w:val="24"/>
          <w:shd w:val="clear" w:color="auto" w:fill="FFFFFF"/>
        </w:rPr>
        <w:t>，可以激发种子的生长潜力，促进种子内部酶的活性，加速胚芽的生长，从而提高种子的抗逆性‌，提高蚕豆种子的发芽率和生长速度</w:t>
      </w:r>
      <w:bookmarkEnd w:id="6"/>
      <w:r>
        <w:rPr>
          <w:rFonts w:hint="eastAsia" w:ascii="Times New Roman" w:hAnsi="Times New Roman" w:eastAsia="宋体" w:cs="Times New Roman"/>
          <w:color w:val="000000" w:themeColor="text1"/>
          <w:spacing w:val="5"/>
          <w:sz w:val="24"/>
          <w:szCs w:val="24"/>
          <w:shd w:val="clear" w:color="auto" w:fill="FFFFFF"/>
        </w:rPr>
        <w:t>。</w:t>
      </w:r>
    </w:p>
    <w:p w14:paraId="55E83EDC">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说明：结合蚕豆品种特性，经实践经验作出上述规定。蚕豆种皮厚而坚硬，如果直接栽种，会影响种子的出芽率，通过浸种处理，可以将种皮软化，有利于发芽。</w:t>
      </w:r>
    </w:p>
    <w:p w14:paraId="295047BF">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第8章适时播种</w:t>
      </w:r>
    </w:p>
    <w:p w14:paraId="40617CAA">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规定了可根据前茬作物水稻行距进行播种，</w:t>
      </w:r>
      <w:r>
        <w:rPr>
          <w:rFonts w:ascii="Times New Roman" w:hAnsi="Times New Roman" w:eastAsia="宋体" w:cs="Times New Roman"/>
          <w:color w:val="000000" w:themeColor="text1"/>
          <w:spacing w:val="5"/>
          <w:sz w:val="24"/>
          <w:szCs w:val="24"/>
          <w:shd w:val="clear" w:color="auto" w:fill="FFFFFF"/>
        </w:rPr>
        <w:t>9月底～10月中旬播种。</w:t>
      </w:r>
    </w:p>
    <w:p w14:paraId="18C19AEB">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主要确定依据：稻田蚕豆栽培的相关要求及结合实践经验的总结提炼。</w:t>
      </w:r>
    </w:p>
    <w:p w14:paraId="15C22B0B">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说明：</w:t>
      </w:r>
      <w:bookmarkStart w:id="9" w:name="_Hlk190017189"/>
      <w:r>
        <w:rPr>
          <w:rFonts w:hint="eastAsia" w:ascii="Times New Roman" w:hAnsi="Times New Roman" w:eastAsia="宋体" w:cs="Times New Roman"/>
          <w:color w:val="000000" w:themeColor="text1"/>
          <w:spacing w:val="5"/>
          <w:sz w:val="24"/>
          <w:szCs w:val="24"/>
          <w:shd w:val="clear" w:color="auto" w:fill="FFFFFF"/>
        </w:rPr>
        <w:t>水稻一般在9月中旬到10月初收获，收获后需要将稻田水排干，以利于整地开厢，贵农3号、贵农21号适宜播种时间为</w:t>
      </w:r>
      <w:r>
        <w:rPr>
          <w:rFonts w:ascii="Times New Roman" w:hAnsi="Times New Roman" w:eastAsia="宋体" w:cs="Times New Roman"/>
          <w:color w:val="000000" w:themeColor="text1"/>
          <w:spacing w:val="5"/>
          <w:sz w:val="24"/>
          <w:szCs w:val="24"/>
          <w:shd w:val="clear" w:color="auto" w:fill="FFFFFF"/>
        </w:rPr>
        <w:t>9月底～10月中旬</w:t>
      </w:r>
      <w:r>
        <w:rPr>
          <w:rFonts w:hint="eastAsia" w:ascii="Times New Roman" w:hAnsi="Times New Roman" w:eastAsia="宋体" w:cs="Times New Roman"/>
          <w:color w:val="000000" w:themeColor="text1"/>
          <w:spacing w:val="5"/>
          <w:sz w:val="24"/>
          <w:szCs w:val="24"/>
          <w:shd w:val="clear" w:color="auto" w:fill="FFFFFF"/>
        </w:rPr>
        <w:t>。</w:t>
      </w:r>
      <w:bookmarkEnd w:id="9"/>
    </w:p>
    <w:p w14:paraId="23F81CF9">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第9章合理密植</w:t>
      </w:r>
    </w:p>
    <w:p w14:paraId="2C2A9852">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规定了</w:t>
      </w:r>
      <w:bookmarkStart w:id="10" w:name="_Hlk190017391"/>
      <w:r>
        <w:rPr>
          <w:rFonts w:hint="eastAsia" w:ascii="Times New Roman" w:hAnsi="Times New Roman" w:eastAsia="宋体" w:cs="Times New Roman"/>
          <w:color w:val="000000" w:themeColor="text1"/>
          <w:spacing w:val="5"/>
          <w:sz w:val="24"/>
          <w:szCs w:val="24"/>
          <w:shd w:val="clear" w:color="auto" w:fill="FFFFFF"/>
        </w:rPr>
        <w:t>（1）翻耕：株距</w:t>
      </w:r>
      <w:r>
        <w:rPr>
          <w:rFonts w:ascii="Times New Roman" w:hAnsi="Times New Roman" w:eastAsia="宋体" w:cs="Times New Roman"/>
          <w:color w:val="000000" w:themeColor="text1"/>
          <w:spacing w:val="5"/>
          <w:sz w:val="24"/>
          <w:szCs w:val="24"/>
          <w:shd w:val="clear" w:color="auto" w:fill="FFFFFF"/>
        </w:rPr>
        <w:t>20 cm，行距30 cm，每穴播种2粒～3粒种子，播种深度3 cm～5 cm，亩用种量10 kg～12 kg。</w:t>
      </w:r>
      <w:r>
        <w:rPr>
          <w:rFonts w:hint="eastAsia" w:ascii="Times New Roman" w:hAnsi="Times New Roman" w:eastAsia="宋体" w:cs="Times New Roman"/>
          <w:color w:val="000000" w:themeColor="text1"/>
          <w:spacing w:val="5"/>
          <w:sz w:val="24"/>
          <w:szCs w:val="24"/>
          <w:shd w:val="clear" w:color="auto" w:fill="FFFFFF"/>
        </w:rPr>
        <w:t>（2）免耕：可根据水稻株距种植，每穴播种</w:t>
      </w:r>
      <w:r>
        <w:rPr>
          <w:rFonts w:ascii="Times New Roman" w:hAnsi="Times New Roman" w:eastAsia="宋体" w:cs="Times New Roman"/>
          <w:color w:val="000000" w:themeColor="text1"/>
          <w:spacing w:val="5"/>
          <w:sz w:val="24"/>
          <w:szCs w:val="24"/>
          <w:shd w:val="clear" w:color="auto" w:fill="FFFFFF"/>
        </w:rPr>
        <w:t>3粒～4粒种子，播种深度2 cm～3 cm，亩用种量12 kg～15 kg。</w:t>
      </w:r>
    </w:p>
    <w:p w14:paraId="057FA2E7">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主要确定依据：结合稻田蚕豆接茬种植实践经验进行总结提炼。</w:t>
      </w:r>
    </w:p>
    <w:p w14:paraId="0DBF7296">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说明：结合贵州和贵阳生产实际，通过实践经验总结，得出翻耕方式种植密度依品种特性略有不同，一般行距30cm～40cm，穴距20cm，每穴播种2～3粒；为提高种植密度和产量，最终确定行距为30厘米；亩用种量依据种植密度和品种百粒重测算为</w:t>
      </w:r>
      <w:r>
        <w:rPr>
          <w:rFonts w:ascii="Times New Roman" w:hAnsi="Times New Roman" w:eastAsia="宋体" w:cs="Times New Roman"/>
          <w:color w:val="000000" w:themeColor="text1"/>
          <w:spacing w:val="5"/>
          <w:sz w:val="24"/>
          <w:szCs w:val="24"/>
          <w:shd w:val="clear" w:color="auto" w:fill="FFFFFF"/>
        </w:rPr>
        <w:t>10 kg～12 kg</w:t>
      </w:r>
      <w:r>
        <w:rPr>
          <w:rFonts w:hint="eastAsia" w:ascii="Times New Roman" w:hAnsi="Times New Roman" w:eastAsia="宋体" w:cs="Times New Roman"/>
          <w:color w:val="000000" w:themeColor="text1"/>
          <w:spacing w:val="5"/>
          <w:sz w:val="24"/>
          <w:szCs w:val="24"/>
          <w:shd w:val="clear" w:color="auto" w:fill="FFFFFF"/>
        </w:rPr>
        <w:t>。免耕方式结合</w:t>
      </w:r>
      <w:r>
        <w:rPr>
          <w:rFonts w:ascii="Times New Roman" w:hAnsi="Times New Roman" w:eastAsia="宋体" w:cs="Times New Roman"/>
          <w:color w:val="000000" w:themeColor="text1"/>
          <w:spacing w:val="5"/>
          <w:sz w:val="24"/>
          <w:szCs w:val="24"/>
          <w:shd w:val="clear" w:color="auto" w:fill="FFFFFF"/>
        </w:rPr>
        <w:t>水稻株距种植</w:t>
      </w:r>
      <w:r>
        <w:rPr>
          <w:rFonts w:hint="eastAsia" w:ascii="Times New Roman" w:hAnsi="Times New Roman" w:eastAsia="宋体" w:cs="Times New Roman"/>
          <w:color w:val="000000" w:themeColor="text1"/>
          <w:spacing w:val="5"/>
          <w:sz w:val="24"/>
          <w:szCs w:val="24"/>
          <w:shd w:val="clear" w:color="auto" w:fill="FFFFFF"/>
        </w:rPr>
        <w:t>，由于免耕较翻耕发芽率低一些，所以</w:t>
      </w:r>
      <w:r>
        <w:rPr>
          <w:rFonts w:ascii="Times New Roman" w:hAnsi="Times New Roman" w:eastAsia="宋体" w:cs="Times New Roman"/>
          <w:color w:val="000000" w:themeColor="text1"/>
          <w:spacing w:val="5"/>
          <w:sz w:val="24"/>
          <w:szCs w:val="24"/>
          <w:shd w:val="clear" w:color="auto" w:fill="FFFFFF"/>
        </w:rPr>
        <w:t>每穴播种3～4粒种子</w:t>
      </w:r>
      <w:r>
        <w:rPr>
          <w:rFonts w:hint="eastAsia" w:ascii="Times New Roman" w:hAnsi="Times New Roman" w:eastAsia="宋体" w:cs="Times New Roman"/>
          <w:color w:val="000000" w:themeColor="text1"/>
          <w:spacing w:val="5"/>
          <w:sz w:val="24"/>
          <w:szCs w:val="24"/>
          <w:shd w:val="clear" w:color="auto" w:fill="FFFFFF"/>
        </w:rPr>
        <w:t>；亩用种量依据</w:t>
      </w:r>
      <w:r>
        <w:rPr>
          <w:rFonts w:ascii="Times New Roman" w:hAnsi="Times New Roman" w:eastAsia="宋体" w:cs="Times New Roman"/>
          <w:color w:val="000000" w:themeColor="text1"/>
          <w:spacing w:val="5"/>
          <w:sz w:val="24"/>
          <w:szCs w:val="24"/>
          <w:shd w:val="clear" w:color="auto" w:fill="FFFFFF"/>
        </w:rPr>
        <w:t>水稻株距</w:t>
      </w:r>
      <w:r>
        <w:rPr>
          <w:rFonts w:hint="eastAsia" w:ascii="Times New Roman" w:hAnsi="Times New Roman" w:eastAsia="宋体" w:cs="Times New Roman"/>
          <w:color w:val="000000" w:themeColor="text1"/>
          <w:spacing w:val="5"/>
          <w:sz w:val="24"/>
          <w:szCs w:val="24"/>
          <w:shd w:val="clear" w:color="auto" w:fill="FFFFFF"/>
        </w:rPr>
        <w:t>和品种百粒重测算为</w:t>
      </w:r>
      <w:r>
        <w:rPr>
          <w:rFonts w:ascii="Times New Roman" w:hAnsi="Times New Roman" w:eastAsia="宋体" w:cs="Times New Roman"/>
          <w:color w:val="000000" w:themeColor="text1"/>
          <w:spacing w:val="5"/>
          <w:sz w:val="24"/>
          <w:szCs w:val="24"/>
          <w:shd w:val="clear" w:color="auto" w:fill="FFFFFF"/>
        </w:rPr>
        <w:t>1</w:t>
      </w:r>
      <w:r>
        <w:rPr>
          <w:rFonts w:hint="eastAsia" w:ascii="Times New Roman" w:hAnsi="Times New Roman" w:eastAsia="宋体" w:cs="Times New Roman"/>
          <w:color w:val="000000" w:themeColor="text1"/>
          <w:spacing w:val="5"/>
          <w:sz w:val="24"/>
          <w:szCs w:val="24"/>
          <w:shd w:val="clear" w:color="auto" w:fill="FFFFFF"/>
        </w:rPr>
        <w:t>2</w:t>
      </w:r>
      <w:r>
        <w:rPr>
          <w:rFonts w:ascii="Times New Roman" w:hAnsi="Times New Roman" w:eastAsia="宋体" w:cs="Times New Roman"/>
          <w:color w:val="000000" w:themeColor="text1"/>
          <w:spacing w:val="5"/>
          <w:sz w:val="24"/>
          <w:szCs w:val="24"/>
          <w:shd w:val="clear" w:color="auto" w:fill="FFFFFF"/>
        </w:rPr>
        <w:t xml:space="preserve"> kg～1</w:t>
      </w:r>
      <w:r>
        <w:rPr>
          <w:rFonts w:hint="eastAsia" w:ascii="Times New Roman" w:hAnsi="Times New Roman" w:eastAsia="宋体" w:cs="Times New Roman"/>
          <w:color w:val="000000" w:themeColor="text1"/>
          <w:spacing w:val="5"/>
          <w:sz w:val="24"/>
          <w:szCs w:val="24"/>
          <w:shd w:val="clear" w:color="auto" w:fill="FFFFFF"/>
        </w:rPr>
        <w:t>5</w:t>
      </w:r>
      <w:r>
        <w:rPr>
          <w:rFonts w:ascii="Times New Roman" w:hAnsi="Times New Roman" w:eastAsia="宋体" w:cs="Times New Roman"/>
          <w:color w:val="000000" w:themeColor="text1"/>
          <w:spacing w:val="5"/>
          <w:sz w:val="24"/>
          <w:szCs w:val="24"/>
          <w:shd w:val="clear" w:color="auto" w:fill="FFFFFF"/>
        </w:rPr>
        <w:t xml:space="preserve"> kg</w:t>
      </w:r>
      <w:r>
        <w:rPr>
          <w:rFonts w:hint="eastAsia" w:ascii="Times New Roman" w:hAnsi="Times New Roman" w:eastAsia="宋体" w:cs="Times New Roman"/>
          <w:color w:val="000000" w:themeColor="text1"/>
          <w:spacing w:val="5"/>
          <w:sz w:val="24"/>
          <w:szCs w:val="24"/>
          <w:shd w:val="clear" w:color="auto" w:fill="FFFFFF"/>
        </w:rPr>
        <w:t>。</w:t>
      </w:r>
    </w:p>
    <w:bookmarkEnd w:id="10"/>
    <w:p w14:paraId="0BD2E1A1">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第10章田间管理</w:t>
      </w:r>
    </w:p>
    <w:p w14:paraId="4EF6A608">
      <w:pPr>
        <w:spacing w:line="360" w:lineRule="auto"/>
        <w:ind w:firstLine="500" w:firstLineChars="200"/>
        <w:rPr>
          <w:rFonts w:ascii="Times New Roman" w:hAnsi="Times New Roman" w:eastAsia="宋体" w:cs="Times New Roman"/>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规定了</w:t>
      </w:r>
      <w:bookmarkStart w:id="11" w:name="_Hlk190018010"/>
      <w:r>
        <w:rPr>
          <w:rFonts w:hint="eastAsia" w:ascii="Times New Roman" w:hAnsi="Times New Roman" w:eastAsia="宋体" w:cs="Times New Roman"/>
          <w:color w:val="000000" w:themeColor="text1"/>
          <w:spacing w:val="5"/>
          <w:sz w:val="24"/>
          <w:szCs w:val="24"/>
          <w:shd w:val="clear" w:color="auto" w:fill="FFFFFF"/>
        </w:rPr>
        <w:t>（1）科学用水：生长前期保持土壤湿润，以利种子发芽出土，扎根齐苗；从现蕾开花开始，保持土壤湿润。可在初花期或始荚期、鼓粒期灌</w:t>
      </w:r>
      <w:r>
        <w:rPr>
          <w:rFonts w:ascii="Times New Roman" w:hAnsi="Times New Roman" w:eastAsia="宋体" w:cs="Times New Roman"/>
          <w:color w:val="000000" w:themeColor="text1"/>
          <w:spacing w:val="5"/>
          <w:sz w:val="24"/>
          <w:szCs w:val="24"/>
          <w:shd w:val="clear" w:color="auto" w:fill="FFFFFF"/>
        </w:rPr>
        <w:t>1 次跑马水，保持田面湿润，速灌速排。生长后期应注意防渍。</w:t>
      </w:r>
      <w:r>
        <w:rPr>
          <w:rFonts w:hint="eastAsia" w:ascii="Times New Roman" w:hAnsi="Times New Roman" w:eastAsia="宋体" w:cs="Times New Roman"/>
          <w:spacing w:val="5"/>
          <w:sz w:val="24"/>
          <w:szCs w:val="24"/>
          <w:shd w:val="clear" w:color="auto" w:fill="FFFFFF"/>
        </w:rPr>
        <w:t>（2）合理施肥：施肥以农家肥、磷钾肥为主。结合中耕除草培土，注重磷钾，巧施氮肥。当蚕豆生长离地面</w:t>
      </w:r>
      <w:r>
        <w:rPr>
          <w:rFonts w:ascii="Times New Roman" w:hAnsi="Times New Roman" w:eastAsia="宋体" w:cs="Times New Roman"/>
          <w:spacing w:val="5"/>
          <w:sz w:val="24"/>
          <w:szCs w:val="24"/>
          <w:shd w:val="clear" w:color="auto" w:fill="FFFFFF"/>
        </w:rPr>
        <w:t>15 cm时，每667 m</w:t>
      </w:r>
      <w:r>
        <w:rPr>
          <w:rFonts w:ascii="Times New Roman" w:hAnsi="Times New Roman" w:eastAsia="宋体" w:cs="Times New Roman"/>
          <w:spacing w:val="5"/>
          <w:sz w:val="24"/>
          <w:szCs w:val="24"/>
          <w:shd w:val="clear" w:color="auto" w:fill="FFFFFF"/>
          <w:vertAlign w:val="superscript"/>
        </w:rPr>
        <w:t>2</w:t>
      </w:r>
      <w:r>
        <w:rPr>
          <w:rFonts w:ascii="Times New Roman" w:hAnsi="Times New Roman" w:eastAsia="宋体" w:cs="Times New Roman"/>
          <w:spacing w:val="5"/>
          <w:sz w:val="24"/>
          <w:szCs w:val="24"/>
          <w:shd w:val="clear" w:color="auto" w:fill="FFFFFF"/>
        </w:rPr>
        <w:t>施磷酸二氢钾20 kg。</w:t>
      </w:r>
      <w:r>
        <w:rPr>
          <w:rFonts w:hint="eastAsia" w:ascii="Times New Roman" w:hAnsi="Times New Roman" w:eastAsia="宋体" w:cs="Times New Roman"/>
          <w:spacing w:val="5"/>
          <w:sz w:val="24"/>
          <w:szCs w:val="24"/>
          <w:shd w:val="clear" w:color="auto" w:fill="FFFFFF"/>
        </w:rPr>
        <w:t>（3）整枝摘心：</w:t>
      </w:r>
      <w:bookmarkEnd w:id="11"/>
      <w:bookmarkStart w:id="12" w:name="_Hlk189661909"/>
      <w:r>
        <w:rPr>
          <w:rFonts w:hint="eastAsia" w:ascii="Times New Roman" w:hAnsi="Times New Roman" w:eastAsia="宋体" w:cs="Times New Roman"/>
          <w:spacing w:val="5"/>
          <w:sz w:val="24"/>
          <w:szCs w:val="24"/>
          <w:shd w:val="clear" w:color="auto" w:fill="FFFFFF"/>
        </w:rPr>
        <w:t>适时将主茎除去，当蚕豆生长离地面</w:t>
      </w:r>
      <w:r>
        <w:rPr>
          <w:rFonts w:ascii="Times New Roman" w:hAnsi="Times New Roman" w:eastAsia="宋体" w:cs="Times New Roman"/>
          <w:spacing w:val="5"/>
          <w:sz w:val="24"/>
          <w:szCs w:val="24"/>
          <w:shd w:val="clear" w:color="auto" w:fill="FFFFFF"/>
        </w:rPr>
        <w:t>15 cm～20 cm时，用剪刀距主茎顶端约5 cm处剪下。次年立春后，及时抹去生长的无效分枝和嫩枝。蚕豆分枝多形成无效花，分枝具有2个～4个有效花时，及时摘掉顶心。</w:t>
      </w:r>
    </w:p>
    <w:p w14:paraId="52AB3895">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w:t>
      </w:r>
      <w:bookmarkStart w:id="13" w:name="_Hlk190017947"/>
      <w:r>
        <w:rPr>
          <w:rFonts w:hint="eastAsia" w:ascii="Times New Roman" w:hAnsi="Times New Roman" w:eastAsia="宋体" w:cs="Times New Roman"/>
          <w:color w:val="000000" w:themeColor="text1"/>
          <w:spacing w:val="5"/>
          <w:sz w:val="24"/>
          <w:szCs w:val="24"/>
          <w:shd w:val="clear" w:color="auto" w:fill="FFFFFF"/>
        </w:rPr>
        <w:t>根据稻田蚕豆栽培的相关要求</w:t>
      </w:r>
      <w:bookmarkEnd w:id="13"/>
      <w:r>
        <w:rPr>
          <w:rFonts w:hint="eastAsia" w:ascii="Times New Roman" w:hAnsi="Times New Roman" w:eastAsia="宋体" w:cs="Times New Roman"/>
          <w:color w:val="000000" w:themeColor="text1"/>
          <w:spacing w:val="5"/>
          <w:sz w:val="24"/>
          <w:szCs w:val="24"/>
          <w:shd w:val="clear" w:color="auto" w:fill="FFFFFF"/>
        </w:rPr>
        <w:t>及实践经验进行总结提炼。</w:t>
      </w:r>
    </w:p>
    <w:p w14:paraId="42472CF7">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说明：</w:t>
      </w:r>
      <w:bookmarkStart w:id="14" w:name="_Hlk190018225"/>
      <w:r>
        <w:rPr>
          <w:rFonts w:hint="eastAsia" w:ascii="Times New Roman" w:hAnsi="Times New Roman" w:eastAsia="宋体" w:cs="Times New Roman"/>
          <w:color w:val="000000" w:themeColor="text1"/>
          <w:spacing w:val="5"/>
          <w:sz w:val="24"/>
          <w:szCs w:val="24"/>
          <w:shd w:val="clear" w:color="auto" w:fill="FFFFFF"/>
        </w:rPr>
        <w:t>蚕豆田间管理包括科学用水、合理施肥、整枝摘心等。蚕豆生长前期需要保持土壤湿润，以利种子发芽出土；整个生育期应防止田间积水，并注意雨季清沟排水；蚕豆开花至成熟期要求土壤保持湿润，若田间较干，需速灌速排。蚕豆需肥较多，生产100kg籽粒约需氮7.8kg、磷3.4kg、钾8.8kg、钙3.9kg和适量的微量元素。因蚕豆有固氮菌，施肥时可遵循“多施磷钾肥，少施氮肥”的原则。</w:t>
      </w:r>
      <w:bookmarkEnd w:id="14"/>
      <w:r>
        <w:rPr>
          <w:rFonts w:hint="eastAsia" w:ascii="Times New Roman" w:hAnsi="Times New Roman" w:eastAsia="宋体" w:cs="Times New Roman"/>
          <w:color w:val="000000" w:themeColor="text1"/>
          <w:spacing w:val="5"/>
          <w:sz w:val="24"/>
          <w:szCs w:val="24"/>
          <w:shd w:val="clear" w:color="auto" w:fill="FFFFFF"/>
        </w:rPr>
        <w:t>整枝可改善田间通风透光条件，减少病虫危害和养分过多消耗，提高坐荚率，增加产量。但过度整枝反而会减少光合作用面积，不利于鼓粒和增产。</w:t>
      </w:r>
    </w:p>
    <w:p w14:paraId="1990FC1E">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第11章病虫害防治</w:t>
      </w:r>
    </w:p>
    <w:p w14:paraId="0E109A60">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规定了（1）主要病虫害：主要病害包括灰霉病、霜霉病、白粉病等；主要虫害包括蚜虫等。（2）防控策略：主要采取“预防为主、综合防控”的植保方针，以农业防控、物理防控、生物防控为主，化学防控为辅的综合防控措施。禁止违法使用禁限农药，禁止违规使用化学除草剂。（3）科学用药：使用药剂防治符合</w:t>
      </w:r>
      <w:r>
        <w:rPr>
          <w:rFonts w:ascii="Times New Roman" w:hAnsi="Times New Roman" w:eastAsia="宋体" w:cs="Times New Roman"/>
          <w:color w:val="000000" w:themeColor="text1"/>
          <w:spacing w:val="5"/>
          <w:sz w:val="24"/>
          <w:szCs w:val="24"/>
          <w:shd w:val="clear" w:color="auto" w:fill="FFFFFF"/>
        </w:rPr>
        <w:t>NY/T 1276的要求。主要病虫害常用药剂见附录 A。</w:t>
      </w:r>
    </w:p>
    <w:p w14:paraId="5CC594D5">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w:t>
      </w:r>
      <w:bookmarkStart w:id="15" w:name="_Hlk190018423"/>
      <w:r>
        <w:rPr>
          <w:rFonts w:hint="eastAsia" w:ascii="Times New Roman" w:hAnsi="Times New Roman" w:eastAsia="宋体" w:cs="Times New Roman"/>
          <w:color w:val="000000" w:themeColor="text1"/>
          <w:spacing w:val="5"/>
          <w:sz w:val="24"/>
          <w:szCs w:val="24"/>
          <w:shd w:val="clear" w:color="auto" w:fill="FFFFFF"/>
        </w:rPr>
        <w:t>参照蚕豆病虫害防控的相关要求</w:t>
      </w:r>
      <w:bookmarkEnd w:id="15"/>
      <w:r>
        <w:rPr>
          <w:rFonts w:hint="eastAsia" w:ascii="Times New Roman" w:hAnsi="Times New Roman" w:eastAsia="宋体" w:cs="Times New Roman"/>
          <w:color w:val="000000" w:themeColor="text1"/>
          <w:spacing w:val="5"/>
          <w:sz w:val="24"/>
          <w:szCs w:val="24"/>
          <w:shd w:val="clear" w:color="auto" w:fill="FFFFFF"/>
        </w:rPr>
        <w:t>，以及引用《农药安全使用规范  总则》（NY/T 1276）的相关要求。</w:t>
      </w:r>
    </w:p>
    <w:p w14:paraId="28C01B0A">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说明：蚕豆病虫害防治技术的应用，对于提高蚕豆的产量和品质至关重要。对于不同类型的病虫害，应采取有针对性的防治措施。在防治过程中，注意保护天敌，采用物理防治和化学防治相结合的方法，以减少对环境和蚕豆农产品的污染，促进蚕豆产业可持续发展。结合贵阳稻田蚕豆接茬栽培病虫害发生特点，经试验验证作出上述规定。</w:t>
      </w:r>
    </w:p>
    <w:p w14:paraId="49D2E6E8">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第12章采收</w:t>
      </w:r>
    </w:p>
    <w:p w14:paraId="241F86D3">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规定了当豆粒足够大、蚕豆脐眼转黑前采摘。及时剪掉采摘完的分枝，减少养分消耗。整个采摘季结束后，及时接茬种植水稻。</w:t>
      </w:r>
    </w:p>
    <w:p w14:paraId="5DDD3D4C">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主要确定依据：根据实践经验总结提炼作出的要求。</w:t>
      </w:r>
    </w:p>
    <w:p w14:paraId="70DE7DA6">
      <w:pPr>
        <w:numPr>
          <w:ilvl w:val="0"/>
          <w:numId w:val="1"/>
        </w:num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第13章生产档案</w:t>
      </w:r>
    </w:p>
    <w:p w14:paraId="1C970D34">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明确了生产档案的内容应包括产地环境、农事操作、水肥管理、病虫害防治、肥料及农药出入库、采收等环节的生产记录和管理台账。田间生产记录表（详见附录）。</w:t>
      </w:r>
    </w:p>
    <w:p w14:paraId="6E396252">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主要确定依据：参照蚕豆生产档案的相关要求及结合实践经验总结提炼。</w:t>
      </w:r>
    </w:p>
    <w:bookmarkEnd w:id="12"/>
    <w:p w14:paraId="127AEF39">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四、主要试验（或验证）的验证分析报告（测试报告）</w:t>
      </w:r>
    </w:p>
    <w:p w14:paraId="0B068E6D">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本标准的主要技术参数是：“品种选择、种子处理、适时播种、合理密植、田间管理、病虫害防治、采收”等指标。</w:t>
      </w:r>
    </w:p>
    <w:p w14:paraId="22DDCED9">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标准基于原有科研成果，结合项目实施情况及贵阳企业、合作社、科研单位和农户等多年、多产区的蚕豆种植经验，开展试验示范和实地调研，取得良好效果，并确定了以上指标，具有明显的地域性。通过生产技术的规范性、统一性、适用性、安全性和科学性，显著提高稻田蚕豆接茬栽培的产量和质量。</w:t>
      </w:r>
    </w:p>
    <w:p w14:paraId="7B31E556">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（一）品种选择</w:t>
      </w:r>
    </w:p>
    <w:p w14:paraId="0884C53A">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根据贵阳市冬无严寒、夏无酷暑的气候特点，结合2021年至2023年贵阳市蚕豆种植经验，选择产量高、品质优、抗病力强、商品性高、适合本区域的贵农3号、贵农21号等优良品种。</w:t>
      </w:r>
    </w:p>
    <w:p w14:paraId="0E1138F1">
      <w:pPr>
        <w:spacing w:line="360" w:lineRule="auto"/>
        <w:ind w:firstLine="500" w:firstLineChars="200"/>
        <w:jc w:val="center"/>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表4  不同蚕豆品种产量结构</w:t>
      </w:r>
    </w:p>
    <w:p w14:paraId="3BD90CDE">
      <w:pPr>
        <w:spacing w:line="53" w:lineRule="exact"/>
        <w:rPr>
          <w:color w:val="FF0000"/>
        </w:rPr>
      </w:pPr>
    </w:p>
    <w:tbl>
      <w:tblPr>
        <w:tblStyle w:val="44"/>
        <w:tblW w:w="7414" w:type="dxa"/>
        <w:jc w:val="center"/>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168"/>
        <w:gridCol w:w="1619"/>
        <w:gridCol w:w="1584"/>
        <w:gridCol w:w="1645"/>
        <w:gridCol w:w="1398"/>
      </w:tblGrid>
      <w:tr w14:paraId="1F47884E">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64" w:hRule="atLeast"/>
          <w:jc w:val="center"/>
        </w:trPr>
        <w:tc>
          <w:tcPr>
            <w:tcW w:w="1168" w:type="dxa"/>
            <w:tcBorders>
              <w:top w:val="single" w:color="000000" w:sz="4" w:space="0"/>
              <w:bottom w:val="single" w:color="000000" w:sz="4" w:space="0"/>
            </w:tcBorders>
          </w:tcPr>
          <w:p w14:paraId="02504612">
            <w:pPr>
              <w:pStyle w:val="43"/>
              <w:spacing w:before="120" w:line="220" w:lineRule="auto"/>
              <w:ind w:left="310"/>
              <w:jc w:val="center"/>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品种</w:t>
            </w:r>
          </w:p>
        </w:tc>
        <w:tc>
          <w:tcPr>
            <w:tcW w:w="1619" w:type="dxa"/>
            <w:tcBorders>
              <w:top w:val="single" w:color="000000" w:sz="4" w:space="0"/>
              <w:bottom w:val="single" w:color="000000" w:sz="4" w:space="0"/>
            </w:tcBorders>
          </w:tcPr>
          <w:p w14:paraId="088E07E1">
            <w:pPr>
              <w:pStyle w:val="43"/>
              <w:spacing w:before="70" w:line="209" w:lineRule="auto"/>
              <w:jc w:val="center"/>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单荚鲜重</w:t>
            </w:r>
          </w:p>
          <w:p w14:paraId="486221EE">
            <w:pPr>
              <w:pStyle w:val="43"/>
              <w:spacing w:line="213" w:lineRule="auto"/>
              <w:ind w:left="262"/>
              <w:jc w:val="center"/>
              <w:rPr>
                <w:rFonts w:ascii="仿宋_GB2312" w:hAnsi="仿宋_GB2312" w:eastAsia="仿宋_GB2312" w:cs="仿宋_GB2312"/>
                <w:sz w:val="21"/>
                <w:szCs w:val="21"/>
              </w:rPr>
            </w:pPr>
            <w:r>
              <w:rPr>
                <w:rFonts w:hint="eastAsia" w:ascii="仿宋_GB2312" w:hAnsi="仿宋_GB2312" w:eastAsia="仿宋_GB2312" w:cs="仿宋_GB2312"/>
                <w:spacing w:val="-6"/>
                <w:sz w:val="21"/>
                <w:szCs w:val="21"/>
              </w:rPr>
              <w:t>(g)</w:t>
            </w:r>
          </w:p>
        </w:tc>
        <w:tc>
          <w:tcPr>
            <w:tcW w:w="1584" w:type="dxa"/>
            <w:tcBorders>
              <w:top w:val="single" w:color="000000" w:sz="4" w:space="0"/>
              <w:bottom w:val="single" w:color="000000" w:sz="4" w:space="0"/>
            </w:tcBorders>
          </w:tcPr>
          <w:p w14:paraId="0207C38D">
            <w:pPr>
              <w:pStyle w:val="43"/>
              <w:spacing w:before="68" w:line="212" w:lineRule="auto"/>
              <w:jc w:val="center"/>
              <w:rPr>
                <w:rFonts w:ascii="仿宋_GB2312" w:hAnsi="仿宋_GB2312" w:eastAsia="仿宋_GB2312" w:cs="仿宋_GB2312"/>
                <w:sz w:val="21"/>
                <w:szCs w:val="21"/>
              </w:rPr>
            </w:pPr>
            <w:r>
              <w:rPr>
                <w:rFonts w:hint="eastAsia" w:ascii="仿宋_GB2312" w:hAnsi="仿宋_GB2312" w:eastAsia="仿宋_GB2312" w:cs="仿宋_GB2312"/>
                <w:b/>
                <w:bCs/>
                <w:spacing w:val="-3"/>
                <w:sz w:val="21"/>
                <w:szCs w:val="21"/>
              </w:rPr>
              <w:t>鲜豆百粒重</w:t>
            </w:r>
          </w:p>
          <w:p w14:paraId="138C41C0">
            <w:pPr>
              <w:pStyle w:val="43"/>
              <w:spacing w:line="213" w:lineRule="auto"/>
              <w:ind w:left="315"/>
              <w:jc w:val="center"/>
              <w:rPr>
                <w:rFonts w:ascii="仿宋_GB2312" w:hAnsi="仿宋_GB2312" w:eastAsia="仿宋_GB2312" w:cs="仿宋_GB2312"/>
                <w:sz w:val="21"/>
                <w:szCs w:val="21"/>
              </w:rPr>
            </w:pPr>
            <w:r>
              <w:rPr>
                <w:rFonts w:hint="eastAsia" w:ascii="仿宋_GB2312" w:hAnsi="仿宋_GB2312" w:eastAsia="仿宋_GB2312" w:cs="仿宋_GB2312"/>
                <w:spacing w:val="-6"/>
                <w:sz w:val="21"/>
                <w:szCs w:val="21"/>
              </w:rPr>
              <w:t>(g)</w:t>
            </w:r>
          </w:p>
        </w:tc>
        <w:tc>
          <w:tcPr>
            <w:tcW w:w="1645" w:type="dxa"/>
            <w:tcBorders>
              <w:top w:val="single" w:color="000000" w:sz="4" w:space="0"/>
              <w:bottom w:val="single" w:color="000000" w:sz="4" w:space="0"/>
            </w:tcBorders>
          </w:tcPr>
          <w:p w14:paraId="43FCA7DE">
            <w:pPr>
              <w:pStyle w:val="43"/>
              <w:spacing w:before="58" w:line="212" w:lineRule="auto"/>
              <w:ind w:firstLine="410" w:firstLineChars="200"/>
              <w:rPr>
                <w:rFonts w:ascii="仿宋_GB2312" w:hAnsi="仿宋_GB2312" w:eastAsia="仿宋_GB2312" w:cs="仿宋_GB2312"/>
                <w:sz w:val="21"/>
                <w:szCs w:val="21"/>
              </w:rPr>
            </w:pPr>
            <w:r>
              <w:rPr>
                <w:rFonts w:hint="eastAsia" w:ascii="仿宋_GB2312" w:hAnsi="仿宋_GB2312" w:eastAsia="仿宋_GB2312" w:cs="仿宋_GB2312"/>
                <w:b/>
                <w:bCs/>
                <w:spacing w:val="-3"/>
                <w:sz w:val="21"/>
                <w:szCs w:val="21"/>
              </w:rPr>
              <w:t>产量</w:t>
            </w:r>
          </w:p>
          <w:p w14:paraId="2F1A11EA">
            <w:pPr>
              <w:pStyle w:val="43"/>
              <w:spacing w:line="213" w:lineRule="auto"/>
              <w:ind w:left="85"/>
              <w:jc w:val="center"/>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(kg/667m</w:t>
            </w:r>
            <w:r>
              <w:rPr>
                <w:rFonts w:hint="eastAsia" w:ascii="仿宋_GB2312" w:hAnsi="仿宋_GB2312" w:eastAsia="仿宋_GB2312" w:cs="仿宋_GB2312"/>
                <w:spacing w:val="-3"/>
                <w:sz w:val="21"/>
                <w:szCs w:val="21"/>
                <w:vertAlign w:val="superscript"/>
                <w:lang w:eastAsia="zh-CN"/>
              </w:rPr>
              <w:t>2</w:t>
            </w:r>
            <w:r>
              <w:rPr>
                <w:rFonts w:hint="eastAsia" w:ascii="仿宋_GB2312" w:hAnsi="仿宋_GB2312" w:eastAsia="仿宋_GB2312" w:cs="仿宋_GB2312"/>
                <w:spacing w:val="-3"/>
                <w:sz w:val="21"/>
                <w:szCs w:val="21"/>
              </w:rPr>
              <w:t>)</w:t>
            </w:r>
          </w:p>
        </w:tc>
        <w:tc>
          <w:tcPr>
            <w:tcW w:w="1398" w:type="dxa"/>
            <w:tcBorders>
              <w:top w:val="single" w:color="000000" w:sz="4" w:space="0"/>
              <w:bottom w:val="single" w:color="000000" w:sz="4" w:space="0"/>
            </w:tcBorders>
          </w:tcPr>
          <w:p w14:paraId="7A694C5B">
            <w:pPr>
              <w:pStyle w:val="43"/>
              <w:spacing w:before="119" w:line="219" w:lineRule="auto"/>
              <w:jc w:val="center"/>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名次</w:t>
            </w:r>
          </w:p>
        </w:tc>
      </w:tr>
      <w:tr w14:paraId="47F0A6C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4" w:hRule="atLeast"/>
          <w:jc w:val="center"/>
        </w:trPr>
        <w:tc>
          <w:tcPr>
            <w:tcW w:w="1168" w:type="dxa"/>
            <w:tcBorders>
              <w:top w:val="single" w:color="000000" w:sz="4" w:space="0"/>
            </w:tcBorders>
          </w:tcPr>
          <w:p w14:paraId="1227C1E1">
            <w:pPr>
              <w:pStyle w:val="43"/>
              <w:spacing w:before="35" w:line="219" w:lineRule="auto"/>
              <w:ind w:left="59"/>
              <w:jc w:val="center"/>
              <w:rPr>
                <w:rFonts w:ascii="仿宋_GB2312" w:hAnsi="仿宋_GB2312" w:eastAsia="仿宋_GB2312" w:cs="仿宋_GB2312"/>
              </w:rPr>
            </w:pPr>
            <w:r>
              <w:rPr>
                <w:rFonts w:hint="eastAsia" w:ascii="仿宋_GB2312" w:hAnsi="仿宋_GB2312" w:eastAsia="仿宋_GB2312" w:cs="仿宋_GB2312"/>
                <w:spacing w:val="-1"/>
              </w:rPr>
              <w:t>成胡10号</w:t>
            </w:r>
          </w:p>
        </w:tc>
        <w:tc>
          <w:tcPr>
            <w:tcW w:w="1619" w:type="dxa"/>
            <w:tcBorders>
              <w:top w:val="single" w:color="000000" w:sz="4" w:space="0"/>
            </w:tcBorders>
          </w:tcPr>
          <w:p w14:paraId="13A02FE7">
            <w:pPr>
              <w:pStyle w:val="43"/>
              <w:spacing w:before="57" w:line="194"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14.00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Borders>
              <w:top w:val="single" w:color="000000" w:sz="4" w:space="0"/>
            </w:tcBorders>
          </w:tcPr>
          <w:p w14:paraId="11D71141">
            <w:pPr>
              <w:pStyle w:val="43"/>
              <w:spacing w:before="57" w:line="194" w:lineRule="auto"/>
              <w:ind w:left="225"/>
              <w:jc w:val="center"/>
              <w:rPr>
                <w:rFonts w:ascii="仿宋_GB2312" w:hAnsi="仿宋_GB2312" w:eastAsia="仿宋_GB2312" w:cs="仿宋_GB2312"/>
              </w:rPr>
            </w:pPr>
            <w:r>
              <w:rPr>
                <w:rFonts w:hint="eastAsia" w:ascii="仿宋_GB2312" w:hAnsi="仿宋_GB2312" w:eastAsia="仿宋_GB2312" w:cs="仿宋_GB2312"/>
                <w:spacing w:val="-1"/>
              </w:rPr>
              <w:t>238.0 B</w:t>
            </w:r>
          </w:p>
        </w:tc>
        <w:tc>
          <w:tcPr>
            <w:tcW w:w="1645" w:type="dxa"/>
            <w:tcBorders>
              <w:top w:val="single" w:color="000000" w:sz="4" w:space="0"/>
            </w:tcBorders>
          </w:tcPr>
          <w:p w14:paraId="19D9BAA6">
            <w:pPr>
              <w:pStyle w:val="43"/>
              <w:spacing w:before="57" w:line="194" w:lineRule="auto"/>
              <w:ind w:left="75"/>
              <w:jc w:val="center"/>
              <w:rPr>
                <w:rFonts w:ascii="仿宋_GB2312" w:hAnsi="仿宋_GB2312" w:eastAsia="仿宋_GB2312" w:cs="仿宋_GB2312"/>
              </w:rPr>
            </w:pPr>
            <w:r>
              <w:rPr>
                <w:rFonts w:hint="eastAsia" w:ascii="仿宋_GB2312" w:hAnsi="仿宋_GB2312" w:eastAsia="仿宋_GB2312" w:cs="仿宋_GB2312"/>
                <w:spacing w:val="-2"/>
              </w:rPr>
              <w:t>1313.25AB</w:t>
            </w:r>
          </w:p>
        </w:tc>
        <w:tc>
          <w:tcPr>
            <w:tcW w:w="1398" w:type="dxa"/>
            <w:tcBorders>
              <w:top w:val="single" w:color="000000" w:sz="4" w:space="0"/>
            </w:tcBorders>
          </w:tcPr>
          <w:p w14:paraId="554B7CC1">
            <w:pPr>
              <w:pStyle w:val="43"/>
              <w:spacing w:before="67" w:line="179" w:lineRule="auto"/>
              <w:ind w:left="222"/>
              <w:jc w:val="center"/>
              <w:rPr>
                <w:rFonts w:ascii="仿宋_GB2312" w:hAnsi="仿宋_GB2312" w:eastAsia="仿宋_GB2312" w:cs="仿宋_GB2312"/>
              </w:rPr>
            </w:pPr>
            <w:r>
              <w:rPr>
                <w:rFonts w:hint="eastAsia" w:ascii="仿宋_GB2312" w:hAnsi="仿宋_GB2312" w:eastAsia="仿宋_GB2312" w:cs="仿宋_GB2312"/>
                <w:spacing w:val="-4"/>
              </w:rPr>
              <w:t>10</w:t>
            </w:r>
          </w:p>
        </w:tc>
      </w:tr>
      <w:tr w14:paraId="6FAADDB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75" w:hRule="atLeast"/>
          <w:jc w:val="center"/>
        </w:trPr>
        <w:tc>
          <w:tcPr>
            <w:tcW w:w="1168" w:type="dxa"/>
          </w:tcPr>
          <w:p w14:paraId="133AAFE0">
            <w:pPr>
              <w:pStyle w:val="43"/>
              <w:spacing w:before="23" w:line="217" w:lineRule="auto"/>
              <w:ind w:left="60"/>
              <w:jc w:val="center"/>
              <w:rPr>
                <w:rFonts w:ascii="仿宋_GB2312" w:hAnsi="仿宋_GB2312" w:eastAsia="仿宋_GB2312" w:cs="仿宋_GB2312"/>
              </w:rPr>
            </w:pPr>
            <w:r>
              <w:rPr>
                <w:rFonts w:hint="eastAsia" w:ascii="仿宋_GB2312" w:hAnsi="仿宋_GB2312" w:eastAsia="仿宋_GB2312" w:cs="仿宋_GB2312"/>
                <w:spacing w:val="-2"/>
              </w:rPr>
              <w:t>黑蚕豆</w:t>
            </w:r>
          </w:p>
        </w:tc>
        <w:tc>
          <w:tcPr>
            <w:tcW w:w="1619" w:type="dxa"/>
          </w:tcPr>
          <w:p w14:paraId="0A959D13">
            <w:pPr>
              <w:pStyle w:val="43"/>
              <w:spacing w:before="44" w:line="186"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10.00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585B1722">
            <w:pPr>
              <w:pStyle w:val="43"/>
              <w:spacing w:before="44" w:line="186" w:lineRule="auto"/>
              <w:ind w:left="225"/>
              <w:jc w:val="center"/>
              <w:rPr>
                <w:rFonts w:ascii="仿宋_GB2312" w:hAnsi="仿宋_GB2312" w:eastAsia="仿宋_GB2312" w:cs="仿宋_GB2312"/>
              </w:rPr>
            </w:pPr>
            <w:r>
              <w:rPr>
                <w:rFonts w:hint="eastAsia" w:ascii="仿宋_GB2312" w:hAnsi="仿宋_GB2312" w:eastAsia="仿宋_GB2312" w:cs="仿宋_GB2312"/>
                <w:spacing w:val="-2"/>
              </w:rPr>
              <w:t>141.0C</w:t>
            </w:r>
          </w:p>
        </w:tc>
        <w:tc>
          <w:tcPr>
            <w:tcW w:w="1645" w:type="dxa"/>
          </w:tcPr>
          <w:p w14:paraId="02CCAD4A">
            <w:pPr>
              <w:pStyle w:val="43"/>
              <w:spacing w:before="44" w:line="186" w:lineRule="auto"/>
              <w:ind w:left="75"/>
              <w:jc w:val="center"/>
              <w:rPr>
                <w:rFonts w:ascii="仿宋_GB2312" w:hAnsi="仿宋_GB2312" w:eastAsia="仿宋_GB2312" w:cs="仿宋_GB2312"/>
              </w:rPr>
            </w:pPr>
            <w:r>
              <w:rPr>
                <w:rFonts w:hint="eastAsia" w:ascii="仿宋_GB2312" w:hAnsi="仿宋_GB2312" w:eastAsia="仿宋_GB2312" w:cs="仿宋_GB2312"/>
                <w:spacing w:val="-1"/>
              </w:rPr>
              <w:t>981.75 BC</w:t>
            </w:r>
          </w:p>
        </w:tc>
        <w:tc>
          <w:tcPr>
            <w:tcW w:w="1398" w:type="dxa"/>
          </w:tcPr>
          <w:p w14:paraId="45338508">
            <w:pPr>
              <w:pStyle w:val="43"/>
              <w:spacing w:before="44" w:line="186" w:lineRule="auto"/>
              <w:ind w:left="202"/>
              <w:jc w:val="center"/>
              <w:rPr>
                <w:rFonts w:ascii="仿宋_GB2312" w:hAnsi="仿宋_GB2312" w:eastAsia="仿宋_GB2312" w:cs="仿宋_GB2312"/>
              </w:rPr>
            </w:pPr>
            <w:r>
              <w:rPr>
                <w:rFonts w:hint="eastAsia" w:ascii="仿宋_GB2312" w:hAnsi="仿宋_GB2312" w:eastAsia="仿宋_GB2312" w:cs="仿宋_GB2312"/>
                <w:spacing w:val="-4"/>
              </w:rPr>
              <w:t>16</w:t>
            </w:r>
          </w:p>
        </w:tc>
      </w:tr>
      <w:tr w14:paraId="0AA8239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73" w:hRule="atLeast"/>
          <w:jc w:val="center"/>
        </w:trPr>
        <w:tc>
          <w:tcPr>
            <w:tcW w:w="1168" w:type="dxa"/>
          </w:tcPr>
          <w:p w14:paraId="3042CD00">
            <w:pPr>
              <w:pStyle w:val="43"/>
              <w:spacing w:before="27" w:line="208" w:lineRule="auto"/>
              <w:ind w:left="60"/>
              <w:jc w:val="center"/>
              <w:rPr>
                <w:rFonts w:ascii="仿宋_GB2312" w:hAnsi="仿宋_GB2312" w:eastAsia="仿宋_GB2312" w:cs="仿宋_GB2312"/>
              </w:rPr>
            </w:pPr>
            <w:r>
              <w:rPr>
                <w:rFonts w:hint="eastAsia" w:ascii="仿宋_GB2312" w:hAnsi="仿宋_GB2312" w:eastAsia="仿宋_GB2312" w:cs="仿宋_GB2312"/>
                <w:spacing w:val="-2"/>
              </w:rPr>
              <w:t>云豆早7号</w:t>
            </w:r>
          </w:p>
        </w:tc>
        <w:tc>
          <w:tcPr>
            <w:tcW w:w="1619" w:type="dxa"/>
          </w:tcPr>
          <w:p w14:paraId="07048F28">
            <w:pPr>
              <w:pStyle w:val="43"/>
              <w:spacing w:before="38" w:line="191"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11.00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301F21A3">
            <w:pPr>
              <w:pStyle w:val="43"/>
              <w:spacing w:before="38" w:line="191" w:lineRule="auto"/>
              <w:ind w:left="205"/>
              <w:jc w:val="center"/>
              <w:rPr>
                <w:rFonts w:ascii="仿宋_GB2312" w:hAnsi="仿宋_GB2312" w:eastAsia="仿宋_GB2312" w:cs="仿宋_GB2312"/>
              </w:rPr>
            </w:pPr>
            <w:r>
              <w:rPr>
                <w:rFonts w:hint="eastAsia" w:ascii="仿宋_GB2312" w:hAnsi="仿宋_GB2312" w:eastAsia="仿宋_GB2312" w:cs="仿宋_GB2312"/>
                <w:spacing w:val="-2"/>
              </w:rPr>
              <w:t>231.0</w:t>
            </w:r>
            <w:r>
              <w:rPr>
                <w:rFonts w:hint="eastAsia" w:ascii="仿宋_GB2312" w:hAnsi="仿宋_GB2312" w:eastAsia="仿宋_GB2312" w:cs="仿宋_GB2312"/>
                <w:spacing w:val="19"/>
                <w:w w:val="101"/>
              </w:rPr>
              <w:t xml:space="preserve">  </w:t>
            </w:r>
            <w:r>
              <w:rPr>
                <w:rFonts w:hint="eastAsia" w:ascii="仿宋_GB2312" w:hAnsi="仿宋_GB2312" w:eastAsia="仿宋_GB2312" w:cs="仿宋_GB2312"/>
                <w:spacing w:val="-2"/>
              </w:rPr>
              <w:t>B</w:t>
            </w:r>
          </w:p>
        </w:tc>
        <w:tc>
          <w:tcPr>
            <w:tcW w:w="1645" w:type="dxa"/>
          </w:tcPr>
          <w:p w14:paraId="4C47F210">
            <w:pPr>
              <w:pStyle w:val="43"/>
              <w:spacing w:before="38" w:line="191" w:lineRule="auto"/>
              <w:ind w:left="115"/>
              <w:jc w:val="center"/>
              <w:rPr>
                <w:rFonts w:ascii="仿宋_GB2312" w:hAnsi="仿宋_GB2312" w:eastAsia="仿宋_GB2312" w:cs="仿宋_GB2312"/>
              </w:rPr>
            </w:pPr>
            <w:r>
              <w:rPr>
                <w:rFonts w:hint="eastAsia" w:ascii="仿宋_GB2312" w:hAnsi="仿宋_GB2312" w:eastAsia="仿宋_GB2312" w:cs="仿宋_GB2312"/>
                <w:spacing w:val="-2"/>
              </w:rPr>
              <w:t>1083.75B</w:t>
            </w:r>
          </w:p>
        </w:tc>
        <w:tc>
          <w:tcPr>
            <w:tcW w:w="1398" w:type="dxa"/>
          </w:tcPr>
          <w:p w14:paraId="4A879B53">
            <w:pPr>
              <w:pStyle w:val="43"/>
              <w:spacing w:before="38" w:line="191" w:lineRule="auto"/>
              <w:ind w:left="152"/>
              <w:jc w:val="center"/>
              <w:rPr>
                <w:rFonts w:ascii="仿宋_GB2312" w:hAnsi="仿宋_GB2312" w:eastAsia="仿宋_GB2312" w:cs="仿宋_GB2312"/>
              </w:rPr>
            </w:pPr>
            <w:r>
              <w:rPr>
                <w:rFonts w:hint="eastAsia" w:ascii="仿宋_GB2312" w:hAnsi="仿宋_GB2312" w:eastAsia="仿宋_GB2312" w:cs="仿宋_GB2312"/>
                <w:spacing w:val="-4"/>
              </w:rPr>
              <w:t>15</w:t>
            </w:r>
          </w:p>
        </w:tc>
      </w:tr>
      <w:tr w14:paraId="24406B83">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0" w:hRule="atLeast"/>
          <w:jc w:val="center"/>
        </w:trPr>
        <w:tc>
          <w:tcPr>
            <w:tcW w:w="1168" w:type="dxa"/>
          </w:tcPr>
          <w:p w14:paraId="1DC62B2A">
            <w:pPr>
              <w:pStyle w:val="43"/>
              <w:spacing w:before="33" w:line="210" w:lineRule="auto"/>
              <w:ind w:left="60"/>
              <w:jc w:val="center"/>
              <w:rPr>
                <w:rFonts w:ascii="仿宋_GB2312" w:hAnsi="仿宋_GB2312" w:eastAsia="仿宋_GB2312" w:cs="仿宋_GB2312"/>
              </w:rPr>
            </w:pPr>
            <w:r>
              <w:rPr>
                <w:rFonts w:hint="eastAsia" w:ascii="仿宋_GB2312" w:hAnsi="仿宋_GB2312" w:eastAsia="仿宋_GB2312" w:cs="仿宋_GB2312"/>
                <w:spacing w:val="-2"/>
              </w:rPr>
              <w:t>贵农圆满</w:t>
            </w:r>
          </w:p>
        </w:tc>
        <w:tc>
          <w:tcPr>
            <w:tcW w:w="1619" w:type="dxa"/>
          </w:tcPr>
          <w:p w14:paraId="061BABA2">
            <w:pPr>
              <w:pStyle w:val="43"/>
              <w:spacing w:before="45" w:line="191" w:lineRule="auto"/>
              <w:ind w:left="112"/>
              <w:jc w:val="center"/>
              <w:rPr>
                <w:rFonts w:ascii="仿宋_GB2312" w:hAnsi="仿宋_GB2312" w:eastAsia="仿宋_GB2312" w:cs="仿宋_GB2312"/>
              </w:rPr>
            </w:pPr>
            <w:r>
              <w:rPr>
                <w:rFonts w:hint="eastAsia" w:ascii="仿宋_GB2312" w:hAnsi="仿宋_GB2312" w:eastAsia="仿宋_GB2312" w:cs="仿宋_GB2312"/>
                <w:spacing w:val="-2"/>
              </w:rPr>
              <w:t>16.00 BC</w:t>
            </w:r>
          </w:p>
        </w:tc>
        <w:tc>
          <w:tcPr>
            <w:tcW w:w="1584" w:type="dxa"/>
          </w:tcPr>
          <w:p w14:paraId="50AE42E4">
            <w:pPr>
              <w:pStyle w:val="43"/>
              <w:spacing w:before="45" w:line="191" w:lineRule="auto"/>
              <w:ind w:left="265"/>
              <w:jc w:val="center"/>
              <w:rPr>
                <w:rFonts w:ascii="仿宋_GB2312" w:hAnsi="仿宋_GB2312" w:eastAsia="仿宋_GB2312" w:cs="仿宋_GB2312"/>
              </w:rPr>
            </w:pPr>
            <w:r>
              <w:rPr>
                <w:rFonts w:hint="eastAsia" w:ascii="仿宋_GB2312" w:hAnsi="仿宋_GB2312" w:eastAsia="仿宋_GB2312" w:cs="仿宋_GB2312"/>
                <w:spacing w:val="-1"/>
              </w:rPr>
              <w:t>263.0B</w:t>
            </w:r>
          </w:p>
        </w:tc>
        <w:tc>
          <w:tcPr>
            <w:tcW w:w="1645" w:type="dxa"/>
          </w:tcPr>
          <w:p w14:paraId="2DC90FC8">
            <w:pPr>
              <w:pStyle w:val="43"/>
              <w:spacing w:before="45" w:line="191" w:lineRule="auto"/>
              <w:ind w:left="105"/>
              <w:jc w:val="center"/>
              <w:rPr>
                <w:rFonts w:ascii="仿宋_GB2312" w:hAnsi="仿宋_GB2312" w:eastAsia="仿宋_GB2312" w:cs="仿宋_GB2312"/>
              </w:rPr>
            </w:pPr>
            <w:r>
              <w:rPr>
                <w:rFonts w:hint="eastAsia" w:ascii="仿宋_GB2312" w:hAnsi="仿宋_GB2312" w:eastAsia="仿宋_GB2312" w:cs="仿宋_GB2312"/>
                <w:spacing w:val="-2"/>
              </w:rPr>
              <w:t>1389.75AB</w:t>
            </w:r>
          </w:p>
        </w:tc>
        <w:tc>
          <w:tcPr>
            <w:tcW w:w="1398" w:type="dxa"/>
          </w:tcPr>
          <w:p w14:paraId="2AFD9E21">
            <w:pPr>
              <w:pStyle w:val="43"/>
              <w:spacing w:before="45" w:line="191" w:lineRule="auto"/>
              <w:ind w:left="247"/>
              <w:jc w:val="center"/>
              <w:rPr>
                <w:rFonts w:ascii="仿宋_GB2312" w:hAnsi="仿宋_GB2312" w:eastAsia="仿宋_GB2312" w:cs="仿宋_GB2312"/>
              </w:rPr>
            </w:pPr>
            <w:r>
              <w:rPr>
                <w:rFonts w:hint="eastAsia" w:ascii="仿宋_GB2312" w:hAnsi="仿宋_GB2312" w:eastAsia="仿宋_GB2312" w:cs="仿宋_GB2312"/>
              </w:rPr>
              <w:t>8</w:t>
            </w:r>
          </w:p>
        </w:tc>
      </w:tr>
      <w:tr w14:paraId="1C07AEB1">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1" w:hRule="atLeast"/>
          <w:jc w:val="center"/>
        </w:trPr>
        <w:tc>
          <w:tcPr>
            <w:tcW w:w="1168" w:type="dxa"/>
          </w:tcPr>
          <w:p w14:paraId="47C62463">
            <w:pPr>
              <w:pStyle w:val="43"/>
              <w:spacing w:before="34" w:line="210" w:lineRule="auto"/>
              <w:ind w:left="59"/>
              <w:jc w:val="center"/>
              <w:rPr>
                <w:rFonts w:ascii="仿宋_GB2312" w:hAnsi="仿宋_GB2312" w:eastAsia="仿宋_GB2312" w:cs="仿宋_GB2312"/>
              </w:rPr>
            </w:pPr>
            <w:r>
              <w:rPr>
                <w:rFonts w:hint="eastAsia" w:ascii="仿宋_GB2312" w:hAnsi="仿宋_GB2312" w:eastAsia="仿宋_GB2312" w:cs="仿宋_GB2312"/>
                <w:spacing w:val="-2"/>
              </w:rPr>
              <w:t>慈溪大白蚕</w:t>
            </w:r>
          </w:p>
        </w:tc>
        <w:tc>
          <w:tcPr>
            <w:tcW w:w="1619" w:type="dxa"/>
          </w:tcPr>
          <w:p w14:paraId="3A2C5DDB">
            <w:pPr>
              <w:pStyle w:val="43"/>
              <w:spacing w:before="46" w:line="192"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12.00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0198DDEE">
            <w:pPr>
              <w:pStyle w:val="43"/>
              <w:spacing w:before="46" w:line="192" w:lineRule="auto"/>
              <w:ind w:left="105"/>
              <w:jc w:val="center"/>
              <w:rPr>
                <w:rFonts w:ascii="仿宋_GB2312" w:hAnsi="仿宋_GB2312" w:eastAsia="仿宋_GB2312" w:cs="仿宋_GB2312"/>
              </w:rPr>
            </w:pPr>
            <w:r>
              <w:rPr>
                <w:rFonts w:hint="eastAsia" w:ascii="仿宋_GB2312" w:hAnsi="仿宋_GB2312" w:eastAsia="仿宋_GB2312" w:cs="仿宋_GB2312"/>
                <w:spacing w:val="-2"/>
              </w:rPr>
              <w:t>190.0   BC</w:t>
            </w:r>
          </w:p>
        </w:tc>
        <w:tc>
          <w:tcPr>
            <w:tcW w:w="1645" w:type="dxa"/>
          </w:tcPr>
          <w:p w14:paraId="7C3E9337">
            <w:pPr>
              <w:pStyle w:val="43"/>
              <w:spacing w:before="46" w:line="192" w:lineRule="auto"/>
              <w:ind w:left="135"/>
              <w:jc w:val="center"/>
              <w:rPr>
                <w:rFonts w:ascii="仿宋_GB2312" w:hAnsi="仿宋_GB2312" w:eastAsia="仿宋_GB2312" w:cs="仿宋_GB2312"/>
              </w:rPr>
            </w:pPr>
            <w:r>
              <w:rPr>
                <w:rFonts w:hint="eastAsia" w:ascii="仿宋_GB2312" w:hAnsi="仿宋_GB2312" w:eastAsia="仿宋_GB2312" w:cs="仿宋_GB2312"/>
                <w:spacing w:val="-1"/>
              </w:rPr>
              <w:t>216.75C</w:t>
            </w:r>
          </w:p>
        </w:tc>
        <w:tc>
          <w:tcPr>
            <w:tcW w:w="1398" w:type="dxa"/>
          </w:tcPr>
          <w:p w14:paraId="2D093D5C">
            <w:pPr>
              <w:pStyle w:val="43"/>
              <w:spacing w:before="46" w:line="192" w:lineRule="auto"/>
              <w:ind w:left="195"/>
              <w:jc w:val="center"/>
              <w:rPr>
                <w:rFonts w:ascii="仿宋_GB2312" w:hAnsi="仿宋_GB2312" w:eastAsia="仿宋_GB2312" w:cs="仿宋_GB2312"/>
              </w:rPr>
            </w:pPr>
            <w:r>
              <w:rPr>
                <w:rFonts w:hint="eastAsia" w:ascii="仿宋_GB2312" w:hAnsi="仿宋_GB2312" w:eastAsia="仿宋_GB2312" w:cs="仿宋_GB2312"/>
                <w:spacing w:val="-4"/>
              </w:rPr>
              <w:t>18</w:t>
            </w:r>
          </w:p>
        </w:tc>
      </w:tr>
      <w:tr w14:paraId="07248D13">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3" w:hRule="atLeast"/>
          <w:jc w:val="center"/>
        </w:trPr>
        <w:tc>
          <w:tcPr>
            <w:tcW w:w="1168" w:type="dxa"/>
          </w:tcPr>
          <w:p w14:paraId="60942D8F">
            <w:pPr>
              <w:pStyle w:val="43"/>
              <w:spacing w:before="33" w:line="214" w:lineRule="auto"/>
              <w:ind w:left="59"/>
              <w:jc w:val="center"/>
              <w:rPr>
                <w:rFonts w:ascii="仿宋_GB2312" w:hAnsi="仿宋_GB2312" w:eastAsia="仿宋_GB2312" w:cs="仿宋_GB2312"/>
              </w:rPr>
            </w:pPr>
            <w:r>
              <w:rPr>
                <w:rFonts w:hint="eastAsia" w:ascii="仿宋_GB2312" w:hAnsi="仿宋_GB2312" w:eastAsia="仿宋_GB2312" w:cs="仿宋_GB2312"/>
                <w:spacing w:val="-1"/>
              </w:rPr>
              <w:t>凤豆6号</w:t>
            </w:r>
          </w:p>
        </w:tc>
        <w:tc>
          <w:tcPr>
            <w:tcW w:w="1619" w:type="dxa"/>
          </w:tcPr>
          <w:p w14:paraId="1CD05CAD">
            <w:pPr>
              <w:pStyle w:val="43"/>
              <w:spacing w:before="44" w:line="197" w:lineRule="auto"/>
              <w:ind w:left="172"/>
              <w:jc w:val="center"/>
              <w:rPr>
                <w:rFonts w:ascii="仿宋_GB2312" w:hAnsi="仿宋_GB2312" w:eastAsia="仿宋_GB2312" w:cs="仿宋_GB2312"/>
              </w:rPr>
            </w:pPr>
            <w:r>
              <w:rPr>
                <w:rFonts w:hint="eastAsia" w:ascii="仿宋_GB2312" w:hAnsi="仿宋_GB2312" w:eastAsia="仿宋_GB2312" w:cs="仿宋_GB2312"/>
                <w:spacing w:val="-2"/>
              </w:rPr>
              <w:t>7.00</w:t>
            </w:r>
            <w:r>
              <w:rPr>
                <w:rFonts w:hint="eastAsia" w:ascii="仿宋_GB2312" w:hAnsi="仿宋_GB2312" w:eastAsia="仿宋_GB2312" w:cs="仿宋_GB2312"/>
                <w:spacing w:val="5"/>
              </w:rPr>
              <w:t xml:space="preserve"> </w:t>
            </w:r>
            <w:r>
              <w:rPr>
                <w:rFonts w:hint="eastAsia" w:ascii="仿宋_GB2312" w:hAnsi="仿宋_GB2312" w:eastAsia="仿宋_GB2312" w:cs="仿宋_GB2312"/>
                <w:spacing w:val="-2"/>
              </w:rPr>
              <w:t>C</w:t>
            </w:r>
          </w:p>
        </w:tc>
        <w:tc>
          <w:tcPr>
            <w:tcW w:w="1584" w:type="dxa"/>
          </w:tcPr>
          <w:p w14:paraId="5B93D4BB">
            <w:pPr>
              <w:pStyle w:val="43"/>
              <w:spacing w:before="44" w:line="197" w:lineRule="auto"/>
              <w:ind w:left="265"/>
              <w:jc w:val="center"/>
              <w:rPr>
                <w:rFonts w:ascii="仿宋_GB2312" w:hAnsi="仿宋_GB2312" w:eastAsia="仿宋_GB2312" w:cs="仿宋_GB2312"/>
              </w:rPr>
            </w:pPr>
            <w:r>
              <w:rPr>
                <w:rFonts w:hint="eastAsia" w:ascii="仿宋_GB2312" w:hAnsi="仿宋_GB2312" w:eastAsia="仿宋_GB2312" w:cs="仿宋_GB2312"/>
                <w:spacing w:val="-2"/>
              </w:rPr>
              <w:t>114.0C</w:t>
            </w:r>
          </w:p>
        </w:tc>
        <w:tc>
          <w:tcPr>
            <w:tcW w:w="1645" w:type="dxa"/>
          </w:tcPr>
          <w:p w14:paraId="02D9243C">
            <w:pPr>
              <w:pStyle w:val="43"/>
              <w:spacing w:before="44" w:line="197" w:lineRule="auto"/>
              <w:ind w:left="212"/>
              <w:jc w:val="center"/>
              <w:rPr>
                <w:rFonts w:ascii="仿宋_GB2312" w:hAnsi="仿宋_GB2312" w:eastAsia="仿宋_GB2312" w:cs="仿宋_GB2312"/>
              </w:rPr>
            </w:pPr>
            <w:r>
              <w:rPr>
                <w:rFonts w:hint="eastAsia" w:ascii="仿宋_GB2312" w:hAnsi="仿宋_GB2312" w:eastAsia="仿宋_GB2312" w:cs="仿宋_GB2312"/>
                <w:spacing w:val="-1"/>
              </w:rPr>
              <w:t>561.00C</w:t>
            </w:r>
          </w:p>
        </w:tc>
        <w:tc>
          <w:tcPr>
            <w:tcW w:w="1398" w:type="dxa"/>
          </w:tcPr>
          <w:p w14:paraId="72221CD9">
            <w:pPr>
              <w:pStyle w:val="43"/>
              <w:spacing w:before="44" w:line="197" w:lineRule="auto"/>
              <w:ind w:left="255"/>
              <w:jc w:val="center"/>
              <w:rPr>
                <w:rFonts w:ascii="仿宋_GB2312" w:hAnsi="仿宋_GB2312" w:eastAsia="仿宋_GB2312" w:cs="仿宋_GB2312"/>
              </w:rPr>
            </w:pPr>
            <w:r>
              <w:rPr>
                <w:rFonts w:hint="eastAsia" w:ascii="仿宋_GB2312" w:hAnsi="仿宋_GB2312" w:eastAsia="仿宋_GB2312" w:cs="仿宋_GB2312"/>
                <w:spacing w:val="-4"/>
              </w:rPr>
              <w:t>17</w:t>
            </w:r>
          </w:p>
        </w:tc>
      </w:tr>
      <w:tr w14:paraId="3EFB94B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9" w:hRule="atLeast"/>
          <w:jc w:val="center"/>
        </w:trPr>
        <w:tc>
          <w:tcPr>
            <w:tcW w:w="1168" w:type="dxa"/>
          </w:tcPr>
          <w:p w14:paraId="66571FD9">
            <w:pPr>
              <w:pStyle w:val="43"/>
              <w:spacing w:before="39" w:line="214" w:lineRule="auto"/>
              <w:ind w:left="59"/>
              <w:jc w:val="center"/>
              <w:rPr>
                <w:rFonts w:ascii="仿宋_GB2312" w:hAnsi="仿宋_GB2312" w:eastAsia="仿宋_GB2312" w:cs="仿宋_GB2312"/>
              </w:rPr>
            </w:pPr>
            <w:r>
              <w:rPr>
                <w:rFonts w:hint="eastAsia" w:ascii="仿宋_GB2312" w:hAnsi="仿宋_GB2312" w:eastAsia="仿宋_GB2312" w:cs="仿宋_GB2312"/>
                <w:spacing w:val="-3"/>
              </w:rPr>
              <w:t>临蚕9号</w:t>
            </w:r>
          </w:p>
        </w:tc>
        <w:tc>
          <w:tcPr>
            <w:tcW w:w="1619" w:type="dxa"/>
          </w:tcPr>
          <w:p w14:paraId="2160C7D2">
            <w:pPr>
              <w:pStyle w:val="43"/>
              <w:spacing w:before="51" w:line="196"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12.00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68076E1C">
            <w:pPr>
              <w:pStyle w:val="43"/>
              <w:spacing w:before="51" w:line="196" w:lineRule="auto"/>
              <w:ind w:left="205"/>
              <w:jc w:val="center"/>
              <w:rPr>
                <w:rFonts w:ascii="仿宋_GB2312" w:hAnsi="仿宋_GB2312" w:eastAsia="仿宋_GB2312" w:cs="仿宋_GB2312"/>
              </w:rPr>
            </w:pPr>
            <w:r>
              <w:rPr>
                <w:rFonts w:hint="eastAsia" w:ascii="仿宋_GB2312" w:hAnsi="仿宋_GB2312" w:eastAsia="仿宋_GB2312" w:cs="仿宋_GB2312"/>
                <w:spacing w:val="-2"/>
              </w:rPr>
              <w:t>193.0 BC</w:t>
            </w:r>
          </w:p>
        </w:tc>
        <w:tc>
          <w:tcPr>
            <w:tcW w:w="1645" w:type="dxa"/>
          </w:tcPr>
          <w:p w14:paraId="113140A4">
            <w:pPr>
              <w:pStyle w:val="43"/>
              <w:spacing w:before="51" w:line="196" w:lineRule="auto"/>
              <w:ind w:left="135"/>
              <w:jc w:val="center"/>
              <w:rPr>
                <w:rFonts w:ascii="仿宋_GB2312" w:hAnsi="仿宋_GB2312" w:eastAsia="仿宋_GB2312" w:cs="仿宋_GB2312"/>
              </w:rPr>
            </w:pPr>
            <w:r>
              <w:rPr>
                <w:rFonts w:hint="eastAsia" w:ascii="仿宋_GB2312" w:hAnsi="仿宋_GB2312" w:eastAsia="仿宋_GB2312" w:cs="仿宋_GB2312"/>
                <w:spacing w:val="-2"/>
              </w:rPr>
              <w:t>1275.00AB</w:t>
            </w:r>
          </w:p>
        </w:tc>
        <w:tc>
          <w:tcPr>
            <w:tcW w:w="1398" w:type="dxa"/>
          </w:tcPr>
          <w:p w14:paraId="7A646B76">
            <w:pPr>
              <w:pStyle w:val="43"/>
              <w:spacing w:before="51" w:line="196" w:lineRule="auto"/>
              <w:ind w:left="75"/>
              <w:jc w:val="center"/>
              <w:rPr>
                <w:rFonts w:ascii="仿宋_GB2312" w:hAnsi="仿宋_GB2312" w:eastAsia="仿宋_GB2312" w:cs="仿宋_GB2312"/>
              </w:rPr>
            </w:pPr>
            <w:r>
              <w:rPr>
                <w:rFonts w:hint="eastAsia" w:ascii="仿宋_GB2312" w:hAnsi="仿宋_GB2312" w:eastAsia="仿宋_GB2312" w:cs="仿宋_GB2312"/>
                <w:spacing w:val="-4"/>
              </w:rPr>
              <w:t>11</w:t>
            </w:r>
          </w:p>
        </w:tc>
      </w:tr>
      <w:tr w14:paraId="6A1A73D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1" w:hRule="atLeast"/>
          <w:jc w:val="center"/>
        </w:trPr>
        <w:tc>
          <w:tcPr>
            <w:tcW w:w="1168" w:type="dxa"/>
          </w:tcPr>
          <w:p w14:paraId="3A36C67C">
            <w:pPr>
              <w:pStyle w:val="43"/>
              <w:spacing w:before="40" w:line="201" w:lineRule="auto"/>
              <w:ind w:left="59"/>
              <w:jc w:val="center"/>
              <w:rPr>
                <w:rFonts w:ascii="仿宋_GB2312" w:hAnsi="仿宋_GB2312" w:eastAsia="仿宋_GB2312" w:cs="仿宋_GB2312"/>
              </w:rPr>
            </w:pPr>
            <w:r>
              <w:rPr>
                <w:rFonts w:hint="eastAsia" w:ascii="仿宋_GB2312" w:hAnsi="仿宋_GB2312" w:eastAsia="仿宋_GB2312" w:cs="仿宋_GB2312"/>
                <w:spacing w:val="1"/>
              </w:rPr>
              <w:t>日本大白皮</w:t>
            </w:r>
          </w:p>
        </w:tc>
        <w:tc>
          <w:tcPr>
            <w:tcW w:w="1619" w:type="dxa"/>
          </w:tcPr>
          <w:p w14:paraId="371E34AE">
            <w:pPr>
              <w:pStyle w:val="43"/>
              <w:spacing w:before="52" w:line="182" w:lineRule="auto"/>
              <w:ind w:left="142"/>
              <w:jc w:val="center"/>
              <w:rPr>
                <w:rFonts w:ascii="仿宋_GB2312" w:hAnsi="仿宋_GB2312" w:eastAsia="仿宋_GB2312" w:cs="仿宋_GB2312"/>
              </w:rPr>
            </w:pPr>
            <w:r>
              <w:rPr>
                <w:rFonts w:hint="eastAsia" w:ascii="仿宋_GB2312" w:hAnsi="仿宋_GB2312" w:eastAsia="仿宋_GB2312" w:cs="仿宋_GB2312"/>
                <w:spacing w:val="-1"/>
              </w:rPr>
              <w:t>31.00 A</w:t>
            </w:r>
          </w:p>
        </w:tc>
        <w:tc>
          <w:tcPr>
            <w:tcW w:w="1584" w:type="dxa"/>
          </w:tcPr>
          <w:p w14:paraId="64A16B70">
            <w:pPr>
              <w:pStyle w:val="43"/>
              <w:spacing w:before="52" w:line="182" w:lineRule="auto"/>
              <w:ind w:left="205"/>
              <w:jc w:val="center"/>
              <w:rPr>
                <w:rFonts w:ascii="仿宋_GB2312" w:hAnsi="仿宋_GB2312" w:eastAsia="仿宋_GB2312" w:cs="仿宋_GB2312"/>
              </w:rPr>
            </w:pPr>
            <w:r>
              <w:rPr>
                <w:rFonts w:hint="eastAsia" w:ascii="仿宋_GB2312" w:hAnsi="仿宋_GB2312" w:eastAsia="仿宋_GB2312" w:cs="仿宋_GB2312"/>
                <w:spacing w:val="-1"/>
              </w:rPr>
              <w:t>464.0A</w:t>
            </w:r>
          </w:p>
        </w:tc>
        <w:tc>
          <w:tcPr>
            <w:tcW w:w="1645" w:type="dxa"/>
          </w:tcPr>
          <w:p w14:paraId="23DBA49C">
            <w:pPr>
              <w:pStyle w:val="43"/>
              <w:spacing w:before="52" w:line="182" w:lineRule="auto"/>
              <w:ind w:left="135"/>
              <w:jc w:val="center"/>
              <w:rPr>
                <w:rFonts w:ascii="仿宋_GB2312" w:hAnsi="仿宋_GB2312" w:eastAsia="仿宋_GB2312" w:cs="仿宋_GB2312"/>
              </w:rPr>
            </w:pPr>
            <w:r>
              <w:rPr>
                <w:rFonts w:hint="eastAsia" w:ascii="仿宋_GB2312" w:hAnsi="仿宋_GB2312" w:eastAsia="仿宋_GB2312" w:cs="仿宋_GB2312"/>
                <w:spacing w:val="-2"/>
              </w:rPr>
              <w:t>1236.75AB</w:t>
            </w:r>
          </w:p>
        </w:tc>
        <w:tc>
          <w:tcPr>
            <w:tcW w:w="1398" w:type="dxa"/>
          </w:tcPr>
          <w:p w14:paraId="4EA87191">
            <w:pPr>
              <w:pStyle w:val="43"/>
              <w:spacing w:before="52" w:line="182" w:lineRule="auto"/>
              <w:ind w:left="283"/>
              <w:jc w:val="center"/>
              <w:rPr>
                <w:rFonts w:ascii="仿宋_GB2312" w:hAnsi="仿宋_GB2312" w:eastAsia="仿宋_GB2312" w:cs="仿宋_GB2312"/>
              </w:rPr>
            </w:pPr>
            <w:r>
              <w:rPr>
                <w:rFonts w:hint="eastAsia" w:ascii="仿宋_GB2312" w:hAnsi="仿宋_GB2312" w:eastAsia="仿宋_GB2312" w:cs="仿宋_GB2312"/>
                <w:spacing w:val="-4"/>
              </w:rPr>
              <w:t>12</w:t>
            </w:r>
          </w:p>
        </w:tc>
      </w:tr>
      <w:tr w14:paraId="3D3345D4">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79" w:hRule="atLeast"/>
          <w:jc w:val="center"/>
        </w:trPr>
        <w:tc>
          <w:tcPr>
            <w:tcW w:w="1168" w:type="dxa"/>
          </w:tcPr>
          <w:p w14:paraId="274EFBFA">
            <w:pPr>
              <w:pStyle w:val="43"/>
              <w:spacing w:before="30" w:line="213" w:lineRule="auto"/>
              <w:ind w:left="60"/>
              <w:jc w:val="center"/>
              <w:rPr>
                <w:rFonts w:ascii="仿宋_GB2312" w:hAnsi="仿宋_GB2312" w:eastAsia="仿宋_GB2312" w:cs="仿宋_GB2312"/>
              </w:rPr>
            </w:pPr>
            <w:r>
              <w:rPr>
                <w:rFonts w:hint="eastAsia" w:ascii="仿宋_GB2312" w:hAnsi="仿宋_GB2312" w:eastAsia="仿宋_GB2312" w:cs="仿宋_GB2312"/>
                <w:spacing w:val="-2"/>
              </w:rPr>
              <w:t>北斗七星豆</w:t>
            </w:r>
          </w:p>
        </w:tc>
        <w:tc>
          <w:tcPr>
            <w:tcW w:w="1619" w:type="dxa"/>
          </w:tcPr>
          <w:p w14:paraId="73D38FAB">
            <w:pPr>
              <w:pStyle w:val="43"/>
              <w:spacing w:before="51" w:line="180" w:lineRule="auto"/>
              <w:ind w:left="142"/>
              <w:jc w:val="center"/>
              <w:rPr>
                <w:rFonts w:ascii="仿宋_GB2312" w:hAnsi="仿宋_GB2312" w:eastAsia="仿宋_GB2312" w:cs="仿宋_GB2312"/>
              </w:rPr>
            </w:pPr>
            <w:r>
              <w:rPr>
                <w:rFonts w:hint="eastAsia" w:ascii="仿宋_GB2312" w:hAnsi="仿宋_GB2312" w:eastAsia="仿宋_GB2312" w:cs="仿宋_GB2312"/>
                <w:spacing w:val="-1"/>
              </w:rPr>
              <w:t>21.00 B</w:t>
            </w:r>
          </w:p>
        </w:tc>
        <w:tc>
          <w:tcPr>
            <w:tcW w:w="1584" w:type="dxa"/>
          </w:tcPr>
          <w:p w14:paraId="55D8DC38">
            <w:pPr>
              <w:pStyle w:val="43"/>
              <w:spacing w:before="51" w:line="180" w:lineRule="auto"/>
              <w:ind w:left="265"/>
              <w:jc w:val="center"/>
              <w:rPr>
                <w:rFonts w:ascii="仿宋_GB2312" w:hAnsi="仿宋_GB2312" w:eastAsia="仿宋_GB2312" w:cs="仿宋_GB2312"/>
              </w:rPr>
            </w:pPr>
            <w:r>
              <w:rPr>
                <w:rFonts w:hint="eastAsia" w:ascii="仿宋_GB2312" w:hAnsi="仿宋_GB2312" w:eastAsia="仿宋_GB2312" w:cs="仿宋_GB2312"/>
                <w:spacing w:val="-2"/>
              </w:rPr>
              <w:t>141.0C</w:t>
            </w:r>
          </w:p>
        </w:tc>
        <w:tc>
          <w:tcPr>
            <w:tcW w:w="1645" w:type="dxa"/>
          </w:tcPr>
          <w:p w14:paraId="5429FBA4">
            <w:pPr>
              <w:pStyle w:val="43"/>
              <w:spacing w:before="51" w:line="180" w:lineRule="auto"/>
              <w:ind w:left="198"/>
              <w:jc w:val="center"/>
              <w:rPr>
                <w:rFonts w:ascii="仿宋_GB2312" w:hAnsi="仿宋_GB2312" w:eastAsia="仿宋_GB2312" w:cs="仿宋_GB2312"/>
              </w:rPr>
            </w:pPr>
            <w:r>
              <w:rPr>
                <w:rFonts w:hint="eastAsia" w:ascii="仿宋_GB2312" w:hAnsi="仿宋_GB2312" w:eastAsia="仿宋_GB2312" w:cs="仿宋_GB2312"/>
                <w:spacing w:val="-6"/>
              </w:rPr>
              <w:t>981.75 BC</w:t>
            </w:r>
          </w:p>
        </w:tc>
        <w:tc>
          <w:tcPr>
            <w:tcW w:w="1398" w:type="dxa"/>
          </w:tcPr>
          <w:p w14:paraId="249F5E95">
            <w:pPr>
              <w:pStyle w:val="43"/>
              <w:spacing w:before="51" w:line="180" w:lineRule="auto"/>
              <w:ind w:left="255"/>
              <w:jc w:val="center"/>
              <w:rPr>
                <w:rFonts w:ascii="仿宋_GB2312" w:hAnsi="仿宋_GB2312" w:eastAsia="仿宋_GB2312" w:cs="仿宋_GB2312"/>
              </w:rPr>
            </w:pPr>
            <w:r>
              <w:rPr>
                <w:rFonts w:hint="eastAsia" w:ascii="仿宋_GB2312" w:hAnsi="仿宋_GB2312" w:eastAsia="仿宋_GB2312" w:cs="仿宋_GB2312"/>
                <w:spacing w:val="-4"/>
              </w:rPr>
              <w:t>16</w:t>
            </w:r>
          </w:p>
        </w:tc>
      </w:tr>
      <w:tr w14:paraId="3B562961">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0" w:hRule="atLeast"/>
          <w:jc w:val="center"/>
        </w:trPr>
        <w:tc>
          <w:tcPr>
            <w:tcW w:w="1168" w:type="dxa"/>
          </w:tcPr>
          <w:p w14:paraId="504B6B14">
            <w:pPr>
              <w:pStyle w:val="43"/>
              <w:spacing w:before="31" w:line="213" w:lineRule="auto"/>
              <w:ind w:left="60"/>
              <w:jc w:val="center"/>
              <w:rPr>
                <w:rFonts w:ascii="仿宋_GB2312" w:hAnsi="仿宋_GB2312" w:eastAsia="仿宋_GB2312" w:cs="仿宋_GB2312"/>
              </w:rPr>
            </w:pPr>
            <w:r>
              <w:rPr>
                <w:rFonts w:hint="eastAsia" w:ascii="仿宋_GB2312" w:hAnsi="仿宋_GB2312" w:eastAsia="仿宋_GB2312" w:cs="仿宋_GB2312"/>
                <w:spacing w:val="-2"/>
              </w:rPr>
              <w:t>启豆1号</w:t>
            </w:r>
          </w:p>
        </w:tc>
        <w:tc>
          <w:tcPr>
            <w:tcW w:w="1619" w:type="dxa"/>
          </w:tcPr>
          <w:p w14:paraId="1AEB3C61">
            <w:pPr>
              <w:pStyle w:val="43"/>
              <w:spacing w:before="42" w:line="196"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10.00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3D39BCB6">
            <w:pPr>
              <w:pStyle w:val="43"/>
              <w:spacing w:before="42" w:line="196" w:lineRule="auto"/>
              <w:ind w:left="205"/>
              <w:jc w:val="center"/>
              <w:rPr>
                <w:rFonts w:ascii="仿宋_GB2312" w:hAnsi="仿宋_GB2312" w:eastAsia="仿宋_GB2312" w:cs="仿宋_GB2312"/>
              </w:rPr>
            </w:pPr>
            <w:r>
              <w:rPr>
                <w:rFonts w:hint="eastAsia" w:ascii="仿宋_GB2312" w:hAnsi="仿宋_GB2312" w:eastAsia="仿宋_GB2312" w:cs="仿宋_GB2312"/>
                <w:spacing w:val="-2"/>
              </w:rPr>
              <w:t>227.0</w:t>
            </w:r>
            <w:r>
              <w:rPr>
                <w:rFonts w:hint="eastAsia" w:ascii="仿宋_GB2312" w:hAnsi="仿宋_GB2312" w:eastAsia="仿宋_GB2312" w:cs="仿宋_GB2312"/>
                <w:spacing w:val="19"/>
                <w:w w:val="101"/>
              </w:rPr>
              <w:t xml:space="preserve">  </w:t>
            </w:r>
            <w:r>
              <w:rPr>
                <w:rFonts w:hint="eastAsia" w:ascii="仿宋_GB2312" w:hAnsi="仿宋_GB2312" w:eastAsia="仿宋_GB2312" w:cs="仿宋_GB2312"/>
                <w:spacing w:val="-2"/>
              </w:rPr>
              <w:t>B</w:t>
            </w:r>
          </w:p>
        </w:tc>
        <w:tc>
          <w:tcPr>
            <w:tcW w:w="1645" w:type="dxa"/>
          </w:tcPr>
          <w:p w14:paraId="66448A17">
            <w:pPr>
              <w:pStyle w:val="43"/>
              <w:spacing w:before="42" w:line="196" w:lineRule="auto"/>
              <w:ind w:left="105"/>
              <w:jc w:val="center"/>
              <w:rPr>
                <w:rFonts w:ascii="仿宋_GB2312" w:hAnsi="仿宋_GB2312" w:eastAsia="仿宋_GB2312" w:cs="仿宋_GB2312"/>
              </w:rPr>
            </w:pPr>
            <w:r>
              <w:rPr>
                <w:rFonts w:hint="eastAsia" w:ascii="仿宋_GB2312" w:hAnsi="仿宋_GB2312" w:eastAsia="仿宋_GB2312" w:cs="仿宋_GB2312"/>
                <w:spacing w:val="-2"/>
              </w:rPr>
              <w:t>1134.75B</w:t>
            </w:r>
          </w:p>
        </w:tc>
        <w:tc>
          <w:tcPr>
            <w:tcW w:w="1398" w:type="dxa"/>
          </w:tcPr>
          <w:p w14:paraId="2903EC73">
            <w:pPr>
              <w:pStyle w:val="43"/>
              <w:spacing w:before="42" w:line="196" w:lineRule="auto"/>
              <w:ind w:left="255"/>
              <w:jc w:val="center"/>
              <w:rPr>
                <w:rFonts w:ascii="仿宋_GB2312" w:hAnsi="仿宋_GB2312" w:eastAsia="仿宋_GB2312" w:cs="仿宋_GB2312"/>
              </w:rPr>
            </w:pPr>
            <w:r>
              <w:rPr>
                <w:rFonts w:hint="eastAsia" w:ascii="仿宋_GB2312" w:hAnsi="仿宋_GB2312" w:eastAsia="仿宋_GB2312" w:cs="仿宋_GB2312"/>
                <w:spacing w:val="-4"/>
              </w:rPr>
              <w:t>14</w:t>
            </w:r>
          </w:p>
        </w:tc>
      </w:tr>
      <w:tr w14:paraId="0197336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4" w:hRule="atLeast"/>
          <w:jc w:val="center"/>
        </w:trPr>
        <w:tc>
          <w:tcPr>
            <w:tcW w:w="1168" w:type="dxa"/>
          </w:tcPr>
          <w:p w14:paraId="30A16845">
            <w:pPr>
              <w:pStyle w:val="43"/>
              <w:spacing w:before="41" w:line="204" w:lineRule="auto"/>
              <w:ind w:left="60"/>
              <w:jc w:val="center"/>
              <w:rPr>
                <w:rFonts w:ascii="仿宋_GB2312" w:hAnsi="仿宋_GB2312" w:eastAsia="仿宋_GB2312" w:cs="仿宋_GB2312"/>
              </w:rPr>
            </w:pPr>
            <w:r>
              <w:rPr>
                <w:rFonts w:hint="eastAsia" w:ascii="仿宋_GB2312" w:hAnsi="仿宋_GB2312" w:eastAsia="仿宋_GB2312" w:cs="仿宋_GB2312"/>
                <w:spacing w:val="-1"/>
              </w:rPr>
              <w:t>通蚕鲜1号</w:t>
            </w:r>
          </w:p>
        </w:tc>
        <w:tc>
          <w:tcPr>
            <w:tcW w:w="1619" w:type="dxa"/>
          </w:tcPr>
          <w:p w14:paraId="55F144A4">
            <w:pPr>
              <w:pStyle w:val="43"/>
              <w:spacing w:before="53" w:line="186"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12.00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2A6AA1C2">
            <w:pPr>
              <w:pStyle w:val="43"/>
              <w:spacing w:before="53" w:line="186" w:lineRule="auto"/>
              <w:ind w:left="265"/>
              <w:jc w:val="center"/>
              <w:rPr>
                <w:rFonts w:ascii="仿宋_GB2312" w:hAnsi="仿宋_GB2312" w:eastAsia="仿宋_GB2312" w:cs="仿宋_GB2312"/>
              </w:rPr>
            </w:pPr>
            <w:r>
              <w:rPr>
                <w:rFonts w:hint="eastAsia" w:ascii="仿宋_GB2312" w:hAnsi="仿宋_GB2312" w:eastAsia="仿宋_GB2312" w:cs="仿宋_GB2312"/>
                <w:spacing w:val="-1"/>
              </w:rPr>
              <w:t>237.0B</w:t>
            </w:r>
          </w:p>
        </w:tc>
        <w:tc>
          <w:tcPr>
            <w:tcW w:w="1645" w:type="dxa"/>
          </w:tcPr>
          <w:p w14:paraId="6D1963DE">
            <w:pPr>
              <w:pStyle w:val="43"/>
              <w:spacing w:before="53" w:line="186" w:lineRule="auto"/>
              <w:ind w:left="85"/>
              <w:jc w:val="center"/>
              <w:rPr>
                <w:rFonts w:ascii="仿宋_GB2312" w:hAnsi="仿宋_GB2312" w:eastAsia="仿宋_GB2312" w:cs="仿宋_GB2312"/>
              </w:rPr>
            </w:pPr>
            <w:r>
              <w:rPr>
                <w:rFonts w:hint="eastAsia" w:ascii="仿宋_GB2312" w:hAnsi="仿宋_GB2312" w:eastAsia="仿宋_GB2312" w:cs="仿宋_GB2312"/>
                <w:spacing w:val="-2"/>
              </w:rPr>
              <w:t>1173.00 B</w:t>
            </w:r>
          </w:p>
        </w:tc>
        <w:tc>
          <w:tcPr>
            <w:tcW w:w="1398" w:type="dxa"/>
          </w:tcPr>
          <w:p w14:paraId="3A731155">
            <w:pPr>
              <w:pStyle w:val="43"/>
              <w:spacing w:before="53" w:line="186" w:lineRule="auto"/>
              <w:ind w:left="255"/>
              <w:jc w:val="center"/>
              <w:rPr>
                <w:rFonts w:ascii="仿宋_GB2312" w:hAnsi="仿宋_GB2312" w:eastAsia="仿宋_GB2312" w:cs="仿宋_GB2312"/>
              </w:rPr>
            </w:pPr>
            <w:r>
              <w:rPr>
                <w:rFonts w:hint="eastAsia" w:ascii="仿宋_GB2312" w:hAnsi="仿宋_GB2312" w:eastAsia="仿宋_GB2312" w:cs="仿宋_GB2312"/>
                <w:spacing w:val="-4"/>
              </w:rPr>
              <w:t>13</w:t>
            </w:r>
          </w:p>
        </w:tc>
      </w:tr>
      <w:tr w14:paraId="0DEC0DCB">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4" w:hRule="atLeast"/>
          <w:jc w:val="center"/>
        </w:trPr>
        <w:tc>
          <w:tcPr>
            <w:tcW w:w="1168" w:type="dxa"/>
          </w:tcPr>
          <w:p w14:paraId="2796FEDF">
            <w:pPr>
              <w:pStyle w:val="43"/>
              <w:spacing w:before="37" w:line="210" w:lineRule="auto"/>
              <w:ind w:left="60"/>
              <w:jc w:val="center"/>
              <w:rPr>
                <w:rFonts w:ascii="仿宋_GB2312" w:hAnsi="仿宋_GB2312" w:eastAsia="仿宋_GB2312" w:cs="仿宋_GB2312"/>
              </w:rPr>
            </w:pPr>
            <w:r>
              <w:rPr>
                <w:rFonts w:hint="eastAsia" w:ascii="仿宋_GB2312" w:hAnsi="仿宋_GB2312" w:eastAsia="仿宋_GB2312" w:cs="仿宋_GB2312"/>
                <w:spacing w:val="-2"/>
              </w:rPr>
              <w:t>大志蚕豆</w:t>
            </w:r>
          </w:p>
        </w:tc>
        <w:tc>
          <w:tcPr>
            <w:tcW w:w="1619" w:type="dxa"/>
          </w:tcPr>
          <w:p w14:paraId="7372B5FB">
            <w:pPr>
              <w:pStyle w:val="43"/>
              <w:spacing w:before="58" w:line="177" w:lineRule="auto"/>
              <w:ind w:left="142"/>
              <w:jc w:val="center"/>
              <w:rPr>
                <w:rFonts w:ascii="仿宋_GB2312" w:hAnsi="仿宋_GB2312" w:eastAsia="仿宋_GB2312" w:cs="仿宋_GB2312"/>
              </w:rPr>
            </w:pPr>
            <w:r>
              <w:rPr>
                <w:rFonts w:hint="eastAsia" w:ascii="仿宋_GB2312" w:hAnsi="仿宋_GB2312" w:eastAsia="仿宋_GB2312" w:cs="仿宋_GB2312"/>
                <w:spacing w:val="-1"/>
              </w:rPr>
              <w:t>31.00 A</w:t>
            </w:r>
          </w:p>
        </w:tc>
        <w:tc>
          <w:tcPr>
            <w:tcW w:w="1584" w:type="dxa"/>
          </w:tcPr>
          <w:p w14:paraId="0E4075B3">
            <w:pPr>
              <w:pStyle w:val="43"/>
              <w:spacing w:before="49" w:line="192" w:lineRule="auto"/>
              <w:ind w:left="265"/>
              <w:jc w:val="center"/>
              <w:rPr>
                <w:rFonts w:ascii="仿宋_GB2312" w:hAnsi="仿宋_GB2312" w:eastAsia="仿宋_GB2312" w:cs="仿宋_GB2312"/>
              </w:rPr>
            </w:pPr>
            <w:r>
              <w:rPr>
                <w:rFonts w:hint="eastAsia" w:ascii="仿宋_GB2312" w:hAnsi="仿宋_GB2312" w:eastAsia="仿宋_GB2312" w:cs="仿宋_GB2312"/>
                <w:spacing w:val="-1"/>
              </w:rPr>
              <w:t>280.0B</w:t>
            </w:r>
          </w:p>
        </w:tc>
        <w:tc>
          <w:tcPr>
            <w:tcW w:w="1645" w:type="dxa"/>
          </w:tcPr>
          <w:p w14:paraId="4CEE2A72">
            <w:pPr>
              <w:pStyle w:val="43"/>
              <w:spacing w:before="49" w:line="192" w:lineRule="auto"/>
              <w:ind w:left="135"/>
              <w:jc w:val="center"/>
              <w:rPr>
                <w:rFonts w:ascii="仿宋_GB2312" w:hAnsi="仿宋_GB2312" w:eastAsia="仿宋_GB2312" w:cs="仿宋_GB2312"/>
              </w:rPr>
            </w:pPr>
            <w:r>
              <w:rPr>
                <w:rFonts w:hint="eastAsia" w:ascii="仿宋_GB2312" w:hAnsi="仿宋_GB2312" w:eastAsia="仿宋_GB2312" w:cs="仿宋_GB2312"/>
                <w:spacing w:val="-2"/>
              </w:rPr>
              <w:t>1887.00AB</w:t>
            </w:r>
          </w:p>
        </w:tc>
        <w:tc>
          <w:tcPr>
            <w:tcW w:w="1398" w:type="dxa"/>
          </w:tcPr>
          <w:p w14:paraId="73EC8468">
            <w:pPr>
              <w:pStyle w:val="43"/>
              <w:spacing w:before="49" w:line="192" w:lineRule="auto"/>
              <w:ind w:left="315"/>
              <w:jc w:val="center"/>
              <w:rPr>
                <w:rFonts w:ascii="仿宋_GB2312" w:hAnsi="仿宋_GB2312" w:eastAsia="仿宋_GB2312" w:cs="仿宋_GB2312"/>
              </w:rPr>
            </w:pPr>
            <w:r>
              <w:rPr>
                <w:rFonts w:hint="eastAsia" w:ascii="仿宋_GB2312" w:hAnsi="仿宋_GB2312" w:eastAsia="仿宋_GB2312" w:cs="仿宋_GB2312"/>
              </w:rPr>
              <w:t>2</w:t>
            </w:r>
          </w:p>
        </w:tc>
      </w:tr>
      <w:tr w14:paraId="0248CBD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0" w:hRule="atLeast"/>
          <w:jc w:val="center"/>
        </w:trPr>
        <w:tc>
          <w:tcPr>
            <w:tcW w:w="1168" w:type="dxa"/>
          </w:tcPr>
          <w:p w14:paraId="79C083CE">
            <w:pPr>
              <w:pStyle w:val="43"/>
              <w:spacing w:before="32" w:line="211" w:lineRule="auto"/>
              <w:ind w:left="60"/>
              <w:jc w:val="center"/>
              <w:rPr>
                <w:rFonts w:ascii="仿宋_GB2312" w:hAnsi="仿宋_GB2312" w:eastAsia="仿宋_GB2312" w:cs="仿宋_GB2312"/>
              </w:rPr>
            </w:pPr>
            <w:r>
              <w:rPr>
                <w:rFonts w:hint="eastAsia" w:ascii="仿宋_GB2312" w:hAnsi="仿宋_GB2312" w:eastAsia="仿宋_GB2312" w:cs="仿宋_GB2312"/>
                <w:spacing w:val="-1"/>
              </w:rPr>
              <w:t>贵农21号</w:t>
            </w:r>
          </w:p>
        </w:tc>
        <w:tc>
          <w:tcPr>
            <w:tcW w:w="1619" w:type="dxa"/>
          </w:tcPr>
          <w:p w14:paraId="0BB70B1F">
            <w:pPr>
              <w:pStyle w:val="43"/>
              <w:spacing w:before="54" w:line="177"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12.00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0072BFD1">
            <w:pPr>
              <w:pStyle w:val="43"/>
              <w:spacing w:before="45" w:line="192" w:lineRule="auto"/>
              <w:ind w:left="185"/>
              <w:jc w:val="center"/>
              <w:rPr>
                <w:rFonts w:ascii="仿宋_GB2312" w:hAnsi="仿宋_GB2312" w:eastAsia="仿宋_GB2312" w:cs="仿宋_GB2312"/>
              </w:rPr>
            </w:pPr>
            <w:r>
              <w:rPr>
                <w:rFonts w:hint="eastAsia" w:ascii="仿宋_GB2312" w:hAnsi="仿宋_GB2312" w:eastAsia="仿宋_GB2312" w:cs="仿宋_GB2312"/>
                <w:spacing w:val="-3"/>
              </w:rPr>
              <w:t>185.0</w:t>
            </w:r>
            <w:r>
              <w:rPr>
                <w:rFonts w:hint="eastAsia" w:ascii="仿宋_GB2312" w:hAnsi="仿宋_GB2312" w:eastAsia="仿宋_GB2312" w:cs="仿宋_GB2312"/>
                <w:spacing w:val="12"/>
              </w:rPr>
              <w:t xml:space="preserve">  </w:t>
            </w:r>
            <w:r>
              <w:rPr>
                <w:rFonts w:hint="eastAsia" w:ascii="仿宋_GB2312" w:hAnsi="仿宋_GB2312" w:eastAsia="仿宋_GB2312" w:cs="仿宋_GB2312"/>
                <w:spacing w:val="-3"/>
              </w:rPr>
              <w:t>BC</w:t>
            </w:r>
          </w:p>
        </w:tc>
        <w:tc>
          <w:tcPr>
            <w:tcW w:w="1645" w:type="dxa"/>
          </w:tcPr>
          <w:p w14:paraId="573D1E3F">
            <w:pPr>
              <w:pStyle w:val="43"/>
              <w:spacing w:before="45" w:line="192" w:lineRule="auto"/>
              <w:ind w:left="105"/>
              <w:jc w:val="center"/>
              <w:rPr>
                <w:rFonts w:ascii="仿宋_GB2312" w:hAnsi="仿宋_GB2312" w:eastAsia="仿宋_GB2312" w:cs="仿宋_GB2312"/>
              </w:rPr>
            </w:pPr>
            <w:r>
              <w:rPr>
                <w:rFonts w:hint="eastAsia" w:ascii="仿宋_GB2312" w:hAnsi="仿宋_GB2312" w:eastAsia="仿宋_GB2312" w:cs="仿宋_GB2312"/>
                <w:spacing w:val="-2"/>
              </w:rPr>
              <w:t>1670.25 AB</w:t>
            </w:r>
          </w:p>
        </w:tc>
        <w:tc>
          <w:tcPr>
            <w:tcW w:w="1398" w:type="dxa"/>
          </w:tcPr>
          <w:p w14:paraId="70F34489">
            <w:pPr>
              <w:pStyle w:val="43"/>
              <w:spacing w:before="45" w:line="192" w:lineRule="auto"/>
              <w:ind w:left="310"/>
              <w:jc w:val="center"/>
              <w:rPr>
                <w:rFonts w:ascii="仿宋_GB2312" w:hAnsi="仿宋_GB2312" w:eastAsia="仿宋_GB2312" w:cs="仿宋_GB2312"/>
              </w:rPr>
            </w:pPr>
            <w:r>
              <w:rPr>
                <w:rFonts w:hint="eastAsia" w:ascii="仿宋_GB2312" w:hAnsi="仿宋_GB2312" w:eastAsia="仿宋_GB2312" w:cs="仿宋_GB2312"/>
              </w:rPr>
              <w:t>4</w:t>
            </w:r>
          </w:p>
        </w:tc>
      </w:tr>
      <w:tr w14:paraId="17C15AA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9" w:hRule="atLeast"/>
          <w:jc w:val="center"/>
        </w:trPr>
        <w:tc>
          <w:tcPr>
            <w:tcW w:w="1168" w:type="dxa"/>
          </w:tcPr>
          <w:p w14:paraId="0DFA95C9">
            <w:pPr>
              <w:pStyle w:val="43"/>
              <w:spacing w:before="33" w:line="220" w:lineRule="auto"/>
              <w:ind w:left="59"/>
              <w:jc w:val="center"/>
              <w:rPr>
                <w:rFonts w:ascii="仿宋_GB2312" w:hAnsi="仿宋_GB2312" w:eastAsia="仿宋_GB2312" w:cs="仿宋_GB2312"/>
              </w:rPr>
            </w:pPr>
            <w:r>
              <w:rPr>
                <w:rFonts w:hint="eastAsia" w:ascii="仿宋_GB2312" w:hAnsi="仿宋_GB2312" w:eastAsia="仿宋_GB2312" w:cs="仿宋_GB2312"/>
                <w:spacing w:val="-1"/>
              </w:rPr>
              <w:t>七粒香</w:t>
            </w:r>
          </w:p>
        </w:tc>
        <w:tc>
          <w:tcPr>
            <w:tcW w:w="1619" w:type="dxa"/>
          </w:tcPr>
          <w:p w14:paraId="751F96CB">
            <w:pPr>
              <w:pStyle w:val="43"/>
              <w:spacing w:before="45" w:line="206" w:lineRule="auto"/>
              <w:ind w:left="142"/>
              <w:jc w:val="center"/>
              <w:rPr>
                <w:rFonts w:ascii="仿宋_GB2312" w:hAnsi="仿宋_GB2312" w:eastAsia="仿宋_GB2312" w:cs="仿宋_GB2312"/>
              </w:rPr>
            </w:pPr>
            <w:r>
              <w:rPr>
                <w:rFonts w:hint="eastAsia" w:ascii="仿宋_GB2312" w:hAnsi="仿宋_GB2312" w:eastAsia="仿宋_GB2312" w:cs="仿宋_GB2312"/>
                <w:spacing w:val="-1"/>
              </w:rPr>
              <w:t>21.00 B</w:t>
            </w:r>
          </w:p>
        </w:tc>
        <w:tc>
          <w:tcPr>
            <w:tcW w:w="1584" w:type="dxa"/>
          </w:tcPr>
          <w:p w14:paraId="3828CE94">
            <w:pPr>
              <w:pStyle w:val="43"/>
              <w:spacing w:before="54" w:line="191" w:lineRule="auto"/>
              <w:ind w:left="205"/>
              <w:jc w:val="center"/>
              <w:rPr>
                <w:rFonts w:ascii="仿宋_GB2312" w:hAnsi="仿宋_GB2312" w:eastAsia="仿宋_GB2312" w:cs="仿宋_GB2312"/>
              </w:rPr>
            </w:pPr>
            <w:r>
              <w:rPr>
                <w:rFonts w:hint="eastAsia" w:ascii="仿宋_GB2312" w:hAnsi="仿宋_GB2312" w:eastAsia="仿宋_GB2312" w:cs="仿宋_GB2312"/>
                <w:spacing w:val="-2"/>
              </w:rPr>
              <w:t>134.0C</w:t>
            </w:r>
          </w:p>
        </w:tc>
        <w:tc>
          <w:tcPr>
            <w:tcW w:w="1645" w:type="dxa"/>
          </w:tcPr>
          <w:p w14:paraId="6D49DFC3">
            <w:pPr>
              <w:pStyle w:val="43"/>
              <w:spacing w:before="54" w:line="191" w:lineRule="auto"/>
              <w:ind w:left="105"/>
              <w:jc w:val="center"/>
              <w:rPr>
                <w:rFonts w:ascii="仿宋_GB2312" w:hAnsi="仿宋_GB2312" w:eastAsia="仿宋_GB2312" w:cs="仿宋_GB2312"/>
              </w:rPr>
            </w:pPr>
            <w:r>
              <w:rPr>
                <w:rFonts w:hint="eastAsia" w:ascii="仿宋_GB2312" w:hAnsi="仿宋_GB2312" w:eastAsia="仿宋_GB2312" w:cs="仿宋_GB2312"/>
                <w:spacing w:val="-2"/>
              </w:rPr>
              <w:t>1428.00B</w:t>
            </w:r>
          </w:p>
        </w:tc>
        <w:tc>
          <w:tcPr>
            <w:tcW w:w="1398" w:type="dxa"/>
          </w:tcPr>
          <w:p w14:paraId="017FDE50">
            <w:pPr>
              <w:pStyle w:val="43"/>
              <w:spacing w:before="54" w:line="191" w:lineRule="auto"/>
              <w:ind w:left="249"/>
              <w:jc w:val="center"/>
              <w:rPr>
                <w:rFonts w:ascii="仿宋_GB2312" w:hAnsi="仿宋_GB2312" w:eastAsia="仿宋_GB2312" w:cs="仿宋_GB2312"/>
              </w:rPr>
            </w:pPr>
            <w:r>
              <w:rPr>
                <w:rFonts w:hint="eastAsia" w:ascii="仿宋_GB2312" w:hAnsi="仿宋_GB2312" w:eastAsia="仿宋_GB2312" w:cs="仿宋_GB2312"/>
              </w:rPr>
              <w:t>7</w:t>
            </w:r>
          </w:p>
        </w:tc>
      </w:tr>
      <w:tr w14:paraId="6BAA708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5" w:hRule="atLeast"/>
          <w:jc w:val="center"/>
        </w:trPr>
        <w:tc>
          <w:tcPr>
            <w:tcW w:w="1168" w:type="dxa"/>
          </w:tcPr>
          <w:p w14:paraId="63D05ADB">
            <w:pPr>
              <w:pStyle w:val="43"/>
              <w:spacing w:before="43" w:line="202" w:lineRule="auto"/>
              <w:ind w:left="60"/>
              <w:jc w:val="center"/>
              <w:rPr>
                <w:rFonts w:ascii="仿宋_GB2312" w:hAnsi="仿宋_GB2312" w:eastAsia="仿宋_GB2312" w:cs="仿宋_GB2312"/>
              </w:rPr>
            </w:pPr>
            <w:r>
              <w:rPr>
                <w:rFonts w:hint="eastAsia" w:ascii="仿宋_GB2312" w:hAnsi="仿宋_GB2312" w:eastAsia="仿宋_GB2312" w:cs="仿宋_GB2312"/>
                <w:spacing w:val="-1"/>
              </w:rPr>
              <w:t>贵农33号</w:t>
            </w:r>
          </w:p>
        </w:tc>
        <w:tc>
          <w:tcPr>
            <w:tcW w:w="1619" w:type="dxa"/>
          </w:tcPr>
          <w:p w14:paraId="3B83AB97">
            <w:pPr>
              <w:pStyle w:val="43"/>
              <w:spacing w:before="56" w:line="183"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13.00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4B1646F0">
            <w:pPr>
              <w:pStyle w:val="43"/>
              <w:spacing w:before="56" w:line="183" w:lineRule="auto"/>
              <w:ind w:left="205"/>
              <w:jc w:val="center"/>
              <w:rPr>
                <w:rFonts w:ascii="仿宋_GB2312" w:hAnsi="仿宋_GB2312" w:eastAsia="仿宋_GB2312" w:cs="仿宋_GB2312"/>
              </w:rPr>
            </w:pPr>
            <w:r>
              <w:rPr>
                <w:rFonts w:hint="eastAsia" w:ascii="仿宋_GB2312" w:hAnsi="仿宋_GB2312" w:eastAsia="仿宋_GB2312" w:cs="仿宋_GB2312"/>
                <w:spacing w:val="-2"/>
              </w:rPr>
              <w:t>273.0</w:t>
            </w:r>
            <w:r>
              <w:rPr>
                <w:rFonts w:hint="eastAsia" w:ascii="仿宋_GB2312" w:hAnsi="仿宋_GB2312" w:eastAsia="仿宋_GB2312" w:cs="仿宋_GB2312"/>
                <w:spacing w:val="19"/>
                <w:w w:val="101"/>
              </w:rPr>
              <w:t xml:space="preserve">  </w:t>
            </w:r>
            <w:r>
              <w:rPr>
                <w:rFonts w:hint="eastAsia" w:ascii="仿宋_GB2312" w:hAnsi="仿宋_GB2312" w:eastAsia="仿宋_GB2312" w:cs="仿宋_GB2312"/>
                <w:spacing w:val="-2"/>
              </w:rPr>
              <w:t>B</w:t>
            </w:r>
          </w:p>
        </w:tc>
        <w:tc>
          <w:tcPr>
            <w:tcW w:w="1645" w:type="dxa"/>
          </w:tcPr>
          <w:p w14:paraId="36A7618F">
            <w:pPr>
              <w:pStyle w:val="43"/>
              <w:spacing w:before="56" w:line="183" w:lineRule="auto"/>
              <w:ind w:left="115"/>
              <w:jc w:val="center"/>
              <w:rPr>
                <w:rFonts w:ascii="仿宋_GB2312" w:hAnsi="仿宋_GB2312" w:eastAsia="仿宋_GB2312" w:cs="仿宋_GB2312"/>
              </w:rPr>
            </w:pPr>
            <w:r>
              <w:rPr>
                <w:rFonts w:hint="eastAsia" w:ascii="仿宋_GB2312" w:hAnsi="仿宋_GB2312" w:eastAsia="仿宋_GB2312" w:cs="仿宋_GB2312"/>
                <w:spacing w:val="-2"/>
              </w:rPr>
              <w:t>1428.00B</w:t>
            </w:r>
          </w:p>
        </w:tc>
        <w:tc>
          <w:tcPr>
            <w:tcW w:w="1398" w:type="dxa"/>
          </w:tcPr>
          <w:p w14:paraId="1201538A">
            <w:pPr>
              <w:pStyle w:val="43"/>
              <w:spacing w:before="56" w:line="183" w:lineRule="auto"/>
              <w:ind w:left="279"/>
              <w:jc w:val="center"/>
              <w:rPr>
                <w:rFonts w:ascii="仿宋_GB2312" w:hAnsi="仿宋_GB2312" w:eastAsia="仿宋_GB2312" w:cs="仿宋_GB2312"/>
              </w:rPr>
            </w:pPr>
            <w:r>
              <w:rPr>
                <w:rFonts w:hint="eastAsia" w:ascii="仿宋_GB2312" w:hAnsi="仿宋_GB2312" w:eastAsia="仿宋_GB2312" w:cs="仿宋_GB2312"/>
              </w:rPr>
              <w:t>7</w:t>
            </w:r>
          </w:p>
        </w:tc>
      </w:tr>
      <w:tr w14:paraId="3F2FE86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0" w:hRule="atLeast"/>
          <w:jc w:val="center"/>
        </w:trPr>
        <w:tc>
          <w:tcPr>
            <w:tcW w:w="1168" w:type="dxa"/>
          </w:tcPr>
          <w:p w14:paraId="07C2CD0B">
            <w:pPr>
              <w:pStyle w:val="43"/>
              <w:spacing w:before="38" w:line="217" w:lineRule="auto"/>
              <w:ind w:left="60"/>
              <w:jc w:val="center"/>
              <w:rPr>
                <w:rFonts w:ascii="仿宋_GB2312" w:hAnsi="仿宋_GB2312" w:eastAsia="仿宋_GB2312" w:cs="仿宋_GB2312"/>
              </w:rPr>
            </w:pPr>
            <w:r>
              <w:rPr>
                <w:rFonts w:hint="eastAsia" w:ascii="仿宋_GB2312" w:hAnsi="仿宋_GB2312" w:eastAsia="仿宋_GB2312" w:cs="仿宋_GB2312"/>
                <w:spacing w:val="-1"/>
              </w:rPr>
              <w:t>贵农七星豆</w:t>
            </w:r>
          </w:p>
        </w:tc>
        <w:tc>
          <w:tcPr>
            <w:tcW w:w="1619" w:type="dxa"/>
          </w:tcPr>
          <w:p w14:paraId="33B9963A">
            <w:pPr>
              <w:pStyle w:val="43"/>
              <w:spacing w:before="50" w:line="199" w:lineRule="auto"/>
              <w:ind w:left="112"/>
              <w:jc w:val="center"/>
              <w:rPr>
                <w:rFonts w:ascii="仿宋_GB2312" w:hAnsi="仿宋_GB2312" w:eastAsia="仿宋_GB2312" w:cs="仿宋_GB2312"/>
              </w:rPr>
            </w:pPr>
            <w:r>
              <w:rPr>
                <w:rFonts w:hint="eastAsia" w:ascii="仿宋_GB2312" w:hAnsi="仿宋_GB2312" w:eastAsia="仿宋_GB2312" w:cs="仿宋_GB2312"/>
                <w:spacing w:val="-1"/>
              </w:rPr>
              <w:t>25.00 AB</w:t>
            </w:r>
          </w:p>
        </w:tc>
        <w:tc>
          <w:tcPr>
            <w:tcW w:w="1584" w:type="dxa"/>
          </w:tcPr>
          <w:p w14:paraId="189B0AE4">
            <w:pPr>
              <w:pStyle w:val="43"/>
              <w:spacing w:before="50" w:line="199" w:lineRule="auto"/>
              <w:ind w:left="205"/>
              <w:jc w:val="center"/>
              <w:rPr>
                <w:rFonts w:ascii="仿宋_GB2312" w:hAnsi="仿宋_GB2312" w:eastAsia="仿宋_GB2312" w:cs="仿宋_GB2312"/>
              </w:rPr>
            </w:pPr>
            <w:r>
              <w:rPr>
                <w:rFonts w:hint="eastAsia" w:ascii="仿宋_GB2312" w:hAnsi="仿宋_GB2312" w:eastAsia="仿宋_GB2312" w:cs="仿宋_GB2312"/>
                <w:spacing w:val="-2"/>
              </w:rPr>
              <w:t>181.0 BC</w:t>
            </w:r>
          </w:p>
        </w:tc>
        <w:tc>
          <w:tcPr>
            <w:tcW w:w="1645" w:type="dxa"/>
          </w:tcPr>
          <w:p w14:paraId="52077D34">
            <w:pPr>
              <w:pStyle w:val="43"/>
              <w:spacing w:before="50" w:line="199" w:lineRule="auto"/>
              <w:ind w:left="115"/>
              <w:jc w:val="center"/>
              <w:rPr>
                <w:rFonts w:ascii="仿宋_GB2312" w:hAnsi="仿宋_GB2312" w:eastAsia="仿宋_GB2312" w:cs="仿宋_GB2312"/>
              </w:rPr>
            </w:pPr>
            <w:r>
              <w:rPr>
                <w:rFonts w:hint="eastAsia" w:ascii="仿宋_GB2312" w:hAnsi="仿宋_GB2312" w:eastAsia="仿宋_GB2312" w:cs="仿宋_GB2312"/>
                <w:spacing w:val="-2"/>
              </w:rPr>
              <w:t>1364.25B</w:t>
            </w:r>
          </w:p>
        </w:tc>
        <w:tc>
          <w:tcPr>
            <w:tcW w:w="1398" w:type="dxa"/>
          </w:tcPr>
          <w:p w14:paraId="4AD8CF41">
            <w:pPr>
              <w:pStyle w:val="43"/>
              <w:spacing w:before="70" w:line="168" w:lineRule="auto"/>
              <w:ind w:left="182"/>
              <w:jc w:val="center"/>
              <w:rPr>
                <w:rFonts w:ascii="仿宋_GB2312" w:hAnsi="仿宋_GB2312" w:eastAsia="仿宋_GB2312" w:cs="仿宋_GB2312"/>
              </w:rPr>
            </w:pPr>
            <w:r>
              <w:rPr>
                <w:rFonts w:hint="eastAsia" w:ascii="仿宋_GB2312" w:hAnsi="仿宋_GB2312" w:eastAsia="仿宋_GB2312" w:cs="仿宋_GB2312"/>
              </w:rPr>
              <w:t>9</w:t>
            </w:r>
          </w:p>
        </w:tc>
      </w:tr>
      <w:tr w14:paraId="3AB5D33F">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64" w:hRule="atLeast"/>
          <w:jc w:val="center"/>
        </w:trPr>
        <w:tc>
          <w:tcPr>
            <w:tcW w:w="1168" w:type="dxa"/>
          </w:tcPr>
          <w:p w14:paraId="1351238A">
            <w:pPr>
              <w:pStyle w:val="43"/>
              <w:spacing w:before="24" w:line="199" w:lineRule="auto"/>
              <w:ind w:left="60"/>
              <w:jc w:val="center"/>
              <w:rPr>
                <w:rFonts w:ascii="仿宋_GB2312" w:hAnsi="仿宋_GB2312" w:eastAsia="仿宋_GB2312" w:cs="仿宋_GB2312"/>
              </w:rPr>
            </w:pPr>
            <w:r>
              <w:rPr>
                <w:rFonts w:hint="eastAsia" w:ascii="仿宋_GB2312" w:hAnsi="仿宋_GB2312" w:eastAsia="仿宋_GB2312" w:cs="仿宋_GB2312"/>
                <w:spacing w:val="-2"/>
              </w:rPr>
              <w:t>云豆324</w:t>
            </w:r>
          </w:p>
        </w:tc>
        <w:tc>
          <w:tcPr>
            <w:tcW w:w="1619" w:type="dxa"/>
          </w:tcPr>
          <w:p w14:paraId="0B5720AB">
            <w:pPr>
              <w:pStyle w:val="43"/>
              <w:spacing w:before="40" w:line="174"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13.00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71729E7B">
            <w:pPr>
              <w:pStyle w:val="43"/>
              <w:spacing w:before="40" w:line="174" w:lineRule="auto"/>
              <w:ind w:left="205"/>
              <w:jc w:val="center"/>
              <w:rPr>
                <w:rFonts w:ascii="仿宋_GB2312" w:hAnsi="仿宋_GB2312" w:eastAsia="仿宋_GB2312" w:cs="仿宋_GB2312"/>
              </w:rPr>
            </w:pPr>
            <w:r>
              <w:rPr>
                <w:rFonts w:hint="eastAsia" w:ascii="仿宋_GB2312" w:hAnsi="仿宋_GB2312" w:eastAsia="仿宋_GB2312" w:cs="仿宋_GB2312"/>
                <w:spacing w:val="-1"/>
              </w:rPr>
              <w:t>283.0B</w:t>
            </w:r>
          </w:p>
        </w:tc>
        <w:tc>
          <w:tcPr>
            <w:tcW w:w="1645" w:type="dxa"/>
          </w:tcPr>
          <w:p w14:paraId="71A49BB9">
            <w:pPr>
              <w:pStyle w:val="43"/>
              <w:spacing w:before="40" w:line="174" w:lineRule="auto"/>
              <w:ind w:left="115"/>
              <w:jc w:val="center"/>
              <w:rPr>
                <w:rFonts w:ascii="仿宋_GB2312" w:hAnsi="仿宋_GB2312" w:eastAsia="仿宋_GB2312" w:cs="仿宋_GB2312"/>
              </w:rPr>
            </w:pPr>
            <w:r>
              <w:rPr>
                <w:rFonts w:hint="eastAsia" w:ascii="仿宋_GB2312" w:hAnsi="仿宋_GB2312" w:eastAsia="仿宋_GB2312" w:cs="仿宋_GB2312"/>
                <w:spacing w:val="-1"/>
              </w:rPr>
              <w:t>2001.75A</w:t>
            </w:r>
          </w:p>
        </w:tc>
        <w:tc>
          <w:tcPr>
            <w:tcW w:w="1398" w:type="dxa"/>
          </w:tcPr>
          <w:p w14:paraId="7030C4F0">
            <w:pPr>
              <w:pStyle w:val="43"/>
              <w:spacing w:before="40" w:line="174" w:lineRule="auto"/>
              <w:ind w:left="182"/>
              <w:jc w:val="center"/>
              <w:rPr>
                <w:rFonts w:ascii="仿宋_GB2312" w:hAnsi="仿宋_GB2312" w:eastAsia="仿宋_GB2312" w:cs="仿宋_GB2312"/>
              </w:rPr>
            </w:pPr>
            <w:r>
              <w:rPr>
                <w:rFonts w:hint="eastAsia" w:ascii="仿宋_GB2312" w:hAnsi="仿宋_GB2312" w:eastAsia="仿宋_GB2312" w:cs="仿宋_GB2312"/>
              </w:rPr>
              <w:t>1</w:t>
            </w:r>
          </w:p>
        </w:tc>
      </w:tr>
      <w:tr w14:paraId="7A3470B4">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0" w:hRule="atLeast"/>
          <w:jc w:val="center"/>
        </w:trPr>
        <w:tc>
          <w:tcPr>
            <w:tcW w:w="1168" w:type="dxa"/>
          </w:tcPr>
          <w:p w14:paraId="293A7004">
            <w:pPr>
              <w:pStyle w:val="43"/>
              <w:spacing w:before="35" w:line="207" w:lineRule="auto"/>
              <w:ind w:left="60"/>
              <w:jc w:val="center"/>
              <w:rPr>
                <w:rFonts w:ascii="仿宋_GB2312" w:hAnsi="仿宋_GB2312" w:eastAsia="仿宋_GB2312" w:cs="仿宋_GB2312"/>
              </w:rPr>
            </w:pPr>
            <w:r>
              <w:rPr>
                <w:rFonts w:hint="eastAsia" w:ascii="仿宋_GB2312" w:hAnsi="仿宋_GB2312" w:eastAsia="仿宋_GB2312" w:cs="仿宋_GB2312"/>
                <w:spacing w:val="-2"/>
              </w:rPr>
              <w:t>嘉禾蚕豆</w:t>
            </w:r>
          </w:p>
        </w:tc>
        <w:tc>
          <w:tcPr>
            <w:tcW w:w="1619" w:type="dxa"/>
          </w:tcPr>
          <w:p w14:paraId="2A5E662D">
            <w:pPr>
              <w:pStyle w:val="43"/>
              <w:spacing w:before="47" w:line="189"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14.00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6423EE0E">
            <w:pPr>
              <w:pStyle w:val="43"/>
              <w:spacing w:before="65" w:line="160" w:lineRule="auto"/>
              <w:ind w:left="225"/>
              <w:jc w:val="center"/>
              <w:rPr>
                <w:rFonts w:ascii="仿宋_GB2312" w:hAnsi="仿宋_GB2312" w:eastAsia="仿宋_GB2312" w:cs="仿宋_GB2312"/>
              </w:rPr>
            </w:pPr>
            <w:r>
              <w:rPr>
                <w:rFonts w:hint="eastAsia" w:ascii="仿宋_GB2312" w:hAnsi="仿宋_GB2312" w:eastAsia="仿宋_GB2312" w:cs="仿宋_GB2312"/>
                <w:spacing w:val="-2"/>
              </w:rPr>
              <w:t>208B</w:t>
            </w:r>
          </w:p>
        </w:tc>
        <w:tc>
          <w:tcPr>
            <w:tcW w:w="1645" w:type="dxa"/>
          </w:tcPr>
          <w:p w14:paraId="680C278F">
            <w:pPr>
              <w:pStyle w:val="43"/>
              <w:spacing w:before="47" w:line="189" w:lineRule="auto"/>
              <w:ind w:left="135"/>
              <w:jc w:val="center"/>
              <w:rPr>
                <w:rFonts w:ascii="仿宋_GB2312" w:hAnsi="仿宋_GB2312" w:eastAsia="仿宋_GB2312" w:cs="仿宋_GB2312"/>
              </w:rPr>
            </w:pPr>
            <w:r>
              <w:rPr>
                <w:rFonts w:hint="eastAsia" w:ascii="仿宋_GB2312" w:hAnsi="仿宋_GB2312" w:eastAsia="仿宋_GB2312" w:cs="仿宋_GB2312"/>
                <w:spacing w:val="-2"/>
              </w:rPr>
              <w:t>1695.75AB</w:t>
            </w:r>
          </w:p>
        </w:tc>
        <w:tc>
          <w:tcPr>
            <w:tcW w:w="1398" w:type="dxa"/>
          </w:tcPr>
          <w:p w14:paraId="4BBDF224">
            <w:pPr>
              <w:pStyle w:val="43"/>
              <w:spacing w:before="47" w:line="189" w:lineRule="auto"/>
              <w:ind w:left="242"/>
              <w:jc w:val="center"/>
              <w:rPr>
                <w:rFonts w:ascii="仿宋_GB2312" w:hAnsi="仿宋_GB2312" w:eastAsia="仿宋_GB2312" w:cs="仿宋_GB2312"/>
              </w:rPr>
            </w:pPr>
            <w:r>
              <w:rPr>
                <w:rFonts w:hint="eastAsia" w:ascii="仿宋_GB2312" w:hAnsi="仿宋_GB2312" w:eastAsia="仿宋_GB2312" w:cs="仿宋_GB2312"/>
              </w:rPr>
              <w:t>5</w:t>
            </w:r>
          </w:p>
        </w:tc>
      </w:tr>
      <w:tr w14:paraId="497CFA5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85" w:hRule="atLeast"/>
          <w:jc w:val="center"/>
        </w:trPr>
        <w:tc>
          <w:tcPr>
            <w:tcW w:w="1168" w:type="dxa"/>
          </w:tcPr>
          <w:p w14:paraId="3E826EA2">
            <w:pPr>
              <w:pStyle w:val="43"/>
              <w:spacing w:before="45" w:line="200" w:lineRule="auto"/>
              <w:ind w:left="60"/>
              <w:jc w:val="center"/>
              <w:rPr>
                <w:rFonts w:ascii="仿宋_GB2312" w:hAnsi="仿宋_GB2312" w:eastAsia="仿宋_GB2312" w:cs="仿宋_GB2312"/>
              </w:rPr>
            </w:pPr>
            <w:r>
              <w:rPr>
                <w:rFonts w:hint="eastAsia" w:ascii="仿宋_GB2312" w:hAnsi="仿宋_GB2312" w:eastAsia="仿宋_GB2312" w:cs="仿宋_GB2312"/>
                <w:spacing w:val="-2"/>
              </w:rPr>
              <w:t>贵农3号</w:t>
            </w:r>
          </w:p>
        </w:tc>
        <w:tc>
          <w:tcPr>
            <w:tcW w:w="1619" w:type="dxa"/>
          </w:tcPr>
          <w:p w14:paraId="6C00D88F">
            <w:pPr>
              <w:pStyle w:val="43"/>
              <w:spacing w:before="56" w:line="182" w:lineRule="auto"/>
              <w:ind w:left="142"/>
              <w:jc w:val="center"/>
              <w:rPr>
                <w:rFonts w:ascii="仿宋_GB2312" w:hAnsi="仿宋_GB2312" w:eastAsia="仿宋_GB2312" w:cs="仿宋_GB2312"/>
              </w:rPr>
            </w:pPr>
            <w:r>
              <w:rPr>
                <w:rFonts w:hint="eastAsia" w:ascii="仿宋_GB2312" w:hAnsi="仿宋_GB2312" w:eastAsia="仿宋_GB2312" w:cs="仿宋_GB2312"/>
                <w:spacing w:val="-3"/>
              </w:rPr>
              <w:t>12.00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3"/>
              </w:rPr>
              <w:t>C</w:t>
            </w:r>
          </w:p>
        </w:tc>
        <w:tc>
          <w:tcPr>
            <w:tcW w:w="1584" w:type="dxa"/>
          </w:tcPr>
          <w:p w14:paraId="4F1B7CE2">
            <w:pPr>
              <w:pStyle w:val="43"/>
              <w:spacing w:before="56" w:line="182" w:lineRule="auto"/>
              <w:ind w:left="205"/>
              <w:jc w:val="center"/>
              <w:rPr>
                <w:rFonts w:ascii="仿宋_GB2312" w:hAnsi="仿宋_GB2312" w:eastAsia="仿宋_GB2312" w:cs="仿宋_GB2312"/>
              </w:rPr>
            </w:pPr>
            <w:r>
              <w:rPr>
                <w:rFonts w:hint="eastAsia" w:ascii="仿宋_GB2312" w:hAnsi="仿宋_GB2312" w:eastAsia="仿宋_GB2312" w:cs="仿宋_GB2312"/>
                <w:spacing w:val="-2"/>
              </w:rPr>
              <w:t>220</w:t>
            </w:r>
            <w:r>
              <w:rPr>
                <w:rFonts w:hint="eastAsia" w:ascii="仿宋_GB2312" w:hAnsi="仿宋_GB2312" w:eastAsia="仿宋_GB2312" w:cs="仿宋_GB2312"/>
                <w:spacing w:val="2"/>
              </w:rPr>
              <w:t xml:space="preserve"> </w:t>
            </w:r>
            <w:r>
              <w:rPr>
                <w:rFonts w:hint="eastAsia" w:ascii="仿宋_GB2312" w:hAnsi="仿宋_GB2312" w:eastAsia="仿宋_GB2312" w:cs="仿宋_GB2312"/>
                <w:spacing w:val="-2"/>
              </w:rPr>
              <w:t>B</w:t>
            </w:r>
          </w:p>
        </w:tc>
        <w:tc>
          <w:tcPr>
            <w:tcW w:w="1645" w:type="dxa"/>
          </w:tcPr>
          <w:p w14:paraId="5F74145B">
            <w:pPr>
              <w:pStyle w:val="43"/>
              <w:spacing w:before="56" w:line="182" w:lineRule="auto"/>
              <w:ind w:left="85"/>
              <w:jc w:val="center"/>
              <w:rPr>
                <w:rFonts w:ascii="仿宋_GB2312" w:hAnsi="仿宋_GB2312" w:eastAsia="仿宋_GB2312" w:cs="仿宋_GB2312"/>
              </w:rPr>
            </w:pPr>
            <w:r>
              <w:rPr>
                <w:rFonts w:hint="eastAsia" w:ascii="仿宋_GB2312" w:hAnsi="仿宋_GB2312" w:eastAsia="仿宋_GB2312" w:cs="仿宋_GB2312"/>
                <w:spacing w:val="-2"/>
              </w:rPr>
              <w:t>1453.50B</w:t>
            </w:r>
          </w:p>
        </w:tc>
        <w:tc>
          <w:tcPr>
            <w:tcW w:w="1398" w:type="dxa"/>
          </w:tcPr>
          <w:p w14:paraId="10E52F20">
            <w:pPr>
              <w:pStyle w:val="43"/>
              <w:spacing w:before="56" w:line="182" w:lineRule="auto"/>
              <w:ind w:left="242"/>
              <w:jc w:val="center"/>
              <w:rPr>
                <w:rFonts w:ascii="仿宋_GB2312" w:hAnsi="仿宋_GB2312" w:eastAsia="仿宋_GB2312" w:cs="仿宋_GB2312"/>
              </w:rPr>
            </w:pPr>
            <w:r>
              <w:rPr>
                <w:rFonts w:hint="eastAsia" w:ascii="仿宋_GB2312" w:hAnsi="仿宋_GB2312" w:eastAsia="仿宋_GB2312" w:cs="仿宋_GB2312"/>
              </w:rPr>
              <w:t>6</w:t>
            </w:r>
          </w:p>
        </w:tc>
      </w:tr>
      <w:tr w14:paraId="5EBE074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0" w:hRule="atLeast"/>
          <w:jc w:val="center"/>
        </w:trPr>
        <w:tc>
          <w:tcPr>
            <w:tcW w:w="1168" w:type="dxa"/>
            <w:tcBorders>
              <w:bottom w:val="single" w:color="000000" w:sz="4" w:space="0"/>
            </w:tcBorders>
          </w:tcPr>
          <w:p w14:paraId="3EFA0A66">
            <w:pPr>
              <w:pStyle w:val="43"/>
              <w:spacing w:before="40" w:line="215" w:lineRule="auto"/>
              <w:ind w:left="60"/>
              <w:jc w:val="center"/>
              <w:rPr>
                <w:rFonts w:ascii="仿宋_GB2312" w:hAnsi="仿宋_GB2312" w:eastAsia="仿宋_GB2312" w:cs="仿宋_GB2312"/>
              </w:rPr>
            </w:pPr>
            <w:r>
              <w:rPr>
                <w:rFonts w:hint="eastAsia" w:ascii="仿宋_GB2312" w:hAnsi="仿宋_GB2312" w:eastAsia="仿宋_GB2312" w:cs="仿宋_GB2312"/>
                <w:spacing w:val="-2"/>
              </w:rPr>
              <w:t>云南农家蚕豆</w:t>
            </w:r>
          </w:p>
        </w:tc>
        <w:tc>
          <w:tcPr>
            <w:tcW w:w="1619" w:type="dxa"/>
            <w:tcBorders>
              <w:bottom w:val="single" w:color="000000" w:sz="4" w:space="0"/>
            </w:tcBorders>
          </w:tcPr>
          <w:p w14:paraId="2055DC54">
            <w:pPr>
              <w:pStyle w:val="43"/>
              <w:spacing w:before="51" w:line="197" w:lineRule="auto"/>
              <w:ind w:left="172"/>
              <w:jc w:val="center"/>
              <w:rPr>
                <w:rFonts w:ascii="仿宋_GB2312" w:hAnsi="仿宋_GB2312" w:eastAsia="仿宋_GB2312" w:cs="仿宋_GB2312"/>
              </w:rPr>
            </w:pPr>
            <w:r>
              <w:rPr>
                <w:rFonts w:hint="eastAsia" w:ascii="仿宋_GB2312" w:hAnsi="仿宋_GB2312" w:eastAsia="仿宋_GB2312" w:cs="仿宋_GB2312"/>
                <w:spacing w:val="-2"/>
              </w:rPr>
              <w:t>9.00</w:t>
            </w:r>
            <w:r>
              <w:rPr>
                <w:rFonts w:hint="eastAsia" w:ascii="仿宋_GB2312" w:hAnsi="仿宋_GB2312" w:eastAsia="仿宋_GB2312" w:cs="仿宋_GB2312"/>
                <w:spacing w:val="7"/>
              </w:rPr>
              <w:t xml:space="preserve"> </w:t>
            </w:r>
            <w:r>
              <w:rPr>
                <w:rFonts w:hint="eastAsia" w:ascii="仿宋_GB2312" w:hAnsi="仿宋_GB2312" w:eastAsia="仿宋_GB2312" w:cs="仿宋_GB2312"/>
                <w:spacing w:val="-2"/>
              </w:rPr>
              <w:t>C</w:t>
            </w:r>
          </w:p>
        </w:tc>
        <w:tc>
          <w:tcPr>
            <w:tcW w:w="1584" w:type="dxa"/>
            <w:tcBorders>
              <w:bottom w:val="single" w:color="000000" w:sz="4" w:space="0"/>
            </w:tcBorders>
          </w:tcPr>
          <w:p w14:paraId="03F7CB4D">
            <w:pPr>
              <w:pStyle w:val="43"/>
              <w:spacing w:before="51" w:line="197" w:lineRule="auto"/>
              <w:ind w:left="225"/>
              <w:jc w:val="center"/>
              <w:rPr>
                <w:rFonts w:ascii="仿宋_GB2312" w:hAnsi="仿宋_GB2312" w:eastAsia="仿宋_GB2312" w:cs="仿宋_GB2312"/>
              </w:rPr>
            </w:pPr>
            <w:r>
              <w:rPr>
                <w:rFonts w:hint="eastAsia" w:ascii="仿宋_GB2312" w:hAnsi="仿宋_GB2312" w:eastAsia="仿宋_GB2312" w:cs="仿宋_GB2312"/>
                <w:spacing w:val="-3"/>
              </w:rPr>
              <w:t>182</w:t>
            </w:r>
            <w:r>
              <w:rPr>
                <w:rFonts w:hint="eastAsia" w:ascii="仿宋_GB2312" w:hAnsi="仿宋_GB2312" w:eastAsia="仿宋_GB2312" w:cs="仿宋_GB2312"/>
                <w:spacing w:val="1"/>
              </w:rPr>
              <w:t xml:space="preserve"> </w:t>
            </w:r>
            <w:r>
              <w:rPr>
                <w:rFonts w:hint="eastAsia" w:ascii="仿宋_GB2312" w:hAnsi="仿宋_GB2312" w:eastAsia="仿宋_GB2312" w:cs="仿宋_GB2312"/>
                <w:spacing w:val="-3"/>
              </w:rPr>
              <w:t>BC</w:t>
            </w:r>
          </w:p>
        </w:tc>
        <w:tc>
          <w:tcPr>
            <w:tcW w:w="1645" w:type="dxa"/>
            <w:tcBorders>
              <w:bottom w:val="single" w:color="000000" w:sz="4" w:space="0"/>
            </w:tcBorders>
          </w:tcPr>
          <w:p w14:paraId="2C0B40F0">
            <w:pPr>
              <w:pStyle w:val="43"/>
              <w:spacing w:before="51" w:line="197" w:lineRule="auto"/>
              <w:ind w:left="135"/>
              <w:jc w:val="center"/>
              <w:rPr>
                <w:rFonts w:ascii="仿宋_GB2312" w:hAnsi="仿宋_GB2312" w:eastAsia="仿宋_GB2312" w:cs="仿宋_GB2312"/>
              </w:rPr>
            </w:pPr>
            <w:r>
              <w:rPr>
                <w:rFonts w:hint="eastAsia" w:ascii="仿宋_GB2312" w:hAnsi="仿宋_GB2312" w:eastAsia="仿宋_GB2312" w:cs="仿宋_GB2312"/>
                <w:spacing w:val="-2"/>
              </w:rPr>
              <w:t>1721.25AB</w:t>
            </w:r>
          </w:p>
        </w:tc>
        <w:tc>
          <w:tcPr>
            <w:tcW w:w="1398" w:type="dxa"/>
            <w:tcBorders>
              <w:bottom w:val="single" w:color="000000" w:sz="4" w:space="0"/>
            </w:tcBorders>
          </w:tcPr>
          <w:p w14:paraId="2AA3BD50">
            <w:pPr>
              <w:pStyle w:val="43"/>
              <w:spacing w:before="51" w:line="197" w:lineRule="auto"/>
              <w:ind w:left="242"/>
              <w:jc w:val="center"/>
              <w:rPr>
                <w:rFonts w:ascii="仿宋_GB2312" w:hAnsi="仿宋_GB2312" w:eastAsia="仿宋_GB2312" w:cs="仿宋_GB2312"/>
              </w:rPr>
            </w:pPr>
            <w:r>
              <w:rPr>
                <w:rFonts w:hint="eastAsia" w:ascii="仿宋_GB2312" w:hAnsi="仿宋_GB2312" w:eastAsia="仿宋_GB2312" w:cs="仿宋_GB2312"/>
              </w:rPr>
              <w:t>3</w:t>
            </w:r>
          </w:p>
        </w:tc>
      </w:tr>
    </w:tbl>
    <w:p w14:paraId="4ABE6EC6">
      <w:pPr>
        <w:spacing w:line="73" w:lineRule="exact"/>
        <w:rPr>
          <w:rFonts w:ascii="Arial"/>
          <w:sz w:val="6"/>
        </w:rPr>
      </w:pPr>
    </w:p>
    <w:p w14:paraId="3C38648C">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2021年，贵阳市农业农村局联合贵州力合农业科技有限公司在花溪区黔陶乡马场村开展不同蚕豆品种农艺性状及抗性分析试验，试验选择了来自四川、云南、甘肃、湖南、江苏、陕西及本地贵阳的蚕豆品种20个进行种植。由上页表4不同蚕豆品种产量结果可以看出，云豆324、云南农家蚕豆、大志蚕豆、贵农21号、贵农3号、贵农33号、七粒香、贵农圆满等8个品种产量高、抗病性强，可作为适宜贵州秋冬季生产上推广应用品种。苏晓会,管正策,吴亨进等.不同蚕豆品种农艺性状及抗性分析 [J].耕作与栽培,2022,42(03)。</w:t>
      </w:r>
    </w:p>
    <w:p w14:paraId="72B01EDB">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2021年，贵阳市农业农村局联合贵州力合农业科技有限公司在花溪区黔陶乡马场村开展不同耕作方式对蚕豆农艺性状及产量构成的影响试验，试验选择贵农21号（V1）、贵农3号（V2）两个品种作为参试品种，设两种耕作方式，分别为翻耕（F1）和免耕（F2）。通过试验结果分析，由表3不同品种与耕作方式对产量构成的影响可以看出，在本试验条件下选择的最佳组合是V2F1，产量为1522.90kg/667m2，即采用翻耕方式和贵农3号品种。苏晓会,管正策,吴亨进等.不同耕作方式对蚕豆农艺性状及产量构成的影响[J].耕作与栽培,2022,42(04)。</w:t>
      </w:r>
    </w:p>
    <w:p w14:paraId="3D6A01C3">
      <w:pPr>
        <w:spacing w:line="360" w:lineRule="auto"/>
        <w:jc w:val="center"/>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表3  不同品种与耕作方式对蚕豆产量构成的影响</w:t>
      </w:r>
    </w:p>
    <w:p w14:paraId="32B0B0C8">
      <w:pPr>
        <w:spacing w:line="15" w:lineRule="exact"/>
      </w:pPr>
    </w:p>
    <w:tbl>
      <w:tblPr>
        <w:tblStyle w:val="44"/>
        <w:tblW w:w="8472"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70"/>
        <w:gridCol w:w="1789"/>
        <w:gridCol w:w="1407"/>
        <w:gridCol w:w="1268"/>
        <w:gridCol w:w="1438"/>
        <w:gridCol w:w="1500"/>
      </w:tblGrid>
      <w:tr w14:paraId="38DC70FB">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33" w:hRule="atLeast"/>
        </w:trPr>
        <w:tc>
          <w:tcPr>
            <w:tcW w:w="1070" w:type="dxa"/>
            <w:tcBorders>
              <w:top w:val="single" w:color="000000" w:sz="4" w:space="0"/>
              <w:bottom w:val="single" w:color="000000" w:sz="4" w:space="0"/>
            </w:tcBorders>
          </w:tcPr>
          <w:p w14:paraId="33CF8F3E">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处理</w:t>
            </w:r>
          </w:p>
        </w:tc>
        <w:tc>
          <w:tcPr>
            <w:tcW w:w="1789" w:type="dxa"/>
            <w:tcBorders>
              <w:top w:val="single" w:color="000000" w:sz="4" w:space="0"/>
              <w:bottom w:val="single" w:color="000000" w:sz="4" w:space="0"/>
            </w:tcBorders>
          </w:tcPr>
          <w:p w14:paraId="246449A4">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每穴分蘖数</w:t>
            </w:r>
          </w:p>
          <w:p w14:paraId="490A0726">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(个)</w:t>
            </w:r>
          </w:p>
        </w:tc>
        <w:tc>
          <w:tcPr>
            <w:tcW w:w="1407" w:type="dxa"/>
            <w:tcBorders>
              <w:top w:val="single" w:color="000000" w:sz="4" w:space="0"/>
              <w:bottom w:val="single" w:color="000000" w:sz="4" w:space="0"/>
            </w:tcBorders>
          </w:tcPr>
          <w:p w14:paraId="029D2C83">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单株结果数</w:t>
            </w:r>
          </w:p>
          <w:p w14:paraId="783E24DF">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(个)</w:t>
            </w:r>
          </w:p>
        </w:tc>
        <w:tc>
          <w:tcPr>
            <w:tcW w:w="1268" w:type="dxa"/>
            <w:tcBorders>
              <w:top w:val="single" w:color="000000" w:sz="4" w:space="0"/>
              <w:bottom w:val="single" w:color="000000" w:sz="4" w:space="0"/>
            </w:tcBorders>
          </w:tcPr>
          <w:p w14:paraId="7C081C12">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单株果重</w:t>
            </w:r>
          </w:p>
          <w:p w14:paraId="476B27DE">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(g)</w:t>
            </w:r>
          </w:p>
        </w:tc>
        <w:tc>
          <w:tcPr>
            <w:tcW w:w="1438" w:type="dxa"/>
            <w:tcBorders>
              <w:top w:val="single" w:color="000000" w:sz="4" w:space="0"/>
              <w:bottom w:val="single" w:color="000000" w:sz="4" w:space="0"/>
            </w:tcBorders>
          </w:tcPr>
          <w:p w14:paraId="069CEE2E">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鲜粒百粒重</w:t>
            </w:r>
          </w:p>
          <w:p w14:paraId="57085FFA">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(g)</w:t>
            </w:r>
          </w:p>
        </w:tc>
        <w:tc>
          <w:tcPr>
            <w:tcW w:w="1500" w:type="dxa"/>
            <w:tcBorders>
              <w:top w:val="single" w:color="000000" w:sz="4" w:space="0"/>
              <w:bottom w:val="single" w:color="000000" w:sz="4" w:space="0"/>
            </w:tcBorders>
          </w:tcPr>
          <w:p w14:paraId="1CD905E4">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带荚产量</w:t>
            </w:r>
          </w:p>
          <w:p w14:paraId="2435A0DF">
            <w:pPr>
              <w:pStyle w:val="43"/>
              <w:spacing w:line="580" w:lineRule="exact"/>
              <w:jc w:val="center"/>
              <w:rPr>
                <w:rFonts w:ascii="仿宋_GB2312" w:hAnsi="仿宋_GB2312" w:eastAsia="仿宋_GB2312" w:cs="仿宋_GB2312"/>
                <w:spacing w:val="-2"/>
                <w:sz w:val="21"/>
                <w:szCs w:val="21"/>
              </w:rPr>
            </w:pPr>
            <w:r>
              <w:rPr>
                <w:rFonts w:hint="eastAsia" w:ascii="仿宋_GB2312" w:hAnsi="仿宋_GB2312" w:eastAsia="仿宋_GB2312" w:cs="仿宋_GB2312"/>
                <w:spacing w:val="-2"/>
                <w:sz w:val="21"/>
                <w:szCs w:val="21"/>
              </w:rPr>
              <w:t>(kg/667m</w:t>
            </w:r>
            <w:r>
              <w:rPr>
                <w:rFonts w:hint="eastAsia" w:ascii="仿宋_GB2312" w:hAnsi="仿宋_GB2312" w:eastAsia="仿宋_GB2312" w:cs="仿宋_GB2312"/>
                <w:spacing w:val="-2"/>
                <w:sz w:val="21"/>
                <w:szCs w:val="21"/>
                <w:vertAlign w:val="superscript"/>
                <w:lang w:eastAsia="zh-CN"/>
              </w:rPr>
              <w:t>2</w:t>
            </w:r>
            <w:r>
              <w:rPr>
                <w:rFonts w:hint="eastAsia" w:ascii="仿宋_GB2312" w:hAnsi="仿宋_GB2312" w:eastAsia="仿宋_GB2312" w:cs="仿宋_GB2312"/>
                <w:spacing w:val="-2"/>
                <w:sz w:val="21"/>
                <w:szCs w:val="21"/>
              </w:rPr>
              <w:t>)</w:t>
            </w:r>
          </w:p>
        </w:tc>
      </w:tr>
      <w:tr w14:paraId="68F2A039">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2" w:hRule="atLeast"/>
        </w:trPr>
        <w:tc>
          <w:tcPr>
            <w:tcW w:w="1070" w:type="dxa"/>
            <w:tcBorders>
              <w:top w:val="single" w:color="000000" w:sz="4" w:space="0"/>
            </w:tcBorders>
          </w:tcPr>
          <w:p w14:paraId="4F76FE4F">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V1F1</w:t>
            </w:r>
          </w:p>
        </w:tc>
        <w:tc>
          <w:tcPr>
            <w:tcW w:w="1789" w:type="dxa"/>
            <w:tcBorders>
              <w:top w:val="single" w:color="000000" w:sz="4" w:space="0"/>
            </w:tcBorders>
          </w:tcPr>
          <w:p w14:paraId="3866262E">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7.67</w:t>
            </w:r>
            <w:r>
              <w:rPr>
                <w:rFonts w:hint="eastAsia" w:ascii="仿宋_GB2312" w:hAnsi="仿宋_GB2312" w:eastAsia="仿宋_GB2312" w:cs="仿宋_GB2312"/>
                <w:spacing w:val="10"/>
                <w:sz w:val="21"/>
                <w:szCs w:val="21"/>
              </w:rPr>
              <w:t xml:space="preserve"> </w:t>
            </w:r>
            <w:r>
              <w:rPr>
                <w:rFonts w:hint="eastAsia" w:ascii="仿宋_GB2312" w:hAnsi="仿宋_GB2312" w:eastAsia="仿宋_GB2312" w:cs="仿宋_GB2312"/>
                <w:spacing w:val="-3"/>
                <w:sz w:val="21"/>
                <w:szCs w:val="21"/>
              </w:rPr>
              <w:t>aA</w:t>
            </w:r>
          </w:p>
        </w:tc>
        <w:tc>
          <w:tcPr>
            <w:tcW w:w="1407" w:type="dxa"/>
            <w:tcBorders>
              <w:top w:val="single" w:color="000000" w:sz="4" w:space="0"/>
            </w:tcBorders>
          </w:tcPr>
          <w:p w14:paraId="04E3FE6F">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10.94</w:t>
            </w:r>
            <w:r>
              <w:rPr>
                <w:rFonts w:hint="eastAsia" w:ascii="仿宋_GB2312" w:hAnsi="仿宋_GB2312" w:eastAsia="仿宋_GB2312" w:cs="仿宋_GB2312"/>
                <w:spacing w:val="36"/>
                <w:sz w:val="21"/>
                <w:szCs w:val="21"/>
              </w:rPr>
              <w:t xml:space="preserve"> </w:t>
            </w:r>
            <w:r>
              <w:rPr>
                <w:rFonts w:hint="eastAsia" w:ascii="仿宋_GB2312" w:hAnsi="仿宋_GB2312" w:eastAsia="仿宋_GB2312" w:cs="仿宋_GB2312"/>
                <w:spacing w:val="-4"/>
                <w:sz w:val="21"/>
                <w:szCs w:val="21"/>
              </w:rPr>
              <w:t>aB</w:t>
            </w:r>
          </w:p>
        </w:tc>
        <w:tc>
          <w:tcPr>
            <w:tcW w:w="1268" w:type="dxa"/>
            <w:tcBorders>
              <w:top w:val="single" w:color="000000" w:sz="4" w:space="0"/>
            </w:tcBorders>
          </w:tcPr>
          <w:p w14:paraId="64828EB8">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88.33</w:t>
            </w:r>
            <w:r>
              <w:rPr>
                <w:rFonts w:hint="eastAsia" w:ascii="仿宋_GB2312" w:hAnsi="仿宋_GB2312" w:eastAsia="仿宋_GB2312" w:cs="仿宋_GB2312"/>
                <w:spacing w:val="9"/>
                <w:sz w:val="21"/>
                <w:szCs w:val="21"/>
              </w:rPr>
              <w:t xml:space="preserve"> </w:t>
            </w:r>
            <w:r>
              <w:rPr>
                <w:rFonts w:hint="eastAsia" w:ascii="仿宋_GB2312" w:hAnsi="仿宋_GB2312" w:eastAsia="仿宋_GB2312" w:cs="仿宋_GB2312"/>
                <w:spacing w:val="-2"/>
                <w:sz w:val="21"/>
                <w:szCs w:val="21"/>
              </w:rPr>
              <w:t>aB</w:t>
            </w:r>
          </w:p>
        </w:tc>
        <w:tc>
          <w:tcPr>
            <w:tcW w:w="1438" w:type="dxa"/>
            <w:tcBorders>
              <w:top w:val="single" w:color="000000" w:sz="4" w:space="0"/>
            </w:tcBorders>
          </w:tcPr>
          <w:p w14:paraId="07EA4572">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186.93</w:t>
            </w:r>
            <w:r>
              <w:rPr>
                <w:rFonts w:hint="eastAsia" w:ascii="仿宋_GB2312" w:hAnsi="仿宋_GB2312" w:eastAsia="仿宋_GB2312" w:cs="仿宋_GB2312"/>
                <w:spacing w:val="32"/>
                <w:sz w:val="21"/>
                <w:szCs w:val="21"/>
              </w:rPr>
              <w:t xml:space="preserve"> </w:t>
            </w:r>
            <w:r>
              <w:rPr>
                <w:rFonts w:hint="eastAsia" w:ascii="仿宋_GB2312" w:hAnsi="仿宋_GB2312" w:eastAsia="仿宋_GB2312" w:cs="仿宋_GB2312"/>
                <w:spacing w:val="-3"/>
                <w:sz w:val="21"/>
                <w:szCs w:val="21"/>
              </w:rPr>
              <w:t>aB</w:t>
            </w:r>
          </w:p>
        </w:tc>
        <w:tc>
          <w:tcPr>
            <w:tcW w:w="1500" w:type="dxa"/>
            <w:tcBorders>
              <w:top w:val="single" w:color="000000" w:sz="4" w:space="0"/>
            </w:tcBorders>
          </w:tcPr>
          <w:p w14:paraId="4CD6CBE3">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1126.25</w:t>
            </w:r>
            <w:r>
              <w:rPr>
                <w:rFonts w:hint="eastAsia" w:ascii="仿宋_GB2312" w:hAnsi="仿宋_GB2312" w:eastAsia="仿宋_GB2312" w:cs="仿宋_GB2312"/>
                <w:spacing w:val="34"/>
                <w:w w:val="101"/>
                <w:sz w:val="21"/>
                <w:szCs w:val="21"/>
              </w:rPr>
              <w:t xml:space="preserve"> </w:t>
            </w:r>
            <w:r>
              <w:rPr>
                <w:rFonts w:hint="eastAsia" w:ascii="仿宋_GB2312" w:hAnsi="仿宋_GB2312" w:eastAsia="仿宋_GB2312" w:cs="仿宋_GB2312"/>
                <w:spacing w:val="-3"/>
                <w:sz w:val="21"/>
                <w:szCs w:val="21"/>
              </w:rPr>
              <w:t>aB</w:t>
            </w:r>
          </w:p>
        </w:tc>
      </w:tr>
      <w:tr w14:paraId="71B4865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89" w:hRule="atLeast"/>
        </w:trPr>
        <w:tc>
          <w:tcPr>
            <w:tcW w:w="1070" w:type="dxa"/>
          </w:tcPr>
          <w:p w14:paraId="7B429210">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V1F2</w:t>
            </w:r>
          </w:p>
        </w:tc>
        <w:tc>
          <w:tcPr>
            <w:tcW w:w="1789" w:type="dxa"/>
          </w:tcPr>
          <w:p w14:paraId="3BB9CB3B">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7.16</w:t>
            </w:r>
            <w:r>
              <w:rPr>
                <w:rFonts w:hint="eastAsia" w:ascii="仿宋_GB2312" w:hAnsi="仿宋_GB2312" w:eastAsia="仿宋_GB2312" w:cs="仿宋_GB2312"/>
                <w:spacing w:val="10"/>
                <w:sz w:val="21"/>
                <w:szCs w:val="21"/>
              </w:rPr>
              <w:t xml:space="preserve"> </w:t>
            </w:r>
            <w:r>
              <w:rPr>
                <w:rFonts w:hint="eastAsia" w:ascii="仿宋_GB2312" w:hAnsi="仿宋_GB2312" w:eastAsia="仿宋_GB2312" w:cs="仿宋_GB2312"/>
                <w:spacing w:val="-3"/>
                <w:sz w:val="21"/>
                <w:szCs w:val="21"/>
              </w:rPr>
              <w:t>aA</w:t>
            </w:r>
          </w:p>
        </w:tc>
        <w:tc>
          <w:tcPr>
            <w:tcW w:w="1407" w:type="dxa"/>
          </w:tcPr>
          <w:p w14:paraId="6D4F955A">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10.24</w:t>
            </w:r>
            <w:r>
              <w:rPr>
                <w:rFonts w:hint="eastAsia" w:ascii="仿宋_GB2312" w:hAnsi="仿宋_GB2312" w:eastAsia="仿宋_GB2312" w:cs="仿宋_GB2312"/>
                <w:spacing w:val="33"/>
                <w:sz w:val="21"/>
                <w:szCs w:val="21"/>
              </w:rPr>
              <w:t xml:space="preserve"> </w:t>
            </w:r>
            <w:r>
              <w:rPr>
                <w:rFonts w:hint="eastAsia" w:ascii="仿宋_GB2312" w:hAnsi="仿宋_GB2312" w:eastAsia="仿宋_GB2312" w:cs="仿宋_GB2312"/>
                <w:spacing w:val="-4"/>
                <w:sz w:val="21"/>
                <w:szCs w:val="21"/>
              </w:rPr>
              <w:t>aA</w:t>
            </w:r>
          </w:p>
        </w:tc>
        <w:tc>
          <w:tcPr>
            <w:tcW w:w="1268" w:type="dxa"/>
          </w:tcPr>
          <w:p w14:paraId="3A485311">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80.33</w:t>
            </w:r>
            <w:r>
              <w:rPr>
                <w:rFonts w:hint="eastAsia" w:ascii="仿宋_GB2312" w:hAnsi="仿宋_GB2312" w:eastAsia="仿宋_GB2312" w:cs="仿宋_GB2312"/>
                <w:spacing w:val="9"/>
                <w:sz w:val="21"/>
                <w:szCs w:val="21"/>
              </w:rPr>
              <w:t xml:space="preserve"> </w:t>
            </w:r>
            <w:r>
              <w:rPr>
                <w:rFonts w:hint="eastAsia" w:ascii="仿宋_GB2312" w:hAnsi="仿宋_GB2312" w:eastAsia="仿宋_GB2312" w:cs="仿宋_GB2312"/>
                <w:spacing w:val="-2"/>
                <w:sz w:val="21"/>
                <w:szCs w:val="21"/>
              </w:rPr>
              <w:t>aB</w:t>
            </w:r>
          </w:p>
        </w:tc>
        <w:tc>
          <w:tcPr>
            <w:tcW w:w="1438" w:type="dxa"/>
          </w:tcPr>
          <w:p w14:paraId="6447E8A0">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183.70</w:t>
            </w:r>
            <w:r>
              <w:rPr>
                <w:rFonts w:hint="eastAsia" w:ascii="仿宋_GB2312" w:hAnsi="仿宋_GB2312" w:eastAsia="仿宋_GB2312" w:cs="仿宋_GB2312"/>
                <w:spacing w:val="32"/>
                <w:sz w:val="21"/>
                <w:szCs w:val="21"/>
              </w:rPr>
              <w:t xml:space="preserve"> </w:t>
            </w:r>
            <w:r>
              <w:rPr>
                <w:rFonts w:hint="eastAsia" w:ascii="仿宋_GB2312" w:hAnsi="仿宋_GB2312" w:eastAsia="仿宋_GB2312" w:cs="仿宋_GB2312"/>
                <w:spacing w:val="-3"/>
                <w:sz w:val="21"/>
                <w:szCs w:val="21"/>
              </w:rPr>
              <w:t>aB</w:t>
            </w:r>
          </w:p>
        </w:tc>
        <w:tc>
          <w:tcPr>
            <w:tcW w:w="1500" w:type="dxa"/>
          </w:tcPr>
          <w:p w14:paraId="0EB3E707">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1024.25</w:t>
            </w:r>
            <w:r>
              <w:rPr>
                <w:rFonts w:hint="eastAsia" w:ascii="仿宋_GB2312" w:hAnsi="仿宋_GB2312" w:eastAsia="仿宋_GB2312" w:cs="仿宋_GB2312"/>
                <w:spacing w:val="34"/>
                <w:w w:val="101"/>
                <w:sz w:val="21"/>
                <w:szCs w:val="21"/>
              </w:rPr>
              <w:t xml:space="preserve"> </w:t>
            </w:r>
            <w:r>
              <w:rPr>
                <w:rFonts w:hint="eastAsia" w:ascii="仿宋_GB2312" w:hAnsi="仿宋_GB2312" w:eastAsia="仿宋_GB2312" w:cs="仿宋_GB2312"/>
                <w:spacing w:val="-3"/>
                <w:sz w:val="21"/>
                <w:szCs w:val="21"/>
              </w:rPr>
              <w:t>aB</w:t>
            </w:r>
          </w:p>
        </w:tc>
      </w:tr>
      <w:tr w14:paraId="6C4CD56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78" w:hRule="atLeast"/>
        </w:trPr>
        <w:tc>
          <w:tcPr>
            <w:tcW w:w="1070" w:type="dxa"/>
          </w:tcPr>
          <w:p w14:paraId="65E23A2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V2</w:t>
            </w:r>
            <w:r>
              <w:rPr>
                <w:rFonts w:hint="eastAsia" w:ascii="仿宋_GB2312" w:hAnsi="仿宋_GB2312" w:eastAsia="仿宋_GB2312" w:cs="仿宋_GB2312"/>
                <w:spacing w:val="6"/>
                <w:sz w:val="21"/>
                <w:szCs w:val="21"/>
              </w:rPr>
              <w:t xml:space="preserve"> </w:t>
            </w:r>
            <w:r>
              <w:rPr>
                <w:rFonts w:hint="eastAsia" w:ascii="仿宋_GB2312" w:hAnsi="仿宋_GB2312" w:eastAsia="仿宋_GB2312" w:cs="仿宋_GB2312"/>
                <w:spacing w:val="-2"/>
                <w:sz w:val="21"/>
                <w:szCs w:val="21"/>
              </w:rPr>
              <w:t>F1</w:t>
            </w:r>
          </w:p>
        </w:tc>
        <w:tc>
          <w:tcPr>
            <w:tcW w:w="1789" w:type="dxa"/>
          </w:tcPr>
          <w:p w14:paraId="7C558428">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6.60</w:t>
            </w:r>
            <w:r>
              <w:rPr>
                <w:rFonts w:hint="eastAsia" w:ascii="仿宋_GB2312" w:hAnsi="仿宋_GB2312" w:eastAsia="仿宋_GB2312" w:cs="仿宋_GB2312"/>
                <w:spacing w:val="6"/>
                <w:sz w:val="21"/>
                <w:szCs w:val="21"/>
              </w:rPr>
              <w:t xml:space="preserve"> </w:t>
            </w:r>
            <w:r>
              <w:rPr>
                <w:rFonts w:hint="eastAsia" w:ascii="仿宋_GB2312" w:hAnsi="仿宋_GB2312" w:eastAsia="仿宋_GB2312" w:cs="仿宋_GB2312"/>
                <w:spacing w:val="-2"/>
                <w:sz w:val="21"/>
                <w:szCs w:val="21"/>
              </w:rPr>
              <w:t>aB</w:t>
            </w:r>
          </w:p>
        </w:tc>
        <w:tc>
          <w:tcPr>
            <w:tcW w:w="1407" w:type="dxa"/>
          </w:tcPr>
          <w:p w14:paraId="6ADD14B8">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12.69</w:t>
            </w:r>
            <w:r>
              <w:rPr>
                <w:rFonts w:hint="eastAsia" w:ascii="仿宋_GB2312" w:hAnsi="仿宋_GB2312" w:eastAsia="仿宋_GB2312" w:cs="仿宋_GB2312"/>
                <w:spacing w:val="33"/>
                <w:sz w:val="21"/>
                <w:szCs w:val="21"/>
              </w:rPr>
              <w:t xml:space="preserve"> </w:t>
            </w:r>
            <w:r>
              <w:rPr>
                <w:rFonts w:hint="eastAsia" w:ascii="仿宋_GB2312" w:hAnsi="仿宋_GB2312" w:eastAsia="仿宋_GB2312" w:cs="仿宋_GB2312"/>
                <w:spacing w:val="-4"/>
                <w:sz w:val="21"/>
                <w:szCs w:val="21"/>
              </w:rPr>
              <w:t>aA</w:t>
            </w:r>
          </w:p>
        </w:tc>
        <w:tc>
          <w:tcPr>
            <w:tcW w:w="1268" w:type="dxa"/>
          </w:tcPr>
          <w:p w14:paraId="2C9014CD">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119.44</w:t>
            </w:r>
            <w:r>
              <w:rPr>
                <w:rFonts w:hint="eastAsia" w:ascii="仿宋_GB2312" w:hAnsi="仿宋_GB2312" w:eastAsia="仿宋_GB2312" w:cs="仿宋_GB2312"/>
                <w:spacing w:val="29"/>
                <w:sz w:val="21"/>
                <w:szCs w:val="21"/>
              </w:rPr>
              <w:t xml:space="preserve"> </w:t>
            </w:r>
            <w:r>
              <w:rPr>
                <w:rFonts w:hint="eastAsia" w:ascii="仿宋_GB2312" w:hAnsi="仿宋_GB2312" w:eastAsia="仿宋_GB2312" w:cs="仿宋_GB2312"/>
                <w:spacing w:val="-3"/>
                <w:sz w:val="21"/>
                <w:szCs w:val="21"/>
              </w:rPr>
              <w:t>aA</w:t>
            </w:r>
          </w:p>
        </w:tc>
        <w:tc>
          <w:tcPr>
            <w:tcW w:w="1438" w:type="dxa"/>
          </w:tcPr>
          <w:p w14:paraId="652F5D30">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220.60</w:t>
            </w:r>
            <w:r>
              <w:rPr>
                <w:rFonts w:hint="eastAsia" w:ascii="仿宋_GB2312" w:hAnsi="仿宋_GB2312" w:eastAsia="仿宋_GB2312" w:cs="仿宋_GB2312"/>
                <w:spacing w:val="10"/>
                <w:sz w:val="21"/>
                <w:szCs w:val="21"/>
              </w:rPr>
              <w:t xml:space="preserve"> </w:t>
            </w:r>
            <w:r>
              <w:rPr>
                <w:rFonts w:hint="eastAsia" w:ascii="仿宋_GB2312" w:hAnsi="仿宋_GB2312" w:eastAsia="仿宋_GB2312" w:cs="仿宋_GB2312"/>
                <w:spacing w:val="-2"/>
                <w:sz w:val="21"/>
                <w:szCs w:val="21"/>
              </w:rPr>
              <w:t>aA</w:t>
            </w:r>
          </w:p>
        </w:tc>
        <w:tc>
          <w:tcPr>
            <w:tcW w:w="1500" w:type="dxa"/>
          </w:tcPr>
          <w:p w14:paraId="5EB79A3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1522.90</w:t>
            </w:r>
            <w:r>
              <w:rPr>
                <w:rFonts w:hint="eastAsia" w:ascii="仿宋_GB2312" w:hAnsi="仿宋_GB2312" w:eastAsia="仿宋_GB2312" w:cs="仿宋_GB2312"/>
                <w:spacing w:val="32"/>
                <w:sz w:val="21"/>
                <w:szCs w:val="21"/>
              </w:rPr>
              <w:t xml:space="preserve"> </w:t>
            </w:r>
            <w:r>
              <w:rPr>
                <w:rFonts w:hint="eastAsia" w:ascii="仿宋_GB2312" w:hAnsi="仿宋_GB2312" w:eastAsia="仿宋_GB2312" w:cs="仿宋_GB2312"/>
                <w:spacing w:val="-3"/>
                <w:sz w:val="21"/>
                <w:szCs w:val="21"/>
              </w:rPr>
              <w:t>aA</w:t>
            </w:r>
          </w:p>
        </w:tc>
      </w:tr>
      <w:tr w14:paraId="7DAF0414">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67" w:hRule="atLeast"/>
        </w:trPr>
        <w:tc>
          <w:tcPr>
            <w:tcW w:w="1070" w:type="dxa"/>
            <w:tcBorders>
              <w:bottom w:val="single" w:color="000000" w:sz="4" w:space="0"/>
            </w:tcBorders>
          </w:tcPr>
          <w:p w14:paraId="760B221D">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V2</w:t>
            </w:r>
            <w:r>
              <w:rPr>
                <w:rFonts w:hint="eastAsia" w:ascii="仿宋_GB2312" w:hAnsi="仿宋_GB2312" w:eastAsia="仿宋_GB2312" w:cs="仿宋_GB2312"/>
                <w:spacing w:val="6"/>
                <w:sz w:val="21"/>
                <w:szCs w:val="21"/>
              </w:rPr>
              <w:t xml:space="preserve"> </w:t>
            </w:r>
            <w:r>
              <w:rPr>
                <w:rFonts w:hint="eastAsia" w:ascii="仿宋_GB2312" w:hAnsi="仿宋_GB2312" w:eastAsia="仿宋_GB2312" w:cs="仿宋_GB2312"/>
                <w:spacing w:val="-2"/>
                <w:sz w:val="21"/>
                <w:szCs w:val="21"/>
              </w:rPr>
              <w:t>F2</w:t>
            </w:r>
          </w:p>
        </w:tc>
        <w:tc>
          <w:tcPr>
            <w:tcW w:w="1789" w:type="dxa"/>
            <w:tcBorders>
              <w:bottom w:val="single" w:color="000000" w:sz="4" w:space="0"/>
            </w:tcBorders>
          </w:tcPr>
          <w:p w14:paraId="09C1B2D7">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5.91</w:t>
            </w:r>
            <w:r>
              <w:rPr>
                <w:rFonts w:hint="eastAsia" w:ascii="仿宋_GB2312" w:hAnsi="仿宋_GB2312" w:eastAsia="仿宋_GB2312" w:cs="仿宋_GB2312"/>
                <w:spacing w:val="11"/>
                <w:sz w:val="21"/>
                <w:szCs w:val="21"/>
              </w:rPr>
              <w:t xml:space="preserve"> </w:t>
            </w:r>
            <w:r>
              <w:rPr>
                <w:rFonts w:hint="eastAsia" w:ascii="仿宋_GB2312" w:hAnsi="仿宋_GB2312" w:eastAsia="仿宋_GB2312" w:cs="仿宋_GB2312"/>
                <w:spacing w:val="-3"/>
                <w:sz w:val="21"/>
                <w:szCs w:val="21"/>
              </w:rPr>
              <w:t>aB</w:t>
            </w:r>
          </w:p>
        </w:tc>
        <w:tc>
          <w:tcPr>
            <w:tcW w:w="1407" w:type="dxa"/>
            <w:tcBorders>
              <w:bottom w:val="single" w:color="000000" w:sz="4" w:space="0"/>
            </w:tcBorders>
          </w:tcPr>
          <w:p w14:paraId="3C9D0268">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11.21</w:t>
            </w:r>
            <w:r>
              <w:rPr>
                <w:rFonts w:hint="eastAsia" w:ascii="仿宋_GB2312" w:hAnsi="仿宋_GB2312" w:eastAsia="仿宋_GB2312" w:cs="仿宋_GB2312"/>
                <w:spacing w:val="25"/>
                <w:sz w:val="21"/>
                <w:szCs w:val="21"/>
              </w:rPr>
              <w:t xml:space="preserve"> </w:t>
            </w:r>
            <w:r>
              <w:rPr>
                <w:rFonts w:hint="eastAsia" w:ascii="仿宋_GB2312" w:hAnsi="仿宋_GB2312" w:eastAsia="仿宋_GB2312" w:cs="仿宋_GB2312"/>
                <w:spacing w:val="-3"/>
                <w:sz w:val="21"/>
                <w:szCs w:val="21"/>
              </w:rPr>
              <w:t>bA</w:t>
            </w:r>
          </w:p>
        </w:tc>
        <w:tc>
          <w:tcPr>
            <w:tcW w:w="1268" w:type="dxa"/>
            <w:tcBorders>
              <w:bottom w:val="single" w:color="000000" w:sz="4" w:space="0"/>
            </w:tcBorders>
          </w:tcPr>
          <w:p w14:paraId="2757E746">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102.33</w:t>
            </w:r>
            <w:r>
              <w:rPr>
                <w:rFonts w:hint="eastAsia" w:ascii="仿宋_GB2312" w:hAnsi="仿宋_GB2312" w:eastAsia="仿宋_GB2312" w:cs="仿宋_GB2312"/>
                <w:spacing w:val="29"/>
                <w:sz w:val="21"/>
                <w:szCs w:val="21"/>
              </w:rPr>
              <w:t xml:space="preserve"> </w:t>
            </w:r>
            <w:r>
              <w:rPr>
                <w:rFonts w:hint="eastAsia" w:ascii="仿宋_GB2312" w:hAnsi="仿宋_GB2312" w:eastAsia="仿宋_GB2312" w:cs="仿宋_GB2312"/>
                <w:spacing w:val="-3"/>
                <w:sz w:val="21"/>
                <w:szCs w:val="21"/>
              </w:rPr>
              <w:t>aA</w:t>
            </w:r>
          </w:p>
        </w:tc>
        <w:tc>
          <w:tcPr>
            <w:tcW w:w="1438" w:type="dxa"/>
            <w:tcBorders>
              <w:bottom w:val="single" w:color="000000" w:sz="4" w:space="0"/>
            </w:tcBorders>
          </w:tcPr>
          <w:p w14:paraId="7DED4C2E">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219.57</w:t>
            </w:r>
            <w:r>
              <w:rPr>
                <w:rFonts w:hint="eastAsia" w:ascii="仿宋_GB2312" w:hAnsi="仿宋_GB2312" w:eastAsia="仿宋_GB2312" w:cs="仿宋_GB2312"/>
                <w:spacing w:val="10"/>
                <w:sz w:val="21"/>
                <w:szCs w:val="21"/>
              </w:rPr>
              <w:t xml:space="preserve"> </w:t>
            </w:r>
            <w:r>
              <w:rPr>
                <w:rFonts w:hint="eastAsia" w:ascii="仿宋_GB2312" w:hAnsi="仿宋_GB2312" w:eastAsia="仿宋_GB2312" w:cs="仿宋_GB2312"/>
                <w:spacing w:val="-2"/>
                <w:sz w:val="21"/>
                <w:szCs w:val="21"/>
              </w:rPr>
              <w:t>aA</w:t>
            </w:r>
          </w:p>
        </w:tc>
        <w:tc>
          <w:tcPr>
            <w:tcW w:w="1500" w:type="dxa"/>
            <w:tcBorders>
              <w:bottom w:val="single" w:color="000000" w:sz="4" w:space="0"/>
            </w:tcBorders>
          </w:tcPr>
          <w:p w14:paraId="1CE6A50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1304.75</w:t>
            </w:r>
            <w:r>
              <w:rPr>
                <w:rFonts w:hint="eastAsia" w:ascii="仿宋_GB2312" w:hAnsi="仿宋_GB2312" w:eastAsia="仿宋_GB2312" w:cs="仿宋_GB2312"/>
                <w:spacing w:val="30"/>
                <w:w w:val="101"/>
                <w:sz w:val="21"/>
                <w:szCs w:val="21"/>
              </w:rPr>
              <w:t xml:space="preserve"> </w:t>
            </w:r>
            <w:r>
              <w:rPr>
                <w:rFonts w:hint="eastAsia" w:ascii="仿宋_GB2312" w:hAnsi="仿宋_GB2312" w:eastAsia="仿宋_GB2312" w:cs="仿宋_GB2312"/>
                <w:spacing w:val="-3"/>
                <w:sz w:val="21"/>
                <w:szCs w:val="21"/>
              </w:rPr>
              <w:t>bA</w:t>
            </w:r>
          </w:p>
        </w:tc>
      </w:tr>
      <w:tr w14:paraId="08E5754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6" w:hRule="atLeast"/>
        </w:trPr>
        <w:tc>
          <w:tcPr>
            <w:tcW w:w="1070" w:type="dxa"/>
            <w:tcBorders>
              <w:top w:val="single" w:color="000000" w:sz="4" w:space="0"/>
            </w:tcBorders>
          </w:tcPr>
          <w:p w14:paraId="3F8AE0AB">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V1</w:t>
            </w:r>
          </w:p>
        </w:tc>
        <w:tc>
          <w:tcPr>
            <w:tcW w:w="1789" w:type="dxa"/>
            <w:tcBorders>
              <w:top w:val="single" w:color="000000" w:sz="4" w:space="0"/>
            </w:tcBorders>
          </w:tcPr>
          <w:p w14:paraId="173BD5A8">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7.42</w:t>
            </w:r>
            <w:r>
              <w:rPr>
                <w:rFonts w:hint="eastAsia" w:ascii="仿宋_GB2312" w:hAnsi="仿宋_GB2312" w:eastAsia="仿宋_GB2312" w:cs="仿宋_GB2312"/>
                <w:spacing w:val="10"/>
                <w:sz w:val="21"/>
                <w:szCs w:val="21"/>
              </w:rPr>
              <w:t xml:space="preserve"> </w:t>
            </w:r>
            <w:r>
              <w:rPr>
                <w:rFonts w:hint="eastAsia" w:ascii="仿宋_GB2312" w:hAnsi="仿宋_GB2312" w:eastAsia="仿宋_GB2312" w:cs="仿宋_GB2312"/>
                <w:spacing w:val="-3"/>
                <w:sz w:val="21"/>
                <w:szCs w:val="21"/>
              </w:rPr>
              <w:t>a</w:t>
            </w:r>
          </w:p>
        </w:tc>
        <w:tc>
          <w:tcPr>
            <w:tcW w:w="1407" w:type="dxa"/>
            <w:tcBorders>
              <w:top w:val="single" w:color="000000" w:sz="4" w:space="0"/>
            </w:tcBorders>
          </w:tcPr>
          <w:p w14:paraId="59A4D85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10.59</w:t>
            </w:r>
            <w:r>
              <w:rPr>
                <w:rFonts w:hint="eastAsia" w:ascii="仿宋_GB2312" w:hAnsi="仿宋_GB2312" w:eastAsia="仿宋_GB2312" w:cs="仿宋_GB2312"/>
                <w:spacing w:val="35"/>
                <w:sz w:val="21"/>
                <w:szCs w:val="21"/>
              </w:rPr>
              <w:t xml:space="preserve"> </w:t>
            </w:r>
            <w:r>
              <w:rPr>
                <w:rFonts w:hint="eastAsia" w:ascii="仿宋_GB2312" w:hAnsi="仿宋_GB2312" w:eastAsia="仿宋_GB2312" w:cs="仿宋_GB2312"/>
                <w:spacing w:val="-4"/>
                <w:sz w:val="21"/>
                <w:szCs w:val="21"/>
              </w:rPr>
              <w:t>b</w:t>
            </w:r>
          </w:p>
        </w:tc>
        <w:tc>
          <w:tcPr>
            <w:tcW w:w="1268" w:type="dxa"/>
            <w:tcBorders>
              <w:top w:val="single" w:color="000000" w:sz="4" w:space="0"/>
            </w:tcBorders>
          </w:tcPr>
          <w:p w14:paraId="0D2083FA">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84.33 b</w:t>
            </w:r>
          </w:p>
        </w:tc>
        <w:tc>
          <w:tcPr>
            <w:tcW w:w="1438" w:type="dxa"/>
            <w:tcBorders>
              <w:top w:val="single" w:color="000000" w:sz="4" w:space="0"/>
            </w:tcBorders>
          </w:tcPr>
          <w:p w14:paraId="14CD42E0">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185.31</w:t>
            </w:r>
            <w:r>
              <w:rPr>
                <w:rFonts w:hint="eastAsia" w:ascii="仿宋_GB2312" w:hAnsi="仿宋_GB2312" w:eastAsia="仿宋_GB2312" w:cs="仿宋_GB2312"/>
                <w:spacing w:val="32"/>
                <w:sz w:val="21"/>
                <w:szCs w:val="21"/>
              </w:rPr>
              <w:t xml:space="preserve"> </w:t>
            </w:r>
            <w:r>
              <w:rPr>
                <w:rFonts w:hint="eastAsia" w:ascii="仿宋_GB2312" w:hAnsi="仿宋_GB2312" w:eastAsia="仿宋_GB2312" w:cs="仿宋_GB2312"/>
                <w:spacing w:val="-3"/>
                <w:sz w:val="21"/>
                <w:szCs w:val="21"/>
              </w:rPr>
              <w:t>b</w:t>
            </w:r>
          </w:p>
        </w:tc>
        <w:tc>
          <w:tcPr>
            <w:tcW w:w="1500" w:type="dxa"/>
            <w:tcBorders>
              <w:top w:val="single" w:color="000000" w:sz="4" w:space="0"/>
            </w:tcBorders>
          </w:tcPr>
          <w:p w14:paraId="7A9C5306">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1075.25</w:t>
            </w:r>
            <w:r>
              <w:rPr>
                <w:rFonts w:hint="eastAsia" w:ascii="仿宋_GB2312" w:hAnsi="仿宋_GB2312" w:eastAsia="仿宋_GB2312" w:cs="仿宋_GB2312"/>
                <w:spacing w:val="35"/>
                <w:sz w:val="21"/>
                <w:szCs w:val="21"/>
              </w:rPr>
              <w:t xml:space="preserve"> </w:t>
            </w:r>
            <w:r>
              <w:rPr>
                <w:rFonts w:hint="eastAsia" w:ascii="仿宋_GB2312" w:hAnsi="仿宋_GB2312" w:eastAsia="仿宋_GB2312" w:cs="仿宋_GB2312"/>
                <w:spacing w:val="-3"/>
                <w:sz w:val="21"/>
                <w:szCs w:val="21"/>
              </w:rPr>
              <w:t>b</w:t>
            </w:r>
          </w:p>
        </w:tc>
      </w:tr>
      <w:tr w14:paraId="652DC35C">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91" w:hRule="atLeast"/>
        </w:trPr>
        <w:tc>
          <w:tcPr>
            <w:tcW w:w="1070" w:type="dxa"/>
          </w:tcPr>
          <w:p w14:paraId="42E111BD">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V2</w:t>
            </w:r>
          </w:p>
        </w:tc>
        <w:tc>
          <w:tcPr>
            <w:tcW w:w="1789" w:type="dxa"/>
          </w:tcPr>
          <w:p w14:paraId="1ED3F937">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6.26b</w:t>
            </w:r>
          </w:p>
        </w:tc>
        <w:tc>
          <w:tcPr>
            <w:tcW w:w="1407" w:type="dxa"/>
          </w:tcPr>
          <w:p w14:paraId="16E960A8">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11.95</w:t>
            </w:r>
            <w:r>
              <w:rPr>
                <w:rFonts w:hint="eastAsia" w:ascii="仿宋_GB2312" w:hAnsi="仿宋_GB2312" w:eastAsia="仿宋_GB2312" w:cs="仿宋_GB2312"/>
                <w:spacing w:val="33"/>
                <w:sz w:val="21"/>
                <w:szCs w:val="21"/>
              </w:rPr>
              <w:t xml:space="preserve"> </w:t>
            </w:r>
            <w:r>
              <w:rPr>
                <w:rFonts w:hint="eastAsia" w:ascii="仿宋_GB2312" w:hAnsi="仿宋_GB2312" w:eastAsia="仿宋_GB2312" w:cs="仿宋_GB2312"/>
                <w:spacing w:val="-4"/>
                <w:sz w:val="21"/>
                <w:szCs w:val="21"/>
              </w:rPr>
              <w:t>a</w:t>
            </w:r>
          </w:p>
        </w:tc>
        <w:tc>
          <w:tcPr>
            <w:tcW w:w="1268" w:type="dxa"/>
          </w:tcPr>
          <w:p w14:paraId="19069297">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110.89</w:t>
            </w:r>
            <w:r>
              <w:rPr>
                <w:rFonts w:hint="eastAsia" w:ascii="仿宋_GB2312" w:hAnsi="仿宋_GB2312" w:eastAsia="仿宋_GB2312" w:cs="仿宋_GB2312"/>
                <w:spacing w:val="30"/>
                <w:sz w:val="21"/>
                <w:szCs w:val="21"/>
              </w:rPr>
              <w:t xml:space="preserve"> </w:t>
            </w:r>
            <w:r>
              <w:rPr>
                <w:rFonts w:hint="eastAsia" w:ascii="仿宋_GB2312" w:hAnsi="仿宋_GB2312" w:eastAsia="仿宋_GB2312" w:cs="仿宋_GB2312"/>
                <w:spacing w:val="-3"/>
                <w:sz w:val="21"/>
                <w:szCs w:val="21"/>
              </w:rPr>
              <w:t>a</w:t>
            </w:r>
          </w:p>
        </w:tc>
        <w:tc>
          <w:tcPr>
            <w:tcW w:w="1438" w:type="dxa"/>
          </w:tcPr>
          <w:p w14:paraId="750A248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220.08</w:t>
            </w:r>
            <w:r>
              <w:rPr>
                <w:rFonts w:hint="eastAsia" w:ascii="仿宋_GB2312" w:hAnsi="仿宋_GB2312" w:eastAsia="仿宋_GB2312" w:cs="仿宋_GB2312"/>
                <w:spacing w:val="11"/>
                <w:sz w:val="21"/>
                <w:szCs w:val="21"/>
              </w:rPr>
              <w:t xml:space="preserve"> </w:t>
            </w:r>
            <w:r>
              <w:rPr>
                <w:rFonts w:hint="eastAsia" w:ascii="仿宋_GB2312" w:hAnsi="仿宋_GB2312" w:eastAsia="仿宋_GB2312" w:cs="仿宋_GB2312"/>
                <w:spacing w:val="-2"/>
                <w:sz w:val="21"/>
                <w:szCs w:val="21"/>
              </w:rPr>
              <w:t>a</w:t>
            </w:r>
          </w:p>
        </w:tc>
        <w:tc>
          <w:tcPr>
            <w:tcW w:w="1500" w:type="dxa"/>
          </w:tcPr>
          <w:p w14:paraId="249B5E9F">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1413.83</w:t>
            </w:r>
            <w:r>
              <w:rPr>
                <w:rFonts w:hint="eastAsia" w:ascii="仿宋_GB2312" w:hAnsi="仿宋_GB2312" w:eastAsia="仿宋_GB2312" w:cs="仿宋_GB2312"/>
                <w:spacing w:val="33"/>
                <w:sz w:val="21"/>
                <w:szCs w:val="21"/>
              </w:rPr>
              <w:t xml:space="preserve"> </w:t>
            </w:r>
            <w:r>
              <w:rPr>
                <w:rFonts w:hint="eastAsia" w:ascii="仿宋_GB2312" w:hAnsi="仿宋_GB2312" w:eastAsia="仿宋_GB2312" w:cs="仿宋_GB2312"/>
                <w:spacing w:val="-3"/>
                <w:sz w:val="21"/>
                <w:szCs w:val="21"/>
              </w:rPr>
              <w:t>a</w:t>
            </w:r>
          </w:p>
        </w:tc>
      </w:tr>
      <w:tr w14:paraId="24329C6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82" w:hRule="atLeast"/>
        </w:trPr>
        <w:tc>
          <w:tcPr>
            <w:tcW w:w="1070" w:type="dxa"/>
          </w:tcPr>
          <w:p w14:paraId="670D04AE">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F1</w:t>
            </w:r>
          </w:p>
        </w:tc>
        <w:tc>
          <w:tcPr>
            <w:tcW w:w="1789" w:type="dxa"/>
          </w:tcPr>
          <w:p w14:paraId="0839407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7.13</w:t>
            </w:r>
            <w:r>
              <w:rPr>
                <w:rFonts w:hint="eastAsia" w:ascii="仿宋_GB2312" w:hAnsi="仿宋_GB2312" w:eastAsia="仿宋_GB2312" w:cs="仿宋_GB2312"/>
                <w:spacing w:val="10"/>
                <w:sz w:val="21"/>
                <w:szCs w:val="21"/>
              </w:rPr>
              <w:t xml:space="preserve"> </w:t>
            </w:r>
            <w:r>
              <w:rPr>
                <w:rFonts w:hint="eastAsia" w:ascii="仿宋_GB2312" w:hAnsi="仿宋_GB2312" w:eastAsia="仿宋_GB2312" w:cs="仿宋_GB2312"/>
                <w:spacing w:val="-3"/>
                <w:sz w:val="21"/>
                <w:szCs w:val="21"/>
              </w:rPr>
              <w:t>a</w:t>
            </w:r>
          </w:p>
        </w:tc>
        <w:tc>
          <w:tcPr>
            <w:tcW w:w="1407" w:type="dxa"/>
          </w:tcPr>
          <w:p w14:paraId="0FA7BB58">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11.82</w:t>
            </w:r>
            <w:r>
              <w:rPr>
                <w:rFonts w:hint="eastAsia" w:ascii="仿宋_GB2312" w:hAnsi="仿宋_GB2312" w:eastAsia="仿宋_GB2312" w:cs="仿宋_GB2312"/>
                <w:spacing w:val="33"/>
                <w:sz w:val="21"/>
                <w:szCs w:val="21"/>
              </w:rPr>
              <w:t xml:space="preserve"> </w:t>
            </w:r>
            <w:r>
              <w:rPr>
                <w:rFonts w:hint="eastAsia" w:ascii="仿宋_GB2312" w:hAnsi="仿宋_GB2312" w:eastAsia="仿宋_GB2312" w:cs="仿宋_GB2312"/>
                <w:spacing w:val="-4"/>
                <w:sz w:val="21"/>
                <w:szCs w:val="21"/>
              </w:rPr>
              <w:t>a</w:t>
            </w:r>
          </w:p>
        </w:tc>
        <w:tc>
          <w:tcPr>
            <w:tcW w:w="1268" w:type="dxa"/>
          </w:tcPr>
          <w:p w14:paraId="78446DAF">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103.89</w:t>
            </w:r>
            <w:r>
              <w:rPr>
                <w:rFonts w:hint="eastAsia" w:ascii="仿宋_GB2312" w:hAnsi="仿宋_GB2312" w:eastAsia="仿宋_GB2312" w:cs="仿宋_GB2312"/>
                <w:spacing w:val="30"/>
                <w:sz w:val="21"/>
                <w:szCs w:val="21"/>
              </w:rPr>
              <w:t xml:space="preserve"> </w:t>
            </w:r>
            <w:r>
              <w:rPr>
                <w:rFonts w:hint="eastAsia" w:ascii="仿宋_GB2312" w:hAnsi="仿宋_GB2312" w:eastAsia="仿宋_GB2312" w:cs="仿宋_GB2312"/>
                <w:spacing w:val="-3"/>
                <w:sz w:val="21"/>
                <w:szCs w:val="21"/>
              </w:rPr>
              <w:t>a</w:t>
            </w:r>
          </w:p>
        </w:tc>
        <w:tc>
          <w:tcPr>
            <w:tcW w:w="1438" w:type="dxa"/>
          </w:tcPr>
          <w:p w14:paraId="4408C294">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203.76a</w:t>
            </w:r>
          </w:p>
        </w:tc>
        <w:tc>
          <w:tcPr>
            <w:tcW w:w="1500" w:type="dxa"/>
          </w:tcPr>
          <w:p w14:paraId="49D056D5">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1324.58</w:t>
            </w:r>
            <w:r>
              <w:rPr>
                <w:rFonts w:hint="eastAsia" w:ascii="仿宋_GB2312" w:hAnsi="仿宋_GB2312" w:eastAsia="仿宋_GB2312" w:cs="仿宋_GB2312"/>
                <w:spacing w:val="33"/>
                <w:sz w:val="21"/>
                <w:szCs w:val="21"/>
              </w:rPr>
              <w:t xml:space="preserve"> </w:t>
            </w:r>
            <w:r>
              <w:rPr>
                <w:rFonts w:hint="eastAsia" w:ascii="仿宋_GB2312" w:hAnsi="仿宋_GB2312" w:eastAsia="仿宋_GB2312" w:cs="仿宋_GB2312"/>
                <w:spacing w:val="-3"/>
                <w:sz w:val="21"/>
                <w:szCs w:val="21"/>
              </w:rPr>
              <w:t>a</w:t>
            </w:r>
          </w:p>
        </w:tc>
      </w:tr>
      <w:tr w14:paraId="42E0EBC7">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68" w:hRule="atLeast"/>
        </w:trPr>
        <w:tc>
          <w:tcPr>
            <w:tcW w:w="1070" w:type="dxa"/>
            <w:tcBorders>
              <w:bottom w:val="single" w:color="000000" w:sz="4" w:space="0"/>
            </w:tcBorders>
          </w:tcPr>
          <w:p w14:paraId="2C832131">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F2</w:t>
            </w:r>
          </w:p>
        </w:tc>
        <w:tc>
          <w:tcPr>
            <w:tcW w:w="1789" w:type="dxa"/>
            <w:tcBorders>
              <w:bottom w:val="single" w:color="000000" w:sz="4" w:space="0"/>
            </w:tcBorders>
          </w:tcPr>
          <w:p w14:paraId="207089E3">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6.54</w:t>
            </w:r>
            <w:r>
              <w:rPr>
                <w:rFonts w:hint="eastAsia" w:ascii="仿宋_GB2312" w:hAnsi="仿宋_GB2312" w:eastAsia="仿宋_GB2312" w:cs="仿宋_GB2312"/>
                <w:spacing w:val="5"/>
                <w:sz w:val="21"/>
                <w:szCs w:val="21"/>
              </w:rPr>
              <w:t xml:space="preserve"> </w:t>
            </w:r>
            <w:r>
              <w:rPr>
                <w:rFonts w:hint="eastAsia" w:ascii="仿宋_GB2312" w:hAnsi="仿宋_GB2312" w:eastAsia="仿宋_GB2312" w:cs="仿宋_GB2312"/>
                <w:spacing w:val="-2"/>
                <w:sz w:val="21"/>
                <w:szCs w:val="21"/>
              </w:rPr>
              <w:t>b</w:t>
            </w:r>
          </w:p>
        </w:tc>
        <w:tc>
          <w:tcPr>
            <w:tcW w:w="1407" w:type="dxa"/>
            <w:tcBorders>
              <w:bottom w:val="single" w:color="000000" w:sz="4" w:space="0"/>
            </w:tcBorders>
          </w:tcPr>
          <w:p w14:paraId="0FEF7B0C">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10.73</w:t>
            </w:r>
            <w:r>
              <w:rPr>
                <w:rFonts w:hint="eastAsia" w:ascii="仿宋_GB2312" w:hAnsi="仿宋_GB2312" w:eastAsia="仿宋_GB2312" w:cs="仿宋_GB2312"/>
                <w:spacing w:val="35"/>
                <w:sz w:val="21"/>
                <w:szCs w:val="21"/>
              </w:rPr>
              <w:t xml:space="preserve"> </w:t>
            </w:r>
            <w:r>
              <w:rPr>
                <w:rFonts w:hint="eastAsia" w:ascii="仿宋_GB2312" w:hAnsi="仿宋_GB2312" w:eastAsia="仿宋_GB2312" w:cs="仿宋_GB2312"/>
                <w:spacing w:val="-4"/>
                <w:sz w:val="21"/>
                <w:szCs w:val="21"/>
              </w:rPr>
              <w:t>b</w:t>
            </w:r>
          </w:p>
        </w:tc>
        <w:tc>
          <w:tcPr>
            <w:tcW w:w="1268" w:type="dxa"/>
            <w:tcBorders>
              <w:bottom w:val="single" w:color="000000" w:sz="4" w:space="0"/>
            </w:tcBorders>
          </w:tcPr>
          <w:p w14:paraId="2BE849D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91.33b</w:t>
            </w:r>
          </w:p>
        </w:tc>
        <w:tc>
          <w:tcPr>
            <w:tcW w:w="1438" w:type="dxa"/>
            <w:tcBorders>
              <w:bottom w:val="single" w:color="000000" w:sz="4" w:space="0"/>
            </w:tcBorders>
          </w:tcPr>
          <w:p w14:paraId="3FECE89E">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201.63</w:t>
            </w:r>
            <w:r>
              <w:rPr>
                <w:rFonts w:hint="eastAsia" w:ascii="仿宋_GB2312" w:hAnsi="仿宋_GB2312" w:eastAsia="仿宋_GB2312" w:cs="仿宋_GB2312"/>
                <w:spacing w:val="11"/>
                <w:sz w:val="21"/>
                <w:szCs w:val="21"/>
              </w:rPr>
              <w:t xml:space="preserve"> </w:t>
            </w:r>
            <w:r>
              <w:rPr>
                <w:rFonts w:hint="eastAsia" w:ascii="仿宋_GB2312" w:hAnsi="仿宋_GB2312" w:eastAsia="仿宋_GB2312" w:cs="仿宋_GB2312"/>
                <w:spacing w:val="-2"/>
                <w:sz w:val="21"/>
                <w:szCs w:val="21"/>
              </w:rPr>
              <w:t>a</w:t>
            </w:r>
          </w:p>
        </w:tc>
        <w:tc>
          <w:tcPr>
            <w:tcW w:w="1500" w:type="dxa"/>
            <w:tcBorders>
              <w:bottom w:val="single" w:color="000000" w:sz="4" w:space="0"/>
            </w:tcBorders>
          </w:tcPr>
          <w:p w14:paraId="52AE6D8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1164.50</w:t>
            </w:r>
            <w:r>
              <w:rPr>
                <w:rFonts w:hint="eastAsia" w:ascii="仿宋_GB2312" w:hAnsi="仿宋_GB2312" w:eastAsia="仿宋_GB2312" w:cs="仿宋_GB2312"/>
                <w:spacing w:val="35"/>
                <w:sz w:val="21"/>
                <w:szCs w:val="21"/>
              </w:rPr>
              <w:t xml:space="preserve"> </w:t>
            </w:r>
            <w:r>
              <w:rPr>
                <w:rFonts w:hint="eastAsia" w:ascii="仿宋_GB2312" w:hAnsi="仿宋_GB2312" w:eastAsia="仿宋_GB2312" w:cs="仿宋_GB2312"/>
                <w:spacing w:val="-3"/>
                <w:sz w:val="21"/>
                <w:szCs w:val="21"/>
              </w:rPr>
              <w:t>b</w:t>
            </w:r>
          </w:p>
        </w:tc>
      </w:tr>
      <w:tr w14:paraId="34AEB396">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1" w:hRule="atLeast"/>
        </w:trPr>
        <w:tc>
          <w:tcPr>
            <w:tcW w:w="1070" w:type="dxa"/>
            <w:tcBorders>
              <w:top w:val="single" w:color="000000" w:sz="4" w:space="0"/>
            </w:tcBorders>
          </w:tcPr>
          <w:p w14:paraId="32B8D52C">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z w:val="21"/>
                <w:szCs w:val="21"/>
              </w:rPr>
              <w:t>V</w:t>
            </w:r>
          </w:p>
        </w:tc>
        <w:tc>
          <w:tcPr>
            <w:tcW w:w="1789" w:type="dxa"/>
            <w:tcBorders>
              <w:top w:val="single" w:color="000000" w:sz="4" w:space="0"/>
            </w:tcBorders>
          </w:tcPr>
          <w:p w14:paraId="10CE680C">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25.12*</w:t>
            </w:r>
          </w:p>
        </w:tc>
        <w:tc>
          <w:tcPr>
            <w:tcW w:w="1407" w:type="dxa"/>
            <w:tcBorders>
              <w:top w:val="single" w:color="000000" w:sz="4" w:space="0"/>
            </w:tcBorders>
          </w:tcPr>
          <w:p w14:paraId="0AE98C3A">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16.79**</w:t>
            </w:r>
          </w:p>
        </w:tc>
        <w:tc>
          <w:tcPr>
            <w:tcW w:w="1268" w:type="dxa"/>
            <w:tcBorders>
              <w:top w:val="single" w:color="000000" w:sz="4" w:space="0"/>
            </w:tcBorders>
          </w:tcPr>
          <w:p w14:paraId="106A1E67">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100.05**</w:t>
            </w:r>
          </w:p>
        </w:tc>
        <w:tc>
          <w:tcPr>
            <w:tcW w:w="1438" w:type="dxa"/>
            <w:tcBorders>
              <w:top w:val="single" w:color="000000" w:sz="4" w:space="0"/>
            </w:tcBorders>
          </w:tcPr>
          <w:p w14:paraId="0359B79B">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942.32**</w:t>
            </w:r>
          </w:p>
        </w:tc>
        <w:tc>
          <w:tcPr>
            <w:tcW w:w="1500" w:type="dxa"/>
            <w:tcBorders>
              <w:top w:val="single" w:color="000000" w:sz="4" w:space="0"/>
            </w:tcBorders>
          </w:tcPr>
          <w:p w14:paraId="2D46AFDB">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100.05**</w:t>
            </w:r>
          </w:p>
        </w:tc>
      </w:tr>
      <w:tr w14:paraId="4894FFB7">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96" w:hRule="atLeast"/>
        </w:trPr>
        <w:tc>
          <w:tcPr>
            <w:tcW w:w="1070" w:type="dxa"/>
          </w:tcPr>
          <w:p w14:paraId="5D86F342">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z w:val="21"/>
                <w:szCs w:val="21"/>
              </w:rPr>
              <w:t>F</w:t>
            </w:r>
          </w:p>
        </w:tc>
        <w:tc>
          <w:tcPr>
            <w:tcW w:w="1789" w:type="dxa"/>
          </w:tcPr>
          <w:p w14:paraId="4FF99919">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l1.21*</w:t>
            </w:r>
          </w:p>
        </w:tc>
        <w:tc>
          <w:tcPr>
            <w:tcW w:w="1407" w:type="dxa"/>
          </w:tcPr>
          <w:p w14:paraId="2C8288AD">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3"/>
                <w:sz w:val="21"/>
                <w:szCs w:val="21"/>
              </w:rPr>
              <w:t>10.84*</w:t>
            </w:r>
          </w:p>
        </w:tc>
        <w:tc>
          <w:tcPr>
            <w:tcW w:w="1268" w:type="dxa"/>
          </w:tcPr>
          <w:p w14:paraId="6C2C953E">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22.36**</w:t>
            </w:r>
          </w:p>
        </w:tc>
        <w:tc>
          <w:tcPr>
            <w:tcW w:w="1438" w:type="dxa"/>
          </w:tcPr>
          <w:p w14:paraId="7B600E17">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3.54</w:t>
            </w:r>
          </w:p>
        </w:tc>
        <w:tc>
          <w:tcPr>
            <w:tcW w:w="1500" w:type="dxa"/>
          </w:tcPr>
          <w:p w14:paraId="4C1DCE85">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22.36**</w:t>
            </w:r>
          </w:p>
        </w:tc>
      </w:tr>
      <w:tr w14:paraId="6F7E821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76" w:hRule="atLeast"/>
        </w:trPr>
        <w:tc>
          <w:tcPr>
            <w:tcW w:w="1070" w:type="dxa"/>
            <w:tcBorders>
              <w:bottom w:val="single" w:color="000000" w:sz="4" w:space="0"/>
            </w:tcBorders>
          </w:tcPr>
          <w:p w14:paraId="6419A351">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1"/>
                <w:sz w:val="21"/>
                <w:szCs w:val="21"/>
              </w:rPr>
              <w:t>VXF</w:t>
            </w:r>
          </w:p>
        </w:tc>
        <w:tc>
          <w:tcPr>
            <w:tcW w:w="1789" w:type="dxa"/>
            <w:tcBorders>
              <w:bottom w:val="single" w:color="000000" w:sz="4" w:space="0"/>
            </w:tcBorders>
          </w:tcPr>
          <w:p w14:paraId="1EC9D50C">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0.27</w:t>
            </w:r>
          </w:p>
        </w:tc>
        <w:tc>
          <w:tcPr>
            <w:tcW w:w="1407" w:type="dxa"/>
            <w:tcBorders>
              <w:bottom w:val="single" w:color="000000" w:sz="4" w:space="0"/>
            </w:tcBorders>
          </w:tcPr>
          <w:p w14:paraId="59803C6E">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4"/>
                <w:sz w:val="21"/>
                <w:szCs w:val="21"/>
              </w:rPr>
              <w:t>1.37</w:t>
            </w:r>
          </w:p>
        </w:tc>
        <w:tc>
          <w:tcPr>
            <w:tcW w:w="1268" w:type="dxa"/>
            <w:tcBorders>
              <w:bottom w:val="single" w:color="000000" w:sz="4" w:space="0"/>
            </w:tcBorders>
          </w:tcPr>
          <w:p w14:paraId="477A080D">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2.94</w:t>
            </w:r>
          </w:p>
        </w:tc>
        <w:tc>
          <w:tcPr>
            <w:tcW w:w="1438" w:type="dxa"/>
            <w:tcBorders>
              <w:bottom w:val="single" w:color="000000" w:sz="4" w:space="0"/>
            </w:tcBorders>
          </w:tcPr>
          <w:p w14:paraId="3FA5E5E5">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0.94</w:t>
            </w:r>
          </w:p>
        </w:tc>
        <w:tc>
          <w:tcPr>
            <w:tcW w:w="1500" w:type="dxa"/>
            <w:tcBorders>
              <w:bottom w:val="single" w:color="000000" w:sz="4" w:space="0"/>
            </w:tcBorders>
          </w:tcPr>
          <w:p w14:paraId="2D1C2B6C">
            <w:pPr>
              <w:pStyle w:val="43"/>
              <w:spacing w:line="580" w:lineRule="exact"/>
              <w:rPr>
                <w:rFonts w:ascii="仿宋_GB2312" w:hAnsi="仿宋_GB2312" w:eastAsia="仿宋_GB2312" w:cs="仿宋_GB2312"/>
                <w:sz w:val="21"/>
                <w:szCs w:val="21"/>
              </w:rPr>
            </w:pPr>
            <w:r>
              <w:rPr>
                <w:rFonts w:hint="eastAsia" w:ascii="仿宋_GB2312" w:hAnsi="仿宋_GB2312" w:eastAsia="仿宋_GB2312" w:cs="仿宋_GB2312"/>
                <w:spacing w:val="-2"/>
                <w:sz w:val="21"/>
                <w:szCs w:val="21"/>
              </w:rPr>
              <w:t>2.94</w:t>
            </w:r>
          </w:p>
        </w:tc>
      </w:tr>
    </w:tbl>
    <w:p w14:paraId="0C5DEF74">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（二）种子处理</w:t>
      </w:r>
    </w:p>
    <w:p w14:paraId="20643FB1">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1.种子质量</w:t>
      </w:r>
    </w:p>
    <w:p w14:paraId="602386A3">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根据多年来的种植经验，按照GB 4404.2标准要求，精选均匀饱满、无病斑、无霉烂、无虫蛀、无损伤的种子。《蚕豆高产优质高效栽培技术》[J].朱亚萍.发展,2011(03)。具体质量指标如下。</w:t>
      </w:r>
    </w:p>
    <w:p w14:paraId="0BCA88E4">
      <w:pPr>
        <w:spacing w:line="360" w:lineRule="auto"/>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drawing>
          <wp:anchor distT="0" distB="0" distL="114300" distR="114300" simplePos="0" relativeHeight="251659264" behindDoc="1" locked="0" layoutInCell="1" allowOverlap="1">
            <wp:simplePos x="0" y="0"/>
            <wp:positionH relativeFrom="column">
              <wp:posOffset>-68580</wp:posOffset>
            </wp:positionH>
            <wp:positionV relativeFrom="paragraph">
              <wp:posOffset>220980</wp:posOffset>
            </wp:positionV>
            <wp:extent cx="5327650" cy="1657350"/>
            <wp:effectExtent l="19050" t="0" r="6350" b="0"/>
            <wp:wrapTight wrapText="bothSides">
              <wp:wrapPolygon>
                <wp:start x="-77" y="0"/>
                <wp:lineTo x="-77" y="21352"/>
                <wp:lineTo x="21626" y="21352"/>
                <wp:lineTo x="21626" y="0"/>
                <wp:lineTo x="-77" y="0"/>
              </wp:wrapPolygon>
            </wp:wrapTight>
            <wp:docPr id="2" name="图片 1" descr="ed6a0a653469797549299d3c3d231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ed6a0a653469797549299d3c3d2312e"/>
                    <pic:cNvPicPr>
                      <a:picLocks noChangeAspect="1"/>
                    </pic:cNvPicPr>
                  </pic:nvPicPr>
                  <pic:blipFill>
                    <a:blip r:embed="rId5" cstate="print"/>
                    <a:stretch>
                      <a:fillRect/>
                    </a:stretch>
                  </pic:blipFill>
                  <pic:spPr>
                    <a:xfrm>
                      <a:off x="0" y="0"/>
                      <a:ext cx="5327650" cy="1657350"/>
                    </a:xfrm>
                    <a:prstGeom prst="rect">
                      <a:avLst/>
                    </a:prstGeom>
                  </pic:spPr>
                </pic:pic>
              </a:graphicData>
            </a:graphic>
          </wp:anchor>
        </w:drawing>
      </w:r>
      <w:r>
        <w:rPr>
          <w:rFonts w:hint="eastAsia" w:ascii="Times New Roman" w:hAnsi="Times New Roman" w:eastAsia="宋体" w:cs="Times New Roman"/>
          <w:color w:val="000000" w:themeColor="text1"/>
          <w:spacing w:val="5"/>
          <w:sz w:val="24"/>
          <w:szCs w:val="24"/>
          <w:shd w:val="clear" w:color="auto" w:fill="FFFFFF"/>
        </w:rPr>
        <w:t xml:space="preserve">    </w:t>
      </w:r>
      <w:r>
        <w:rPr>
          <w:rFonts w:hint="eastAsia" w:ascii="Times New Roman" w:hAnsi="Times New Roman" w:eastAsia="宋体" w:cs="Times New Roman"/>
          <w:b/>
          <w:bCs/>
          <w:color w:val="000000" w:themeColor="text1"/>
          <w:spacing w:val="5"/>
          <w:sz w:val="24"/>
          <w:szCs w:val="24"/>
          <w:shd w:val="clear" w:color="auto" w:fill="FFFFFF"/>
        </w:rPr>
        <w:t>2.浸种处理</w:t>
      </w:r>
    </w:p>
    <w:p w14:paraId="32467D11">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朱亚萍《蚕豆高产优质高效栽培技术》（发展,2011,03），以液面高出种子为宜，浸种4h～6h，捞出后晾干播种。王洪林,王文梅《蚕豆绿色高产栽培》（云南农业,2024,09），对温水（不超过40℃）浸种24h，然后换清水再浸泡24h即可播种，如遇干旱天气土壤干燥可催芽至露白再播。结合贵农3号、贵农21号的品种特性，提出催芽处理为：因蚕豆种种皮厚而坚硬，一般用水浸种为36h为宜，每4h-6h淘洗、换水一次。待蚕豆饱胀，无瘪、无皱纹、切开断面无白心、平嘴处皮壳未开裂时，结束浸种。</w:t>
      </w:r>
    </w:p>
    <w:p w14:paraId="44466708">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（三）适时播种</w:t>
      </w:r>
    </w:p>
    <w:p w14:paraId="4F1C20A6">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王洪林,王文梅《蚕豆绿色高产栽培》（云南农业,2024,09），播种时应考虑蚕豆花荚期与当地霜期错开，既保证蚕豆生长良好，又确保开花结荚时避过冻害影响产量。正季蚕豆播种时间因地制宜，海拔1650m以下地区9月中下旬播种为宜，海拔1650m～2000m冷凉地区可推迟至10月1～15日播种为宜。结合贵阳市海拔区域分布，提出播种时期为：根据前茬作物水稻行距进行播种，</w:t>
      </w:r>
      <w:r>
        <w:rPr>
          <w:rFonts w:ascii="Times New Roman" w:hAnsi="Times New Roman" w:eastAsia="宋体" w:cs="Times New Roman"/>
          <w:color w:val="000000" w:themeColor="text1"/>
          <w:spacing w:val="5"/>
          <w:sz w:val="24"/>
          <w:szCs w:val="24"/>
          <w:shd w:val="clear" w:color="auto" w:fill="FFFFFF"/>
        </w:rPr>
        <w:t>9月底～10月中旬播种。</w:t>
      </w:r>
    </w:p>
    <w:p w14:paraId="1ABA9572">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（四）合理密植</w:t>
      </w:r>
    </w:p>
    <w:p w14:paraId="35EE3C81">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王天文,李桂莲,邵宇等《贵州高海拔地区夏秋蚕豆无公害栽培技术》（长江蔬菜,2005,08），种植密度依品种特性略有不同，一般行距30cm～40cm，穴距20cm，每穴播种2粒～3粒。瞿廷广《稻后免耕点播青蚕豆栽培技术》（农业装备技术,2009,06），每667m2用种量15kg～18kg，行距25cm～30cm，株距15cm～20cm，1穴播2粒。根据贵阳生产实际，提出合理密植为：翻耕方式栽培，株距</w:t>
      </w:r>
      <w:r>
        <w:rPr>
          <w:rFonts w:ascii="Times New Roman" w:hAnsi="Times New Roman" w:eastAsia="宋体" w:cs="Times New Roman"/>
          <w:color w:val="000000" w:themeColor="text1"/>
          <w:spacing w:val="5"/>
          <w:sz w:val="24"/>
          <w:szCs w:val="24"/>
          <w:shd w:val="clear" w:color="auto" w:fill="FFFFFF"/>
        </w:rPr>
        <w:t>20 cm，行距30 cm，每穴播种2粒～3粒种子，播种深度3 cm～5 cm，亩用种量10 kg～12 kg。免耕方式栽培，</w:t>
      </w:r>
      <w:r>
        <w:rPr>
          <w:rFonts w:hint="eastAsia" w:ascii="Times New Roman" w:hAnsi="Times New Roman" w:eastAsia="宋体" w:cs="Times New Roman"/>
          <w:color w:val="000000" w:themeColor="text1"/>
          <w:spacing w:val="5"/>
          <w:sz w:val="24"/>
          <w:szCs w:val="24"/>
          <w:shd w:val="clear" w:color="auto" w:fill="FFFFFF"/>
        </w:rPr>
        <w:t>可根据水稻株距种植，每穴播种</w:t>
      </w:r>
      <w:r>
        <w:rPr>
          <w:rFonts w:ascii="Times New Roman" w:hAnsi="Times New Roman" w:eastAsia="宋体" w:cs="Times New Roman"/>
          <w:color w:val="000000" w:themeColor="text1"/>
          <w:spacing w:val="5"/>
          <w:sz w:val="24"/>
          <w:szCs w:val="24"/>
          <w:shd w:val="clear" w:color="auto" w:fill="FFFFFF"/>
        </w:rPr>
        <w:t>3粒～4粒种子，播种深度2 cm～3 cm，亩用种量12 kg～15 kg。</w:t>
      </w:r>
    </w:p>
    <w:p w14:paraId="111C0541">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（五）田间管理</w:t>
      </w:r>
    </w:p>
    <w:p w14:paraId="1919888F">
      <w:pPr>
        <w:spacing w:line="360" w:lineRule="auto"/>
        <w:ind w:firstLine="502"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1.科学用水。</w:t>
      </w:r>
      <w:r>
        <w:rPr>
          <w:rFonts w:hint="eastAsia" w:ascii="Times New Roman" w:hAnsi="Times New Roman" w:eastAsia="宋体" w:cs="Times New Roman"/>
          <w:color w:val="000000" w:themeColor="text1"/>
          <w:spacing w:val="5"/>
          <w:sz w:val="24"/>
          <w:szCs w:val="24"/>
          <w:shd w:val="clear" w:color="auto" w:fill="FFFFFF"/>
        </w:rPr>
        <w:t>阙玉林,林宗学,吴克芳《鲜食蚕豆春化早熟优质高产栽培技术》（乡村科技,2022,11），蚕豆全生育期需防止田间积水，并注意雨季清沟排水。蚕豆开花至成熟期要求土壤保持湿润，若田间较干，需速灌速排。结合贵阳市生产实际，提出科学用水方面为：生长前期保持土壤湿润，以利种子发芽出土，扎根齐苗；从现蕾开花开始，保持土壤湿润。可在初花期或始荚期、鼓粒期灌</w:t>
      </w:r>
      <w:r>
        <w:rPr>
          <w:rFonts w:ascii="Times New Roman" w:hAnsi="Times New Roman" w:eastAsia="宋体" w:cs="Times New Roman"/>
          <w:color w:val="000000" w:themeColor="text1"/>
          <w:spacing w:val="5"/>
          <w:sz w:val="24"/>
          <w:szCs w:val="24"/>
          <w:shd w:val="clear" w:color="auto" w:fill="FFFFFF"/>
        </w:rPr>
        <w:t>1 次跑马水，保持田面湿润，速灌速排。生长后期应注意防渍。</w:t>
      </w:r>
    </w:p>
    <w:p w14:paraId="2A43C5D0">
      <w:pPr>
        <w:spacing w:line="360" w:lineRule="auto"/>
        <w:ind w:firstLine="502"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2.合理施肥。</w:t>
      </w:r>
      <w:r>
        <w:rPr>
          <w:rFonts w:hint="eastAsia" w:ascii="Times New Roman" w:hAnsi="Times New Roman" w:eastAsia="宋体" w:cs="Times New Roman"/>
          <w:color w:val="000000" w:themeColor="text1"/>
          <w:spacing w:val="5"/>
          <w:sz w:val="24"/>
          <w:szCs w:val="24"/>
          <w:shd w:val="clear" w:color="auto" w:fill="FFFFFF"/>
        </w:rPr>
        <w:t>赵忠林《冬早蚕豆栽培技术》（农民致富之友, 2019,08），蚕豆在生长过程中，需要大量的肥料维持发育，每吨蚕豆需要78kg氮肥、34kg磷肥、88kg钾肥以及多种微量元素。蚕豆自身的根瘤菌具有固氮作用，因此需氮量较少，因此要适当施加氮肥，增加磷肥和钾肥的使用量。王天文,李桂莲,邵宇等《贵州高海拔地区夏秋蚕豆无公害栽培技术》（长江蔬菜,2005,8），蚕豆幼苗期，未形成根瘤前，所需氮素需从土壤中吸收。形成根瘤后，2/3的氮肥由根瘤供给，仍有1/3需要从土壤中摄取，加上蚕豆对磷、钾需求也很高。因此，播种前适当施用底肥是必须的。</w:t>
      </w:r>
      <w:bookmarkStart w:id="16" w:name="OLE_LINK8"/>
      <w:bookmarkStart w:id="17" w:name="OLE_LINK7"/>
      <w:r>
        <w:rPr>
          <w:rFonts w:hint="eastAsia" w:ascii="Times New Roman" w:hAnsi="Times New Roman" w:eastAsia="宋体" w:cs="Times New Roman"/>
          <w:color w:val="000000" w:themeColor="text1"/>
          <w:spacing w:val="5"/>
          <w:sz w:val="24"/>
          <w:szCs w:val="24"/>
          <w:shd w:val="clear" w:color="auto" w:fill="FFFFFF"/>
        </w:rPr>
        <w:t>综合以上文献及本地生产实际，提出合理施肥方面为：</w:t>
      </w:r>
      <w:bookmarkEnd w:id="16"/>
      <w:bookmarkEnd w:id="17"/>
      <w:r>
        <w:rPr>
          <w:rFonts w:hint="eastAsia" w:ascii="Times New Roman" w:hAnsi="Times New Roman" w:eastAsia="宋体" w:cs="Times New Roman"/>
          <w:color w:val="000000" w:themeColor="text1"/>
          <w:spacing w:val="5"/>
          <w:sz w:val="24"/>
          <w:szCs w:val="24"/>
          <w:shd w:val="clear" w:color="auto" w:fill="FFFFFF"/>
        </w:rPr>
        <w:t>施肥以农家肥、磷钾肥为主。结合中耕除草培土，注重磷钾，巧施氮肥。当蚕豆生长离地面</w:t>
      </w:r>
      <w:r>
        <w:rPr>
          <w:rFonts w:ascii="Times New Roman" w:hAnsi="Times New Roman" w:eastAsia="宋体" w:cs="Times New Roman"/>
          <w:color w:val="000000" w:themeColor="text1"/>
          <w:spacing w:val="5"/>
          <w:sz w:val="24"/>
          <w:szCs w:val="24"/>
          <w:shd w:val="clear" w:color="auto" w:fill="FFFFFF"/>
        </w:rPr>
        <w:t>15 cm时，每667 m</w:t>
      </w:r>
      <w:r>
        <w:rPr>
          <w:rFonts w:ascii="Times New Roman" w:hAnsi="Times New Roman" w:eastAsia="宋体" w:cs="Times New Roman"/>
          <w:color w:val="000000" w:themeColor="text1"/>
          <w:spacing w:val="5"/>
          <w:sz w:val="24"/>
          <w:szCs w:val="24"/>
          <w:shd w:val="clear" w:color="auto" w:fill="FFFFFF"/>
          <w:vertAlign w:val="superscript"/>
        </w:rPr>
        <w:t>2</w:t>
      </w:r>
      <w:r>
        <w:rPr>
          <w:rFonts w:ascii="Times New Roman" w:hAnsi="Times New Roman" w:eastAsia="宋体" w:cs="Times New Roman"/>
          <w:color w:val="000000" w:themeColor="text1"/>
          <w:spacing w:val="5"/>
          <w:sz w:val="24"/>
          <w:szCs w:val="24"/>
          <w:shd w:val="clear" w:color="auto" w:fill="FFFFFF"/>
        </w:rPr>
        <w:t>施磷酸二氢钾20 kg。</w:t>
      </w:r>
    </w:p>
    <w:p w14:paraId="24A5218D">
      <w:pPr>
        <w:spacing w:line="360" w:lineRule="auto"/>
        <w:ind w:firstLine="502"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3.整枝摘心。</w:t>
      </w:r>
      <w:r>
        <w:rPr>
          <w:rFonts w:hint="eastAsia" w:ascii="Times New Roman" w:hAnsi="Times New Roman" w:eastAsia="宋体" w:cs="Times New Roman"/>
          <w:color w:val="000000" w:themeColor="text1"/>
          <w:spacing w:val="5"/>
          <w:sz w:val="24"/>
          <w:szCs w:val="24"/>
          <w:shd w:val="clear" w:color="auto" w:fill="FFFFFF"/>
        </w:rPr>
        <w:t>李莉,万正煌,陈宏伟等《稻田免耕撒播蚕豆栽培技术》（现代农业科技,2016,18），蚕豆的花荚期是营养生长和生殖生长的旺盛期，整枝可改善田间通风透光条件，减少病虫危害和养分过多消耗。一般当蚕豆达到10层花荚时及时摘心，以利于控制植株生长、增加结荚数量和质量。阙玉林,林宗学,吴克芳《鲜食蚕豆春化早熟优质高产栽培技术》（乡村科技,2022,11），初荚期疏除无花无荚的空枝和弱小分枝，每穴保留6个～8个健壮分枝，确保株间通风透光；当田间90%分枝开始结荚时，于晴天露水干后及时打去各分枝顶端5cm～10cm，促进坐荚。综合以上文献及本地生产实际，提出整枝摘心方面为：适时将主茎除去，当蚕豆生长离地面</w:t>
      </w:r>
      <w:r>
        <w:rPr>
          <w:rFonts w:ascii="Times New Roman" w:hAnsi="Times New Roman" w:eastAsia="宋体" w:cs="Times New Roman"/>
          <w:color w:val="000000" w:themeColor="text1"/>
          <w:spacing w:val="5"/>
          <w:sz w:val="24"/>
          <w:szCs w:val="24"/>
          <w:shd w:val="clear" w:color="auto" w:fill="FFFFFF"/>
        </w:rPr>
        <w:t>15 cm～20 cm时，用剪刀距主茎顶端约5 cm处剪下。次年立春后，及时抹去生长的无效分枝和嫩枝。蚕豆分枝多形成无效花，分枝具有2个～4个有效花时，及时摘掉顶心。</w:t>
      </w:r>
    </w:p>
    <w:p w14:paraId="3F929951">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（六）病虫害防治</w:t>
      </w:r>
    </w:p>
    <w:p w14:paraId="34A3A8B4">
      <w:pPr>
        <w:spacing w:line="360" w:lineRule="auto"/>
        <w:ind w:firstLine="500" w:firstLineChars="200"/>
        <w:rPr>
          <w:rFonts w:ascii="Times New Roman" w:hAnsi="Times New Roman" w:eastAsia="宋体" w:cs="Times New Roman"/>
          <w:bCs/>
          <w:color w:val="000000" w:themeColor="text1"/>
          <w:spacing w:val="5"/>
          <w:sz w:val="24"/>
          <w:szCs w:val="24"/>
          <w:shd w:val="clear" w:color="auto" w:fill="FFFFFF"/>
        </w:rPr>
      </w:pPr>
      <w:r>
        <w:rPr>
          <w:rFonts w:hint="eastAsia" w:ascii="Times New Roman" w:hAnsi="Times New Roman" w:eastAsia="宋体" w:cs="Times New Roman"/>
          <w:bCs/>
          <w:color w:val="000000" w:themeColor="text1"/>
          <w:spacing w:val="5"/>
          <w:sz w:val="24"/>
          <w:szCs w:val="24"/>
          <w:shd w:val="clear" w:color="auto" w:fill="FFFFFF"/>
        </w:rPr>
        <w:t>根据实际调研和观察，贵阳贵安稻田蚕豆生育期内易发生主要病害有灰霉病、霜霉病、白粉病等；主要害虫包括蚜虫等。在防治策略上，对标蚕豆生产安全、产品质量安全和生产环境安全，主要采取“预防为主、综合防控”的植保方针，以农业防控、物理防控、生物防控为主，化学防控为辅的综合防控措施。</w:t>
      </w:r>
    </w:p>
    <w:p w14:paraId="13FECC6F">
      <w:pPr>
        <w:spacing w:line="360" w:lineRule="auto"/>
        <w:ind w:firstLine="500" w:firstLineChars="200"/>
        <w:rPr>
          <w:rFonts w:ascii="Times New Roman" w:hAnsi="Times New Roman" w:eastAsia="宋体" w:cs="Times New Roman"/>
          <w:bCs/>
          <w:color w:val="000000" w:themeColor="text1"/>
          <w:spacing w:val="5"/>
          <w:sz w:val="24"/>
          <w:szCs w:val="24"/>
          <w:shd w:val="clear" w:color="auto" w:fill="FFFFFF"/>
        </w:rPr>
      </w:pPr>
      <w:r>
        <w:rPr>
          <w:rFonts w:hint="eastAsia" w:ascii="Times New Roman" w:hAnsi="Times New Roman" w:eastAsia="宋体" w:cs="Times New Roman"/>
          <w:bCs/>
          <w:color w:val="000000" w:themeColor="text1"/>
          <w:spacing w:val="5"/>
          <w:sz w:val="24"/>
          <w:szCs w:val="24"/>
          <w:shd w:val="clear" w:color="auto" w:fill="FFFFFF"/>
        </w:rPr>
        <w:t>在科学用药方面，灰霉病主要有丁子香酚等农药；霜霉病主要有氰霜唑</w:t>
      </w:r>
      <w:r>
        <w:rPr>
          <w:rFonts w:ascii="Times New Roman" w:hAnsi="Times New Roman" w:eastAsia="宋体" w:cs="Times New Roman"/>
          <w:bCs/>
          <w:color w:val="000000" w:themeColor="text1"/>
          <w:spacing w:val="5"/>
          <w:sz w:val="24"/>
          <w:szCs w:val="24"/>
          <w:shd w:val="clear" w:color="auto" w:fill="FFFFFF"/>
        </w:rPr>
        <w:t>等农药；</w:t>
      </w:r>
      <w:r>
        <w:rPr>
          <w:rFonts w:hint="eastAsia" w:ascii="Times New Roman" w:hAnsi="Times New Roman" w:eastAsia="宋体" w:cs="Times New Roman"/>
          <w:bCs/>
          <w:color w:val="000000" w:themeColor="text1"/>
          <w:spacing w:val="5"/>
          <w:sz w:val="24"/>
          <w:szCs w:val="24"/>
          <w:shd w:val="clear" w:color="auto" w:fill="FFFFFF"/>
        </w:rPr>
        <w:t>白粉病</w:t>
      </w:r>
      <w:r>
        <w:rPr>
          <w:rFonts w:ascii="Times New Roman" w:hAnsi="Times New Roman" w:eastAsia="宋体" w:cs="Times New Roman"/>
          <w:bCs/>
          <w:color w:val="000000" w:themeColor="text1"/>
          <w:spacing w:val="5"/>
          <w:sz w:val="24"/>
          <w:szCs w:val="24"/>
          <w:shd w:val="clear" w:color="auto" w:fill="FFFFFF"/>
        </w:rPr>
        <w:t>有</w:t>
      </w:r>
      <w:r>
        <w:rPr>
          <w:rFonts w:hint="eastAsia" w:ascii="Times New Roman" w:hAnsi="Times New Roman" w:eastAsia="宋体" w:cs="Times New Roman"/>
          <w:bCs/>
          <w:color w:val="000000" w:themeColor="text1"/>
          <w:spacing w:val="5"/>
          <w:sz w:val="24"/>
          <w:szCs w:val="24"/>
          <w:shd w:val="clear" w:color="auto" w:fill="FFFFFF"/>
        </w:rPr>
        <w:t>苦参碱</w:t>
      </w:r>
      <w:r>
        <w:rPr>
          <w:rFonts w:ascii="Times New Roman" w:hAnsi="Times New Roman" w:eastAsia="宋体" w:cs="Times New Roman"/>
          <w:bCs/>
          <w:color w:val="000000" w:themeColor="text1"/>
          <w:spacing w:val="5"/>
          <w:sz w:val="24"/>
          <w:szCs w:val="24"/>
          <w:shd w:val="clear" w:color="auto" w:fill="FFFFFF"/>
        </w:rPr>
        <w:t>等农药，</w:t>
      </w:r>
      <w:r>
        <w:rPr>
          <w:rFonts w:hint="eastAsia" w:ascii="Times New Roman" w:hAnsi="Times New Roman" w:eastAsia="宋体" w:cs="Times New Roman"/>
          <w:bCs/>
          <w:color w:val="000000" w:themeColor="text1"/>
          <w:spacing w:val="5"/>
          <w:sz w:val="24"/>
          <w:szCs w:val="24"/>
          <w:shd w:val="clear" w:color="auto" w:fill="FFFFFF"/>
        </w:rPr>
        <w:t>蚜</w:t>
      </w:r>
      <w:r>
        <w:rPr>
          <w:rFonts w:ascii="Times New Roman" w:hAnsi="Times New Roman" w:eastAsia="宋体" w:cs="Times New Roman"/>
          <w:bCs/>
          <w:color w:val="000000" w:themeColor="text1"/>
          <w:spacing w:val="5"/>
          <w:sz w:val="24"/>
          <w:szCs w:val="24"/>
          <w:shd w:val="clear" w:color="auto" w:fill="FFFFFF"/>
        </w:rPr>
        <w:t>虫有</w:t>
      </w:r>
      <w:r>
        <w:rPr>
          <w:rFonts w:hint="eastAsia" w:ascii="Times New Roman" w:hAnsi="Times New Roman" w:eastAsia="宋体" w:cs="Times New Roman"/>
          <w:bCs/>
          <w:color w:val="000000" w:themeColor="text1"/>
          <w:spacing w:val="5"/>
          <w:sz w:val="24"/>
          <w:szCs w:val="24"/>
          <w:shd w:val="clear" w:color="auto" w:fill="FFFFFF"/>
        </w:rPr>
        <w:t>氟啶•吡蚜酮</w:t>
      </w:r>
      <w:r>
        <w:rPr>
          <w:rFonts w:ascii="Times New Roman" w:hAnsi="Times New Roman" w:eastAsia="宋体" w:cs="Times New Roman"/>
          <w:bCs/>
          <w:color w:val="000000" w:themeColor="text1"/>
          <w:spacing w:val="5"/>
          <w:sz w:val="24"/>
          <w:szCs w:val="24"/>
          <w:shd w:val="clear" w:color="auto" w:fill="FFFFFF"/>
        </w:rPr>
        <w:t>等农药</w:t>
      </w:r>
      <w:r>
        <w:rPr>
          <w:rFonts w:hint="eastAsia" w:ascii="Times New Roman" w:hAnsi="Times New Roman" w:eastAsia="宋体" w:cs="Times New Roman"/>
          <w:bCs/>
          <w:color w:val="000000" w:themeColor="text1"/>
          <w:spacing w:val="5"/>
          <w:sz w:val="24"/>
          <w:szCs w:val="24"/>
          <w:shd w:val="clear" w:color="auto" w:fill="FFFFFF"/>
        </w:rPr>
        <w:t>，同时</w:t>
      </w:r>
      <w:r>
        <w:rPr>
          <w:rFonts w:hint="eastAsia" w:ascii="Times New Roman" w:hAnsi="Times New Roman" w:eastAsia="宋体" w:cs="Times New Roman"/>
          <w:color w:val="000000" w:themeColor="text1"/>
          <w:spacing w:val="5"/>
          <w:sz w:val="24"/>
          <w:szCs w:val="24"/>
          <w:shd w:val="clear" w:color="auto" w:fill="FFFFFF"/>
        </w:rPr>
        <w:t>对主要病虫害常用药剂的用药量、施药方法、每季最多使用次数、安全间隔期作出了相关规定。</w:t>
      </w:r>
    </w:p>
    <w:p w14:paraId="48961410">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为研究蚕豆生育期主要病虫害全程生物农药防控技术，从播种期开始选择枯草芽孢杆菌、哈茨木霉、多粘类芽孢杆菌、藜芦碱、蛇床子素、植物免疫蛋白和微量元素水溶性肥料对蚕豆田主要蚜虫、赤斑病、枯萎病进行全程生物农药防治。结果表明，全程生物农药防控对蚜虫、赤斑病、枯萎病的防效均在70%以上，且较常规化学防治技术增产达到12.86%，品质得到提升，商品优良率提高10%，可进一步大面积示范推广。</w:t>
      </w:r>
    </w:p>
    <w:p w14:paraId="4284E3BF">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（七）采收</w:t>
      </w:r>
    </w:p>
    <w:p w14:paraId="057B355D">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瞿廷广《稻后免耕点播青蚕豆栽培技术》（农业装备技术,2009,06），蚕豆开花后25d～30d,当豆荚饱满、豆粒充实,籽粒呈淡绿色、嫩而不老,豆粒皮呈淡绿色、种脐有如头发丝精细的1条不明显黑线时为采收适期。应防止过早采摘,否则影响产量。综合以上文献及本地生产实际，提出收获方面为：当豆粒足够大、蚕豆脐眼转黑前采摘。及时剪掉采摘完的分枝，减少养分消耗。整个采摘季结束后，及时接茬种植水稻。</w:t>
      </w:r>
    </w:p>
    <w:p w14:paraId="79EA48B1">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（八）生产档案</w:t>
      </w:r>
    </w:p>
    <w:p w14:paraId="04AAD654">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根据贵州省健康菜园建设要求，蔬菜基地质量安全要求突出产品“干净·优质”核心价值和品牌形象，建立投入品管理制度和生产销售档案，仓库整洁、投入品存放使用规范，投入品使用和农事、销售记录规范。严格按国家有关标准和规定使用农药、肥料等投入品，严格执行安全间隔期规定和食用农产品合格证制度，产品农残检测合格率100%。</w:t>
      </w:r>
    </w:p>
    <w:p w14:paraId="300F8348">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五、标准实施后对经济和社会发展的预期影响及论证</w:t>
      </w:r>
    </w:p>
    <w:p w14:paraId="601CEB34">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稻田蚕豆接茬栽培技术规程》标准的发布实施能够提升贵阳市稻田蚕豆接茬栽培技术水平，不仅可以解决粮农和菜农争地矛盾，同时还可以提高耕地单位面积产出效益。水旱轮作是提高耕地复种指数，合理利用土地的重要耕作制度。水稻-蚕豆复种可实现一地多收，同时减轻单一种植病虫害，还能够实现一地多收，在保证粮食产量的基础上增加产值，具备良好的经济效益。</w:t>
      </w:r>
    </w:p>
    <w:p w14:paraId="3F8AF655">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同时，在标准实施过程中，将深入种植基地进行实地调查，广泛开展各种试验示范，与广大种植户密切交流，收集标准实施的反馈意见，不断吸取各种经验和意见，为今后标准的修改和完善提供有力支撑。</w:t>
      </w:r>
    </w:p>
    <w:p w14:paraId="56E95A05">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六、与国内政府主导制定标准（国家标准、行业标准、地方标准）的协调情况，采用国际标准的先进程度</w:t>
      </w:r>
    </w:p>
    <w:p w14:paraId="147A268B">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标准未采用国际标准或国外先进标准。与国内同类标准对比，具有明显的地域性特征。本规程内容全面，通俗易懂，阐述详细，可操作性强，切合贵阳市稻田蚕豆接茬栽培管理的需要；结构和内容科学合理，确定的各项技术指标为贵阳稻田蚕豆接茬栽培提供技术支撑。本标准整体内容达到省内领先水平。</w:t>
      </w:r>
    </w:p>
    <w:p w14:paraId="09560A5A">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七、与现行法律、法规、强制性标准的关系</w:t>
      </w:r>
    </w:p>
    <w:p w14:paraId="0AE6C04C">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本标准严格贯彻执行国家有关法律法规，严格执行强制性国家标准和行业标准，具有明显的地域性特征，与现行的法律、法规、规章制度等要求无冲突。</w:t>
      </w:r>
    </w:p>
    <w:p w14:paraId="4262D879">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八、是否涉及专利（涉及专利的应作出必要专利声明）</w:t>
      </w:r>
    </w:p>
    <w:p w14:paraId="42993F62">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本标准未涉及专利。</w:t>
      </w:r>
    </w:p>
    <w:p w14:paraId="2868BD36">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九、重大分歧意见的处理过程</w:t>
      </w:r>
    </w:p>
    <w:p w14:paraId="31081E32">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本标准在制定过程中广泛征求意见，未产生重大分歧意见。</w:t>
      </w:r>
    </w:p>
    <w:p w14:paraId="3E14C1F8">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十、代替、废止有关地方标准的建议</w:t>
      </w:r>
    </w:p>
    <w:p w14:paraId="6F6D609F">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本标准为首次制定，无废止现行有关标准的建议。</w:t>
      </w:r>
    </w:p>
    <w:p w14:paraId="569C6BF3">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十一、标准实施的计划、方案</w:t>
      </w:r>
    </w:p>
    <w:p w14:paraId="20582E9F">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（一）组织措施</w:t>
      </w:r>
    </w:p>
    <w:p w14:paraId="75F9E9E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一是本标准一旦发布实施，贵阳市蔬菜技术推广站将成立宣传推广组，加强媒体宣传；二是成立技术指导组，充分发挥市、县、乡三级农技人员作用，强化技术指导，结合科技特派员服务、基础性示范服务和揭榜挂帅等，组织种植经营主体和农户每年进行不少于5次的宣传培训，要求贵阳地区蚕豆生产者应严格按照本标准要求执行。</w:t>
      </w:r>
    </w:p>
    <w:p w14:paraId="790981F5">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（二）技术措施</w:t>
      </w:r>
    </w:p>
    <w:p w14:paraId="54899E7A">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一是在稻田蚕豆接茬栽培示范基地率先按标准执行，建立示范基地，带动农户种植；二是指导农户新增种植基地时，应综合考评其气候条件、土壤条件、地势地形和水源条件等，确保相关条件符合本标准的要求；三是在已经建成的大棚蔬菜基地，强化苦瓜种植水肥、花果管理等实操过程，应遵循本标准的各项规范，为推进贵阳设施蔬菜现代化生产水平服务。</w:t>
      </w:r>
    </w:p>
    <w:p w14:paraId="1C17854B">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（三）过渡办法和实施日期</w:t>
      </w:r>
    </w:p>
    <w:p w14:paraId="36144951">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在规程的送审稿和报批稿阶段，开始在经营主体和农户中宣传推广、进行必要的再验证，以扩大影响；在实施标准过程中对所发现的问题应及时收集，以利于标准的修订和完善。根据贵阳市标准管理办法，规程计划于2025年实施。</w:t>
      </w:r>
    </w:p>
    <w:p w14:paraId="3F72265A">
      <w:pPr>
        <w:spacing w:line="360" w:lineRule="auto"/>
        <w:ind w:firstLine="502" w:firstLineChars="200"/>
        <w:rPr>
          <w:rFonts w:ascii="Times New Roman" w:hAnsi="Times New Roman" w:eastAsia="宋体" w:cs="Times New Roman"/>
          <w:b/>
          <w:bCs/>
          <w:color w:val="000000" w:themeColor="text1"/>
          <w:spacing w:val="5"/>
          <w:sz w:val="24"/>
          <w:szCs w:val="24"/>
          <w:shd w:val="clear" w:color="auto" w:fill="FFFFFF"/>
        </w:rPr>
      </w:pPr>
      <w:r>
        <w:rPr>
          <w:rFonts w:hint="eastAsia" w:ascii="Times New Roman" w:hAnsi="Times New Roman" w:eastAsia="宋体" w:cs="Times New Roman"/>
          <w:b/>
          <w:bCs/>
          <w:color w:val="000000" w:themeColor="text1"/>
          <w:spacing w:val="5"/>
          <w:sz w:val="24"/>
          <w:szCs w:val="24"/>
          <w:shd w:val="clear" w:color="auto" w:fill="FFFFFF"/>
        </w:rPr>
        <w:t>（三）意见反馈</w:t>
      </w:r>
    </w:p>
    <w:p w14:paraId="5DA30040">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在实施标准过程中对所发现的问题应及时收集，以利于今后标准的修订和完善。</w:t>
      </w:r>
    </w:p>
    <w:p w14:paraId="7CADDC19">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十二、标准解释、归口管理以及获取意见建议的联系方式（应保证长期稳定）</w:t>
      </w:r>
    </w:p>
    <w:p w14:paraId="03B328A7">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本标准归口管理在贵阳市农业农村局，标准的具体解释及获取意见建议的联系方式在贵阳市蔬菜技术推广站。</w:t>
      </w:r>
    </w:p>
    <w:p w14:paraId="0263DE68">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联系人：陈永波</w:t>
      </w:r>
    </w:p>
    <w:p w14:paraId="21BC6E3F">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联系电话：0851-87989275</w:t>
      </w:r>
    </w:p>
    <w:p w14:paraId="15780E93">
      <w:pPr>
        <w:spacing w:line="360" w:lineRule="auto"/>
        <w:ind w:firstLine="500" w:firstLineChars="200"/>
        <w:rPr>
          <w:rFonts w:ascii="黑体" w:hAnsi="黑体" w:eastAsia="黑体" w:cs="黑体"/>
          <w:color w:val="000000" w:themeColor="text1"/>
          <w:spacing w:val="5"/>
          <w:sz w:val="24"/>
          <w:szCs w:val="24"/>
          <w:shd w:val="clear" w:color="auto" w:fill="FFFFFF"/>
        </w:rPr>
      </w:pPr>
      <w:r>
        <w:rPr>
          <w:rFonts w:hint="eastAsia" w:ascii="黑体" w:hAnsi="黑体" w:eastAsia="黑体" w:cs="黑体"/>
          <w:color w:val="000000" w:themeColor="text1"/>
          <w:spacing w:val="5"/>
          <w:sz w:val="24"/>
          <w:szCs w:val="24"/>
          <w:shd w:val="clear" w:color="auto" w:fill="FFFFFF"/>
        </w:rPr>
        <w:t>十三、其他应说明的事项</w:t>
      </w:r>
    </w:p>
    <w:p w14:paraId="4B0410D5">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r>
        <w:rPr>
          <w:rFonts w:hint="eastAsia" w:ascii="Times New Roman" w:hAnsi="Times New Roman" w:eastAsia="宋体" w:cs="Times New Roman"/>
          <w:color w:val="000000" w:themeColor="text1"/>
          <w:spacing w:val="5"/>
          <w:sz w:val="24"/>
          <w:szCs w:val="24"/>
          <w:shd w:val="clear" w:color="auto" w:fill="FFFFFF"/>
        </w:rPr>
        <w:t>无。</w:t>
      </w:r>
    </w:p>
    <w:p w14:paraId="5F211105">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p>
    <w:p w14:paraId="32E0BA72">
      <w:pPr>
        <w:pStyle w:val="39"/>
        <w:spacing w:line="560" w:lineRule="exact"/>
        <w:jc w:val="both"/>
        <w:rPr>
          <w:rFonts w:ascii="仿宋_GB2312" w:hAnsi="仿宋_GB2312" w:eastAsia="仿宋_GB2312" w:cs="仿宋_GB2312"/>
          <w:color w:val="000000"/>
          <w:sz w:val="32"/>
          <w:szCs w:val="32"/>
        </w:rPr>
      </w:pPr>
    </w:p>
    <w:p w14:paraId="4FA9BEC2">
      <w:pPr>
        <w:pStyle w:val="39"/>
        <w:spacing w:line="560" w:lineRule="exact"/>
        <w:ind w:firstLine="500"/>
        <w:jc w:val="center"/>
        <w:rPr>
          <w:rFonts w:ascii="Times New Roman"/>
          <w:color w:val="000000" w:themeColor="text1"/>
          <w:spacing w:val="5"/>
          <w:kern w:val="2"/>
          <w:sz w:val="24"/>
          <w:szCs w:val="24"/>
          <w:shd w:val="clear" w:color="auto" w:fill="FFFFFF"/>
        </w:rPr>
      </w:pPr>
      <w:r>
        <w:rPr>
          <w:rFonts w:hint="eastAsia" w:ascii="Times New Roman"/>
          <w:color w:val="000000" w:themeColor="text1"/>
          <w:spacing w:val="5"/>
          <w:kern w:val="2"/>
          <w:sz w:val="24"/>
          <w:szCs w:val="24"/>
          <w:shd w:val="clear" w:color="auto" w:fill="FFFFFF"/>
          <w:lang w:val="en-US" w:eastAsia="zh-CN"/>
        </w:rPr>
        <w:t xml:space="preserve">       </w:t>
      </w:r>
      <w:r>
        <w:rPr>
          <w:rFonts w:hint="eastAsia" w:ascii="Times New Roman"/>
          <w:color w:val="000000" w:themeColor="text1"/>
          <w:spacing w:val="5"/>
          <w:kern w:val="2"/>
          <w:sz w:val="24"/>
          <w:szCs w:val="24"/>
          <w:shd w:val="clear" w:color="auto" w:fill="FFFFFF"/>
        </w:rPr>
        <w:t>贵阳市地方标准《稻田蚕豆接茬栽培技术规程》</w:t>
      </w:r>
    </w:p>
    <w:p w14:paraId="184BC617">
      <w:pPr>
        <w:pStyle w:val="39"/>
        <w:spacing w:line="560" w:lineRule="exact"/>
        <w:ind w:firstLine="4750" w:firstLineChars="1900"/>
        <w:rPr>
          <w:rFonts w:ascii="Times New Roman"/>
          <w:color w:val="000000" w:themeColor="text1"/>
          <w:spacing w:val="5"/>
          <w:kern w:val="2"/>
          <w:sz w:val="24"/>
          <w:szCs w:val="24"/>
          <w:shd w:val="clear" w:color="auto" w:fill="FFFFFF"/>
        </w:rPr>
      </w:pPr>
      <w:r>
        <w:rPr>
          <w:rFonts w:hint="eastAsia" w:ascii="Times New Roman"/>
          <w:color w:val="000000" w:themeColor="text1"/>
          <w:spacing w:val="5"/>
          <w:kern w:val="2"/>
          <w:sz w:val="24"/>
          <w:szCs w:val="24"/>
          <w:shd w:val="clear" w:color="auto" w:fill="FFFFFF"/>
        </w:rPr>
        <w:t>编制小组</w:t>
      </w:r>
    </w:p>
    <w:p w14:paraId="7751A6F7">
      <w:pPr>
        <w:pStyle w:val="39"/>
        <w:spacing w:line="560" w:lineRule="exact"/>
        <w:ind w:firstLine="500"/>
        <w:jc w:val="center"/>
        <w:rPr>
          <w:rFonts w:ascii="Times New Roman"/>
          <w:color w:val="000000" w:themeColor="text1"/>
          <w:spacing w:val="5"/>
          <w:kern w:val="2"/>
          <w:sz w:val="24"/>
          <w:szCs w:val="24"/>
          <w:shd w:val="clear" w:color="auto" w:fill="FFFFFF"/>
        </w:rPr>
      </w:pPr>
      <w:r>
        <w:rPr>
          <w:rFonts w:hint="eastAsia" w:ascii="Times New Roman"/>
          <w:color w:val="000000" w:themeColor="text1"/>
          <w:spacing w:val="5"/>
          <w:kern w:val="2"/>
          <w:sz w:val="24"/>
          <w:szCs w:val="24"/>
          <w:shd w:val="clear" w:color="auto" w:fill="FFFFFF"/>
        </w:rPr>
        <w:t xml:space="preserve">              2025年</w:t>
      </w:r>
      <w:r>
        <w:rPr>
          <w:rFonts w:hint="eastAsia" w:ascii="Times New Roman"/>
          <w:color w:val="000000" w:themeColor="text1"/>
          <w:spacing w:val="5"/>
          <w:kern w:val="2"/>
          <w:sz w:val="24"/>
          <w:szCs w:val="24"/>
          <w:shd w:val="clear" w:color="auto" w:fill="FFFFFF"/>
          <w:lang w:val="en-US" w:eastAsia="zh-CN"/>
        </w:rPr>
        <w:t>4</w:t>
      </w:r>
      <w:r>
        <w:rPr>
          <w:rFonts w:hint="eastAsia" w:ascii="Times New Roman"/>
          <w:color w:val="000000" w:themeColor="text1"/>
          <w:spacing w:val="5"/>
          <w:kern w:val="2"/>
          <w:sz w:val="24"/>
          <w:szCs w:val="24"/>
          <w:shd w:val="clear" w:color="auto" w:fill="FFFFFF"/>
        </w:rPr>
        <w:t>月19日</w:t>
      </w:r>
    </w:p>
    <w:p w14:paraId="037D786B">
      <w:pPr>
        <w:spacing w:line="360" w:lineRule="auto"/>
        <w:ind w:firstLine="500" w:firstLineChars="200"/>
        <w:rPr>
          <w:rFonts w:ascii="Times New Roman" w:hAnsi="Times New Roman" w:eastAsia="宋体" w:cs="Times New Roman"/>
          <w:color w:val="000000" w:themeColor="text1"/>
          <w:spacing w:val="5"/>
          <w:sz w:val="24"/>
          <w:szCs w:val="24"/>
          <w:shd w:val="clear" w:color="auto" w:fill="FFFFFF"/>
        </w:rPr>
      </w:pPr>
    </w:p>
    <w:p w14:paraId="2BB9F697">
      <w:pPr>
        <w:spacing w:line="360" w:lineRule="auto"/>
        <w:jc w:val="center"/>
        <w:rPr>
          <w:rFonts w:ascii="方正大标宋简体" w:hAnsi="方正大标宋简体" w:eastAsia="方正大标宋简体" w:cs="方正大标宋简体"/>
          <w:color w:val="000000" w:themeColor="text1"/>
          <w:spacing w:val="5"/>
          <w:sz w:val="30"/>
          <w:szCs w:val="30"/>
          <w:shd w:val="clear" w:color="auto" w:fill="FFFFFF"/>
        </w:rPr>
      </w:pPr>
      <w:r>
        <w:rPr>
          <w:rFonts w:hint="eastAsia" w:ascii="方正大标宋简体" w:hAnsi="方正大标宋简体" w:eastAsia="方正大标宋简体" w:cs="方正大标宋简体"/>
          <w:color w:val="000000" w:themeColor="text1"/>
          <w:spacing w:val="5"/>
          <w:sz w:val="30"/>
          <w:szCs w:val="30"/>
          <w:shd w:val="clear" w:color="auto" w:fill="FFFFFF"/>
        </w:rPr>
        <w:t>2021年至2024年贵阳市稻田蚕豆种植示范基地</w:t>
      </w:r>
    </w:p>
    <w:p w14:paraId="141C86A0">
      <w:pPr>
        <w:spacing w:line="360" w:lineRule="auto"/>
        <w:ind w:firstLine="580" w:firstLineChars="200"/>
        <w:rPr>
          <w:rFonts w:ascii="黑体" w:hAnsi="黑体" w:eastAsia="黑体" w:cs="黑体"/>
          <w:color w:val="000000" w:themeColor="text1"/>
          <w:spacing w:val="5"/>
          <w:sz w:val="28"/>
          <w:szCs w:val="28"/>
          <w:shd w:val="clear" w:color="auto" w:fill="FFFFFF"/>
        </w:rPr>
      </w:pPr>
      <w:r>
        <w:rPr>
          <w:rFonts w:hint="eastAsia" w:ascii="黑体" w:hAnsi="黑体" w:eastAsia="黑体" w:cs="黑体"/>
          <w:color w:val="000000" w:themeColor="text1"/>
          <w:spacing w:val="5"/>
          <w:sz w:val="28"/>
          <w:szCs w:val="28"/>
        </w:rPr>
        <w:drawing>
          <wp:anchor distT="0" distB="0" distL="114300" distR="114300" simplePos="0" relativeHeight="251660288" behindDoc="1" locked="0" layoutInCell="1" allowOverlap="1">
            <wp:simplePos x="0" y="0"/>
            <wp:positionH relativeFrom="column">
              <wp:posOffset>493395</wp:posOffset>
            </wp:positionH>
            <wp:positionV relativeFrom="paragraph">
              <wp:posOffset>194310</wp:posOffset>
            </wp:positionV>
            <wp:extent cx="4267200" cy="3200400"/>
            <wp:effectExtent l="19050" t="0" r="0" b="0"/>
            <wp:wrapTight wrapText="bothSides">
              <wp:wrapPolygon>
                <wp:start x="-96" y="0"/>
                <wp:lineTo x="-96" y="21471"/>
                <wp:lineTo x="21600" y="21471"/>
                <wp:lineTo x="21600" y="0"/>
                <wp:lineTo x="-96" y="0"/>
              </wp:wrapPolygon>
            </wp:wrapTight>
            <wp:docPr id="4" name="图片 1" descr="F:\2-陈永波\3-课题文稿资料\4-制修订标准\1-水稻蚕豆接茬栽培\稻田蚕豆照片\微信图片_202503210949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F:\2-陈永波\3-课题文稿资料\4-制修订标准\1-水稻蚕豆接茬栽培\稻田蚕豆照片\微信图片_20250321094936.jpg"/>
                    <pic:cNvPicPr>
                      <a:picLocks noChangeAspect="1" noChangeArrowheads="1"/>
                    </pic:cNvPicPr>
                  </pic:nvPicPr>
                  <pic:blipFill>
                    <a:blip r:embed="rId6" cstate="print"/>
                    <a:srcRect/>
                    <a:stretch>
                      <a:fillRect/>
                    </a:stretch>
                  </pic:blipFill>
                  <pic:spPr>
                    <a:xfrm>
                      <a:off x="0" y="0"/>
                      <a:ext cx="4267200" cy="3200400"/>
                    </a:xfrm>
                    <a:prstGeom prst="rect">
                      <a:avLst/>
                    </a:prstGeom>
                    <a:noFill/>
                    <a:ln w="9525">
                      <a:noFill/>
                      <a:miter lim="800000"/>
                      <a:headEnd/>
                      <a:tailEnd/>
                    </a:ln>
                  </pic:spPr>
                </pic:pic>
              </a:graphicData>
            </a:graphic>
          </wp:anchor>
        </w:drawing>
      </w:r>
    </w:p>
    <w:p w14:paraId="4C548679">
      <w:pPr>
        <w:spacing w:line="360" w:lineRule="auto"/>
        <w:ind w:firstLine="580" w:firstLineChars="200"/>
        <w:rPr>
          <w:rFonts w:ascii="黑体" w:hAnsi="黑体" w:eastAsia="黑体" w:cs="黑体"/>
          <w:color w:val="000000" w:themeColor="text1"/>
          <w:spacing w:val="5"/>
          <w:sz w:val="28"/>
          <w:szCs w:val="28"/>
          <w:shd w:val="clear" w:color="auto" w:fill="FFFFFF"/>
        </w:rPr>
      </w:pPr>
    </w:p>
    <w:p w14:paraId="787B44B9">
      <w:pPr>
        <w:spacing w:line="360" w:lineRule="auto"/>
        <w:ind w:firstLine="580" w:firstLineChars="200"/>
        <w:rPr>
          <w:rFonts w:ascii="黑体" w:hAnsi="黑体" w:eastAsia="黑体" w:cs="黑体"/>
          <w:color w:val="000000" w:themeColor="text1"/>
          <w:spacing w:val="5"/>
          <w:sz w:val="28"/>
          <w:szCs w:val="28"/>
          <w:shd w:val="clear" w:color="auto" w:fill="FFFFFF"/>
        </w:rPr>
      </w:pPr>
    </w:p>
    <w:p w14:paraId="19AFA4C7">
      <w:pPr>
        <w:spacing w:line="360" w:lineRule="auto"/>
        <w:ind w:firstLine="580" w:firstLineChars="200"/>
        <w:rPr>
          <w:rFonts w:ascii="黑体" w:hAnsi="黑体" w:eastAsia="黑体" w:cs="黑体"/>
          <w:color w:val="000000" w:themeColor="text1"/>
          <w:spacing w:val="5"/>
          <w:sz w:val="28"/>
          <w:szCs w:val="28"/>
          <w:shd w:val="clear" w:color="auto" w:fill="FFFFFF"/>
        </w:rPr>
      </w:pPr>
    </w:p>
    <w:p w14:paraId="51E33766">
      <w:pPr>
        <w:spacing w:line="360" w:lineRule="auto"/>
        <w:ind w:firstLine="580" w:firstLineChars="200"/>
        <w:rPr>
          <w:rFonts w:ascii="黑体" w:hAnsi="黑体" w:eastAsia="黑体" w:cs="黑体"/>
          <w:color w:val="000000" w:themeColor="text1"/>
          <w:spacing w:val="5"/>
          <w:sz w:val="28"/>
          <w:szCs w:val="28"/>
          <w:shd w:val="clear" w:color="auto" w:fill="FFFFFF"/>
        </w:rPr>
      </w:pPr>
    </w:p>
    <w:p w14:paraId="4FAC1882">
      <w:pPr>
        <w:spacing w:line="360" w:lineRule="auto"/>
        <w:ind w:firstLine="580" w:firstLineChars="200"/>
        <w:rPr>
          <w:rFonts w:ascii="黑体" w:hAnsi="黑体" w:eastAsia="黑体" w:cs="黑体"/>
          <w:color w:val="000000" w:themeColor="text1"/>
          <w:spacing w:val="5"/>
          <w:sz w:val="28"/>
          <w:szCs w:val="28"/>
          <w:shd w:val="clear" w:color="auto" w:fill="FFFFFF"/>
        </w:rPr>
      </w:pPr>
    </w:p>
    <w:p w14:paraId="137B4DE0">
      <w:pPr>
        <w:spacing w:line="360" w:lineRule="auto"/>
        <w:ind w:firstLine="580" w:firstLineChars="200"/>
        <w:rPr>
          <w:rFonts w:ascii="黑体" w:hAnsi="黑体" w:eastAsia="黑体" w:cs="黑体"/>
          <w:color w:val="000000" w:themeColor="text1"/>
          <w:spacing w:val="5"/>
          <w:sz w:val="28"/>
          <w:szCs w:val="28"/>
          <w:shd w:val="clear" w:color="auto" w:fill="FFFFFF"/>
        </w:rPr>
      </w:pPr>
    </w:p>
    <w:p w14:paraId="6ADAD441">
      <w:pPr>
        <w:spacing w:line="360" w:lineRule="auto"/>
        <w:ind w:firstLine="580" w:firstLineChars="200"/>
        <w:rPr>
          <w:rFonts w:ascii="黑体" w:hAnsi="黑体" w:eastAsia="黑体" w:cs="黑体"/>
          <w:color w:val="000000" w:themeColor="text1"/>
          <w:spacing w:val="5"/>
          <w:sz w:val="28"/>
          <w:szCs w:val="28"/>
          <w:shd w:val="clear" w:color="auto" w:fill="FFFFFF"/>
        </w:rPr>
      </w:pPr>
    </w:p>
    <w:p w14:paraId="7BD05297">
      <w:pPr>
        <w:spacing w:line="360" w:lineRule="auto"/>
        <w:ind w:firstLine="580" w:firstLineChars="200"/>
        <w:rPr>
          <w:rFonts w:ascii="黑体" w:hAnsi="黑体" w:eastAsia="黑体" w:cs="黑体"/>
          <w:color w:val="000000" w:themeColor="text1"/>
          <w:spacing w:val="5"/>
          <w:sz w:val="28"/>
          <w:szCs w:val="28"/>
          <w:shd w:val="clear" w:color="auto" w:fill="FFFFFF"/>
        </w:rPr>
      </w:pPr>
    </w:p>
    <w:p w14:paraId="214FF4D4">
      <w:pPr>
        <w:spacing w:line="360" w:lineRule="auto"/>
        <w:jc w:val="center"/>
        <w:rPr>
          <w:rFonts w:ascii="宋体" w:hAnsi="宋体" w:eastAsia="宋体" w:cs="宋体"/>
          <w:color w:val="000000" w:themeColor="text1"/>
          <w:spacing w:val="5"/>
          <w:sz w:val="28"/>
          <w:szCs w:val="28"/>
          <w:shd w:val="clear" w:color="auto" w:fill="FFFFFF"/>
        </w:rPr>
      </w:pPr>
      <w:r>
        <w:rPr>
          <w:rFonts w:hint="eastAsia" w:ascii="宋体" w:hAnsi="宋体" w:eastAsia="宋体" w:cs="宋体"/>
          <w:color w:val="000000" w:themeColor="text1"/>
          <w:spacing w:val="5"/>
          <w:sz w:val="28"/>
          <w:szCs w:val="28"/>
          <w:shd w:val="clear" w:color="auto" w:fill="FFFFFF"/>
        </w:rPr>
        <w:t>贵安新区高峰镇稻田蚕豆种植基地</w:t>
      </w:r>
    </w:p>
    <w:p w14:paraId="4F3375BF">
      <w:pPr>
        <w:spacing w:line="360" w:lineRule="auto"/>
        <w:ind w:firstLine="580" w:firstLineChars="200"/>
        <w:rPr>
          <w:rFonts w:ascii="黑体" w:hAnsi="黑体" w:eastAsia="黑体" w:cs="黑体"/>
          <w:color w:val="000000" w:themeColor="text1"/>
          <w:spacing w:val="5"/>
          <w:sz w:val="28"/>
          <w:szCs w:val="28"/>
          <w:shd w:val="clear" w:color="auto" w:fill="FFFFFF"/>
        </w:rPr>
      </w:pPr>
      <w:r>
        <w:rPr>
          <w:rFonts w:hint="eastAsia" w:ascii="黑体" w:hAnsi="黑体" w:eastAsia="黑体" w:cs="黑体"/>
          <w:color w:val="000000" w:themeColor="text1"/>
          <w:spacing w:val="5"/>
          <w:sz w:val="28"/>
          <w:szCs w:val="28"/>
        </w:rPr>
        <w:drawing>
          <wp:anchor distT="0" distB="0" distL="114300" distR="114300" simplePos="0" relativeHeight="251661312" behindDoc="1" locked="0" layoutInCell="1" allowOverlap="1">
            <wp:simplePos x="0" y="0"/>
            <wp:positionH relativeFrom="column">
              <wp:posOffset>493395</wp:posOffset>
            </wp:positionH>
            <wp:positionV relativeFrom="paragraph">
              <wp:posOffset>49530</wp:posOffset>
            </wp:positionV>
            <wp:extent cx="4267200" cy="2990850"/>
            <wp:effectExtent l="19050" t="0" r="0" b="0"/>
            <wp:wrapTight wrapText="bothSides">
              <wp:wrapPolygon>
                <wp:start x="-96" y="0"/>
                <wp:lineTo x="-96" y="21462"/>
                <wp:lineTo x="21600" y="21462"/>
                <wp:lineTo x="21600" y="0"/>
                <wp:lineTo x="-96" y="0"/>
              </wp:wrapPolygon>
            </wp:wrapTight>
            <wp:docPr id="6" name="图片 2" descr="F:\2-陈永波\3-课题文稿资料\4-制修订标准\1-水稻蚕豆接茬栽培\稻田蚕豆照片\微信图片_20250321095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F:\2-陈永波\3-课题文稿资料\4-制修订标准\1-水稻蚕豆接茬栽培\稻田蚕豆照片\微信图片_20250321095052.jpg"/>
                    <pic:cNvPicPr>
                      <a:picLocks noChangeAspect="1" noChangeArrowheads="1"/>
                    </pic:cNvPicPr>
                  </pic:nvPicPr>
                  <pic:blipFill>
                    <a:blip r:embed="rId7" cstate="print"/>
                    <a:srcRect/>
                    <a:stretch>
                      <a:fillRect/>
                    </a:stretch>
                  </pic:blipFill>
                  <pic:spPr>
                    <a:xfrm>
                      <a:off x="0" y="0"/>
                      <a:ext cx="4267200" cy="2990850"/>
                    </a:xfrm>
                    <a:prstGeom prst="rect">
                      <a:avLst/>
                    </a:prstGeom>
                    <a:noFill/>
                    <a:ln w="9525">
                      <a:noFill/>
                      <a:miter lim="800000"/>
                      <a:headEnd/>
                      <a:tailEnd/>
                    </a:ln>
                  </pic:spPr>
                </pic:pic>
              </a:graphicData>
            </a:graphic>
          </wp:anchor>
        </w:drawing>
      </w:r>
    </w:p>
    <w:p w14:paraId="73C0DF3A">
      <w:pPr>
        <w:spacing w:line="360" w:lineRule="auto"/>
        <w:ind w:firstLine="580" w:firstLineChars="200"/>
        <w:rPr>
          <w:rFonts w:ascii="黑体" w:hAnsi="黑体" w:eastAsia="黑体" w:cs="黑体"/>
          <w:color w:val="000000" w:themeColor="text1"/>
          <w:spacing w:val="5"/>
          <w:sz w:val="28"/>
          <w:szCs w:val="28"/>
          <w:shd w:val="clear" w:color="auto" w:fill="FFFFFF"/>
        </w:rPr>
      </w:pPr>
    </w:p>
    <w:p w14:paraId="1FF6E452">
      <w:pPr>
        <w:spacing w:line="360" w:lineRule="auto"/>
        <w:ind w:firstLine="580" w:firstLineChars="200"/>
        <w:rPr>
          <w:rFonts w:ascii="黑体" w:hAnsi="黑体" w:eastAsia="黑体" w:cs="黑体"/>
          <w:color w:val="000000" w:themeColor="text1"/>
          <w:spacing w:val="5"/>
          <w:sz w:val="28"/>
          <w:szCs w:val="28"/>
          <w:shd w:val="clear" w:color="auto" w:fill="FFFFFF"/>
        </w:rPr>
      </w:pPr>
    </w:p>
    <w:p w14:paraId="5663E32D">
      <w:pPr>
        <w:spacing w:line="360" w:lineRule="auto"/>
        <w:ind w:firstLine="580" w:firstLineChars="200"/>
        <w:rPr>
          <w:rFonts w:ascii="黑体" w:hAnsi="黑体" w:eastAsia="黑体" w:cs="黑体"/>
          <w:color w:val="000000" w:themeColor="text1"/>
          <w:spacing w:val="5"/>
          <w:sz w:val="28"/>
          <w:szCs w:val="28"/>
          <w:shd w:val="clear" w:color="auto" w:fill="FFFFFF"/>
        </w:rPr>
      </w:pPr>
    </w:p>
    <w:p w14:paraId="1460DD58">
      <w:pPr>
        <w:spacing w:line="360" w:lineRule="auto"/>
        <w:ind w:firstLine="580" w:firstLineChars="200"/>
        <w:rPr>
          <w:rFonts w:ascii="黑体" w:hAnsi="黑体" w:eastAsia="黑体" w:cs="黑体"/>
          <w:color w:val="000000" w:themeColor="text1"/>
          <w:spacing w:val="5"/>
          <w:sz w:val="28"/>
          <w:szCs w:val="28"/>
          <w:shd w:val="clear" w:color="auto" w:fill="FFFFFF"/>
        </w:rPr>
      </w:pPr>
    </w:p>
    <w:p w14:paraId="1124FD03">
      <w:pPr>
        <w:spacing w:line="360" w:lineRule="auto"/>
        <w:ind w:firstLine="580" w:firstLineChars="200"/>
        <w:rPr>
          <w:rFonts w:ascii="黑体" w:hAnsi="黑体" w:eastAsia="黑体" w:cs="黑体"/>
          <w:color w:val="000000" w:themeColor="text1"/>
          <w:spacing w:val="5"/>
          <w:sz w:val="28"/>
          <w:szCs w:val="28"/>
          <w:shd w:val="clear" w:color="auto" w:fill="FFFFFF"/>
        </w:rPr>
      </w:pPr>
    </w:p>
    <w:p w14:paraId="58C6C2F8">
      <w:pPr>
        <w:spacing w:line="360" w:lineRule="auto"/>
        <w:ind w:firstLine="580" w:firstLineChars="200"/>
        <w:rPr>
          <w:rFonts w:ascii="黑体" w:hAnsi="黑体" w:eastAsia="黑体" w:cs="黑体"/>
          <w:color w:val="000000" w:themeColor="text1"/>
          <w:spacing w:val="5"/>
          <w:sz w:val="28"/>
          <w:szCs w:val="28"/>
          <w:shd w:val="clear" w:color="auto" w:fill="FFFFFF"/>
        </w:rPr>
      </w:pPr>
    </w:p>
    <w:p w14:paraId="123DEA9F">
      <w:pPr>
        <w:spacing w:line="360" w:lineRule="auto"/>
        <w:ind w:firstLine="580" w:firstLineChars="200"/>
        <w:rPr>
          <w:rFonts w:ascii="黑体" w:hAnsi="黑体" w:eastAsia="黑体" w:cs="黑体"/>
          <w:color w:val="000000" w:themeColor="text1"/>
          <w:spacing w:val="5"/>
          <w:sz w:val="28"/>
          <w:szCs w:val="28"/>
          <w:shd w:val="clear" w:color="auto" w:fill="FFFFFF"/>
        </w:rPr>
      </w:pPr>
    </w:p>
    <w:p w14:paraId="1FC9A732">
      <w:pPr>
        <w:spacing w:line="360" w:lineRule="auto"/>
        <w:ind w:firstLine="580" w:firstLineChars="200"/>
        <w:jc w:val="center"/>
        <w:rPr>
          <w:rFonts w:ascii="黑体" w:hAnsi="黑体" w:eastAsia="黑体" w:cs="黑体"/>
          <w:color w:val="000000" w:themeColor="text1"/>
          <w:spacing w:val="5"/>
          <w:sz w:val="28"/>
          <w:szCs w:val="28"/>
        </w:rPr>
      </w:pPr>
      <w:r>
        <w:rPr>
          <w:rFonts w:hint="eastAsia" w:ascii="宋体" w:hAnsi="宋体" w:eastAsia="宋体" w:cs="宋体"/>
          <w:color w:val="000000" w:themeColor="text1"/>
          <w:spacing w:val="5"/>
          <w:sz w:val="28"/>
          <w:szCs w:val="28"/>
          <w:shd w:val="clear" w:color="auto" w:fill="FFFFFF"/>
        </w:rPr>
        <w:t>贵安新区高峰镇稻田蚕豆种植基地</w:t>
      </w:r>
      <w:r>
        <w:rPr>
          <w:rFonts w:ascii="黑体" w:hAnsi="黑体" w:eastAsia="黑体" w:cs="黑体"/>
          <w:color w:val="000000" w:themeColor="text1"/>
          <w:spacing w:val="5"/>
          <w:sz w:val="28"/>
          <w:szCs w:val="28"/>
        </w:rPr>
        <w:br w:type="page"/>
      </w:r>
    </w:p>
    <w:p w14:paraId="285AECA4">
      <w:pPr>
        <w:spacing w:line="360" w:lineRule="auto"/>
        <w:ind w:firstLine="580" w:firstLineChars="200"/>
        <w:jc w:val="center"/>
        <w:rPr>
          <w:rFonts w:ascii="黑体" w:hAnsi="黑体" w:eastAsia="黑体" w:cs="黑体"/>
          <w:color w:val="000000" w:themeColor="text1"/>
          <w:spacing w:val="5"/>
          <w:sz w:val="28"/>
          <w:szCs w:val="28"/>
        </w:rPr>
      </w:pPr>
      <w:r>
        <w:rPr>
          <w:rFonts w:ascii="黑体" w:hAnsi="黑体" w:eastAsia="黑体" w:cs="黑体"/>
          <w:color w:val="000000" w:themeColor="text1"/>
          <w:spacing w:val="5"/>
          <w:sz w:val="28"/>
          <w:szCs w:val="28"/>
        </w:rPr>
        <w:drawing>
          <wp:anchor distT="0" distB="0" distL="114300" distR="114300" simplePos="0" relativeHeight="251663360" behindDoc="1" locked="0" layoutInCell="1" allowOverlap="1">
            <wp:simplePos x="0" y="0"/>
            <wp:positionH relativeFrom="column">
              <wp:posOffset>455295</wp:posOffset>
            </wp:positionH>
            <wp:positionV relativeFrom="paragraph">
              <wp:posOffset>381000</wp:posOffset>
            </wp:positionV>
            <wp:extent cx="4589780" cy="3438525"/>
            <wp:effectExtent l="19050" t="0" r="1270" b="0"/>
            <wp:wrapTight wrapText="bothSides">
              <wp:wrapPolygon>
                <wp:start x="-90" y="0"/>
                <wp:lineTo x="-90" y="21540"/>
                <wp:lineTo x="21606" y="21540"/>
                <wp:lineTo x="21606" y="0"/>
                <wp:lineTo x="-90" y="0"/>
              </wp:wrapPolygon>
            </wp:wrapTight>
            <wp:docPr id="3" name="图片 1" descr="F:\2-陈永波\3-课题文稿资料\4-制修订标准\1-水稻蚕豆接茬栽培\稻田蚕豆照片\花溪区青岩镇\微信图片_202503211035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F:\2-陈永波\3-课题文稿资料\4-制修订标准\1-水稻蚕豆接茬栽培\稻田蚕豆照片\花溪区青岩镇\微信图片_20250321103556.jpg"/>
                    <pic:cNvPicPr>
                      <a:picLocks noChangeAspect="1" noChangeArrowheads="1"/>
                    </pic:cNvPicPr>
                  </pic:nvPicPr>
                  <pic:blipFill>
                    <a:blip r:embed="rId8" cstate="print"/>
                    <a:srcRect/>
                    <a:stretch>
                      <a:fillRect/>
                    </a:stretch>
                  </pic:blipFill>
                  <pic:spPr>
                    <a:xfrm>
                      <a:off x="0" y="0"/>
                      <a:ext cx="4589780" cy="3438525"/>
                    </a:xfrm>
                    <a:prstGeom prst="rect">
                      <a:avLst/>
                    </a:prstGeom>
                    <a:noFill/>
                    <a:ln w="9525">
                      <a:noFill/>
                      <a:miter lim="800000"/>
                      <a:headEnd/>
                      <a:tailEnd/>
                    </a:ln>
                  </pic:spPr>
                </pic:pic>
              </a:graphicData>
            </a:graphic>
          </wp:anchor>
        </w:drawing>
      </w:r>
    </w:p>
    <w:p w14:paraId="63E9D06C">
      <w:pPr>
        <w:spacing w:line="360" w:lineRule="auto"/>
        <w:ind w:firstLine="580" w:firstLineChars="200"/>
        <w:jc w:val="center"/>
        <w:rPr>
          <w:rFonts w:ascii="黑体" w:hAnsi="黑体" w:eastAsia="黑体" w:cs="黑体"/>
          <w:color w:val="000000" w:themeColor="text1"/>
          <w:spacing w:val="5"/>
          <w:sz w:val="28"/>
          <w:szCs w:val="28"/>
        </w:rPr>
      </w:pPr>
    </w:p>
    <w:p w14:paraId="4BA5ECA0">
      <w:pPr>
        <w:spacing w:line="360" w:lineRule="auto"/>
        <w:ind w:firstLine="580" w:firstLineChars="200"/>
        <w:jc w:val="center"/>
        <w:rPr>
          <w:rFonts w:ascii="黑体" w:hAnsi="黑体" w:eastAsia="黑体" w:cs="黑体"/>
          <w:color w:val="000000" w:themeColor="text1"/>
          <w:spacing w:val="5"/>
          <w:sz w:val="28"/>
          <w:szCs w:val="28"/>
        </w:rPr>
      </w:pPr>
    </w:p>
    <w:p w14:paraId="22D3BC6D">
      <w:pPr>
        <w:spacing w:line="360" w:lineRule="auto"/>
        <w:ind w:firstLine="580" w:firstLineChars="200"/>
        <w:jc w:val="center"/>
        <w:rPr>
          <w:rFonts w:ascii="黑体" w:hAnsi="黑体" w:eastAsia="黑体" w:cs="黑体"/>
          <w:color w:val="000000" w:themeColor="text1"/>
          <w:spacing w:val="5"/>
          <w:sz w:val="28"/>
          <w:szCs w:val="28"/>
        </w:rPr>
      </w:pPr>
    </w:p>
    <w:p w14:paraId="11305BBB">
      <w:pPr>
        <w:spacing w:line="360" w:lineRule="auto"/>
        <w:ind w:firstLine="580" w:firstLineChars="200"/>
        <w:jc w:val="center"/>
        <w:rPr>
          <w:rFonts w:ascii="黑体" w:hAnsi="黑体" w:eastAsia="黑体" w:cs="黑体"/>
          <w:color w:val="000000" w:themeColor="text1"/>
          <w:spacing w:val="5"/>
          <w:sz w:val="28"/>
          <w:szCs w:val="28"/>
        </w:rPr>
      </w:pPr>
    </w:p>
    <w:p w14:paraId="4367E432">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47FE3DE6">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3AC9C167">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7DC74A35">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46053EA6">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1FD9514D">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3BFD9A26">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3D54AB8E">
      <w:pPr>
        <w:spacing w:line="360" w:lineRule="auto"/>
        <w:ind w:firstLine="580" w:firstLineChars="200"/>
        <w:jc w:val="center"/>
        <w:rPr>
          <w:rFonts w:ascii="宋体" w:hAnsi="宋体" w:eastAsia="宋体" w:cs="宋体"/>
          <w:color w:val="000000" w:themeColor="text1"/>
          <w:spacing w:val="5"/>
          <w:sz w:val="28"/>
          <w:szCs w:val="28"/>
          <w:shd w:val="clear" w:color="auto" w:fill="FFFFFF"/>
        </w:rPr>
      </w:pPr>
      <w:r>
        <w:rPr>
          <w:rFonts w:hint="eastAsia" w:ascii="宋体" w:hAnsi="宋体" w:eastAsia="宋体" w:cs="宋体"/>
          <w:color w:val="000000" w:themeColor="text1"/>
          <w:spacing w:val="5"/>
          <w:sz w:val="28"/>
          <w:szCs w:val="28"/>
          <w:shd w:val="clear" w:color="auto" w:fill="FFFFFF"/>
        </w:rPr>
        <w:t>花溪区青岩镇稻田蚕豆种植基地</w:t>
      </w:r>
    </w:p>
    <w:p w14:paraId="27EDC417">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r>
        <w:rPr>
          <w:rFonts w:hint="eastAsia" w:ascii="宋体" w:hAnsi="宋体" w:eastAsia="宋体" w:cs="黑体"/>
          <w:b/>
          <w:color w:val="000000" w:themeColor="text1"/>
          <w:spacing w:val="5"/>
          <w:sz w:val="24"/>
          <w:szCs w:val="24"/>
        </w:rPr>
        <w:drawing>
          <wp:anchor distT="0" distB="0" distL="114300" distR="114300" simplePos="0" relativeHeight="251662336" behindDoc="1" locked="0" layoutInCell="1" allowOverlap="1">
            <wp:simplePos x="0" y="0"/>
            <wp:positionH relativeFrom="column">
              <wp:posOffset>455295</wp:posOffset>
            </wp:positionH>
            <wp:positionV relativeFrom="paragraph">
              <wp:posOffset>249555</wp:posOffset>
            </wp:positionV>
            <wp:extent cx="4533900" cy="3209925"/>
            <wp:effectExtent l="19050" t="0" r="0" b="0"/>
            <wp:wrapTight wrapText="bothSides">
              <wp:wrapPolygon>
                <wp:start x="-91" y="0"/>
                <wp:lineTo x="-91" y="21536"/>
                <wp:lineTo x="21600" y="21536"/>
                <wp:lineTo x="21600" y="0"/>
                <wp:lineTo x="-91" y="0"/>
              </wp:wrapPolygon>
            </wp:wrapTight>
            <wp:docPr id="7" name="图片 1" descr="E:\蔬推工作照\2023年照片\IMG_20230228_1143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E:\蔬推工作照\2023年照片\IMG_20230228_114327.jpg"/>
                    <pic:cNvPicPr>
                      <a:picLocks noChangeAspect="1" noChangeArrowheads="1"/>
                    </pic:cNvPicPr>
                  </pic:nvPicPr>
                  <pic:blipFill>
                    <a:blip r:embed="rId9" cstate="print"/>
                    <a:srcRect/>
                    <a:stretch>
                      <a:fillRect/>
                    </a:stretch>
                  </pic:blipFill>
                  <pic:spPr>
                    <a:xfrm>
                      <a:off x="0" y="0"/>
                      <a:ext cx="4533900" cy="3209925"/>
                    </a:xfrm>
                    <a:prstGeom prst="rect">
                      <a:avLst/>
                    </a:prstGeom>
                    <a:noFill/>
                    <a:ln w="9525">
                      <a:noFill/>
                      <a:miter lim="800000"/>
                      <a:headEnd/>
                      <a:tailEnd/>
                    </a:ln>
                  </pic:spPr>
                </pic:pic>
              </a:graphicData>
            </a:graphic>
          </wp:anchor>
        </w:drawing>
      </w:r>
    </w:p>
    <w:p w14:paraId="4D1F202C">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3FD8840A">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7133CDCA">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076BDE49">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25C1BD89">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0FC3676B">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30E3998A">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3F7F2854">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27214763">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470A2C60">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5B69B1CC">
      <w:pPr>
        <w:spacing w:line="360" w:lineRule="auto"/>
        <w:ind w:firstLine="502" w:firstLineChars="200"/>
        <w:jc w:val="center"/>
        <w:rPr>
          <w:rFonts w:ascii="宋体" w:hAnsi="宋体" w:eastAsia="宋体" w:cs="黑体"/>
          <w:b/>
          <w:color w:val="000000" w:themeColor="text1"/>
          <w:spacing w:val="5"/>
          <w:sz w:val="24"/>
          <w:szCs w:val="24"/>
          <w:shd w:val="clear" w:color="auto" w:fill="FFFFFF"/>
        </w:rPr>
      </w:pPr>
    </w:p>
    <w:p w14:paraId="7BF410FA">
      <w:pPr>
        <w:spacing w:line="360" w:lineRule="auto"/>
        <w:ind w:firstLine="580" w:firstLineChars="200"/>
        <w:jc w:val="center"/>
        <w:rPr>
          <w:rFonts w:ascii="宋体" w:hAnsi="宋体" w:eastAsia="宋体" w:cs="宋体"/>
          <w:color w:val="000000" w:themeColor="text1"/>
          <w:spacing w:val="5"/>
          <w:sz w:val="28"/>
          <w:szCs w:val="28"/>
          <w:shd w:val="clear" w:color="auto" w:fill="FFFFFF"/>
        </w:rPr>
      </w:pPr>
      <w:r>
        <w:rPr>
          <w:rFonts w:hint="eastAsia" w:ascii="宋体" w:hAnsi="宋体" w:eastAsia="宋体" w:cs="宋体"/>
          <w:color w:val="000000" w:themeColor="text1"/>
          <w:spacing w:val="5"/>
          <w:sz w:val="28"/>
          <w:szCs w:val="28"/>
          <w:shd w:val="clear" w:color="auto" w:fill="FFFFFF"/>
        </w:rPr>
        <w:t>息烽县九庄镇蚕豆种植基地</w:t>
      </w:r>
    </w:p>
    <w:sectPr>
      <w:footerReference r:id="rId3" w:type="default"/>
      <w:pgSz w:w="11906" w:h="16838"/>
      <w:pgMar w:top="1440" w:right="1757" w:bottom="1440" w:left="175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ED7A1D71-BF7B-4177-9F8C-FECAAA9E58D1}"/>
  </w:font>
  <w:font w:name="黑体">
    <w:panose1 w:val="02010600030101010101"/>
    <w:charset w:val="86"/>
    <w:family w:val="auto"/>
    <w:pitch w:val="default"/>
    <w:sig w:usb0="00000001" w:usb1="080E0000" w:usb2="00000000" w:usb3="00000000" w:csb0="00040000" w:csb1="00000000"/>
    <w:embedRegular r:id="rId2" w:fontKey="{33505E89-9DB1-4676-BA52-B850C6EF2FD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panose1 w:val="02010600030101010101"/>
    <w:charset w:val="86"/>
    <w:family w:val="auto"/>
    <w:pitch w:val="default"/>
    <w:sig w:usb0="A00002BF" w:usb1="38CF7CFA" w:usb2="00000016" w:usb3="00000000" w:csb0="0004000F" w:csb1="00000000"/>
    <w:embedRegular r:id="rId3" w:fontKey="{844A4AEC-6CCC-40B8-8CAF-6B2CD221ABE5}"/>
  </w:font>
  <w:font w:name="等线 Light">
    <w:altName w:val="宋体"/>
    <w:panose1 w:val="00000000000000000000"/>
    <w:charset w:val="86"/>
    <w:family w:val="auto"/>
    <w:pitch w:val="default"/>
    <w:sig w:usb0="00000000" w:usb1="00000000" w:usb2="00000016" w:usb3="00000000" w:csb0="0004000F" w:csb1="00000000"/>
  </w:font>
  <w:font w:name="微软雅黑">
    <w:panose1 w:val="020B0503020204020204"/>
    <w:charset w:val="86"/>
    <w:family w:val="swiss"/>
    <w:pitch w:val="default"/>
    <w:sig w:usb0="80000287" w:usb1="280F3C52" w:usb2="00000016" w:usb3="00000000" w:csb0="0004001F" w:csb1="00000000"/>
  </w:font>
  <w:font w:name="仿宋_GB2312">
    <w:panose1 w:val="02010609030101010101"/>
    <w:charset w:val="86"/>
    <w:family w:val="modern"/>
    <w:pitch w:val="default"/>
    <w:sig w:usb0="00000001" w:usb1="080E0000" w:usb2="00000000" w:usb3="00000000" w:csb0="00040000" w:csb1="00000000"/>
    <w:embedRegular r:id="rId4" w:fontKey="{2F28EFF9-E287-464A-949F-4437F8F0FD12}"/>
  </w:font>
  <w:font w:name="方正大标宋简体">
    <w:panose1 w:val="02010601030101010101"/>
    <w:charset w:val="86"/>
    <w:family w:val="auto"/>
    <w:pitch w:val="default"/>
    <w:sig w:usb0="00000001" w:usb1="080E0000" w:usb2="00000000" w:usb3="00000000" w:csb0="00040000" w:csb1="00000000"/>
  </w:font>
  <w:font w:name="等线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20354"/>
    </w:sdtPr>
    <w:sdtEndPr>
      <w:rPr>
        <w:rFonts w:ascii="宋体" w:hAnsi="宋体" w:eastAsia="宋体"/>
      </w:rPr>
    </w:sdtEndPr>
    <w:sdtContent>
      <w:p w14:paraId="361F94E2">
        <w:pPr>
          <w:pStyle w:val="13"/>
          <w:jc w:val="center"/>
        </w:pPr>
        <w:r>
          <w:rPr>
            <w:rFonts w:ascii="宋体" w:hAnsi="宋体" w:eastAsia="宋体"/>
          </w:rPr>
          <w:fldChar w:fldCharType="begin"/>
        </w:r>
        <w:r>
          <w:rPr>
            <w:rFonts w:ascii="宋体" w:hAnsi="宋体" w:eastAsia="宋体"/>
          </w:rPr>
          <w:instrText xml:space="preserve"> PAGE   \* MERGEFORMAT </w:instrText>
        </w:r>
        <w:r>
          <w:rPr>
            <w:rFonts w:ascii="宋体" w:hAnsi="宋体" w:eastAsia="宋体"/>
          </w:rPr>
          <w:fldChar w:fldCharType="separate"/>
        </w:r>
        <w:r>
          <w:rPr>
            <w:rFonts w:ascii="宋体" w:hAnsi="宋体" w:eastAsia="宋体"/>
            <w:lang w:val="zh-CN"/>
          </w:rPr>
          <w:t>5</w:t>
        </w:r>
        <w:r>
          <w:rPr>
            <w:rFonts w:ascii="宋体" w:hAnsi="宋体" w:eastAsia="宋体"/>
          </w:rPr>
          <w:fldChar w:fldCharType="end"/>
        </w:r>
      </w:p>
    </w:sdtContent>
  </w:sdt>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8273DAC"/>
    <w:multiLevelType w:val="singleLevel"/>
    <w:tmpl w:val="78273DAC"/>
    <w:lvl w:ilvl="0" w:tentative="0">
      <w:start w:val="2"/>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012B01"/>
    <w:rsid w:val="00012B01"/>
    <w:rsid w:val="00015D64"/>
    <w:rsid w:val="00041F55"/>
    <w:rsid w:val="00043466"/>
    <w:rsid w:val="0004671B"/>
    <w:rsid w:val="00050697"/>
    <w:rsid w:val="000523C2"/>
    <w:rsid w:val="00067BF3"/>
    <w:rsid w:val="000707EC"/>
    <w:rsid w:val="00071C3E"/>
    <w:rsid w:val="000836DB"/>
    <w:rsid w:val="000A1688"/>
    <w:rsid w:val="000A778A"/>
    <w:rsid w:val="000C4671"/>
    <w:rsid w:val="000D39E2"/>
    <w:rsid w:val="000F3089"/>
    <w:rsid w:val="00100C5A"/>
    <w:rsid w:val="001279ED"/>
    <w:rsid w:val="001513B1"/>
    <w:rsid w:val="0015663C"/>
    <w:rsid w:val="001566C1"/>
    <w:rsid w:val="00162216"/>
    <w:rsid w:val="00164C77"/>
    <w:rsid w:val="00165116"/>
    <w:rsid w:val="00170477"/>
    <w:rsid w:val="00181270"/>
    <w:rsid w:val="001832B7"/>
    <w:rsid w:val="001C107A"/>
    <w:rsid w:val="001C2317"/>
    <w:rsid w:val="001E096A"/>
    <w:rsid w:val="001E4719"/>
    <w:rsid w:val="002207B3"/>
    <w:rsid w:val="00220F02"/>
    <w:rsid w:val="0022391A"/>
    <w:rsid w:val="002242E0"/>
    <w:rsid w:val="00226666"/>
    <w:rsid w:val="00242B0D"/>
    <w:rsid w:val="002536D7"/>
    <w:rsid w:val="00255397"/>
    <w:rsid w:val="002562DF"/>
    <w:rsid w:val="00260F97"/>
    <w:rsid w:val="00265F9C"/>
    <w:rsid w:val="002756B7"/>
    <w:rsid w:val="00276FA6"/>
    <w:rsid w:val="00290521"/>
    <w:rsid w:val="002A5F33"/>
    <w:rsid w:val="002C7736"/>
    <w:rsid w:val="002D088F"/>
    <w:rsid w:val="002E4E33"/>
    <w:rsid w:val="002E72A1"/>
    <w:rsid w:val="002F319B"/>
    <w:rsid w:val="00300B0F"/>
    <w:rsid w:val="0031576B"/>
    <w:rsid w:val="00327A1C"/>
    <w:rsid w:val="00340132"/>
    <w:rsid w:val="00357537"/>
    <w:rsid w:val="00361877"/>
    <w:rsid w:val="00366F4B"/>
    <w:rsid w:val="00383561"/>
    <w:rsid w:val="0039118A"/>
    <w:rsid w:val="003A4384"/>
    <w:rsid w:val="003A790E"/>
    <w:rsid w:val="003B3A00"/>
    <w:rsid w:val="003C1061"/>
    <w:rsid w:val="003D1D1E"/>
    <w:rsid w:val="003E45AC"/>
    <w:rsid w:val="003F6146"/>
    <w:rsid w:val="003F6D00"/>
    <w:rsid w:val="00406237"/>
    <w:rsid w:val="00410778"/>
    <w:rsid w:val="00410CBA"/>
    <w:rsid w:val="00416226"/>
    <w:rsid w:val="004172E4"/>
    <w:rsid w:val="00420EC7"/>
    <w:rsid w:val="00430590"/>
    <w:rsid w:val="00447397"/>
    <w:rsid w:val="00454A00"/>
    <w:rsid w:val="00484629"/>
    <w:rsid w:val="004C3998"/>
    <w:rsid w:val="004D0CDD"/>
    <w:rsid w:val="004D6E81"/>
    <w:rsid w:val="004E4103"/>
    <w:rsid w:val="004F51B6"/>
    <w:rsid w:val="00501337"/>
    <w:rsid w:val="00504260"/>
    <w:rsid w:val="00520A54"/>
    <w:rsid w:val="005367A6"/>
    <w:rsid w:val="005728C0"/>
    <w:rsid w:val="00573930"/>
    <w:rsid w:val="005819E4"/>
    <w:rsid w:val="00586AB9"/>
    <w:rsid w:val="005873C2"/>
    <w:rsid w:val="005A72EE"/>
    <w:rsid w:val="005C1707"/>
    <w:rsid w:val="005C52CE"/>
    <w:rsid w:val="005F70AE"/>
    <w:rsid w:val="006059A7"/>
    <w:rsid w:val="00615614"/>
    <w:rsid w:val="00634091"/>
    <w:rsid w:val="00646452"/>
    <w:rsid w:val="00654C2D"/>
    <w:rsid w:val="0066083E"/>
    <w:rsid w:val="00674FC5"/>
    <w:rsid w:val="006869F6"/>
    <w:rsid w:val="006A0BBD"/>
    <w:rsid w:val="006A4BB2"/>
    <w:rsid w:val="006A635F"/>
    <w:rsid w:val="006B3E03"/>
    <w:rsid w:val="006B41E6"/>
    <w:rsid w:val="006C2D79"/>
    <w:rsid w:val="006C33CF"/>
    <w:rsid w:val="006D467B"/>
    <w:rsid w:val="006E2B04"/>
    <w:rsid w:val="0070775C"/>
    <w:rsid w:val="00712D07"/>
    <w:rsid w:val="007263D7"/>
    <w:rsid w:val="0072677C"/>
    <w:rsid w:val="0072696E"/>
    <w:rsid w:val="00730481"/>
    <w:rsid w:val="00731ED1"/>
    <w:rsid w:val="00741265"/>
    <w:rsid w:val="007532D5"/>
    <w:rsid w:val="007608C7"/>
    <w:rsid w:val="007836BD"/>
    <w:rsid w:val="007964CC"/>
    <w:rsid w:val="007C53D6"/>
    <w:rsid w:val="007E2894"/>
    <w:rsid w:val="007F50CE"/>
    <w:rsid w:val="008040C7"/>
    <w:rsid w:val="0080420C"/>
    <w:rsid w:val="00811AC3"/>
    <w:rsid w:val="00815E87"/>
    <w:rsid w:val="00816E5B"/>
    <w:rsid w:val="00823D2B"/>
    <w:rsid w:val="00830B1D"/>
    <w:rsid w:val="00834F53"/>
    <w:rsid w:val="00852B74"/>
    <w:rsid w:val="0085478C"/>
    <w:rsid w:val="00857F72"/>
    <w:rsid w:val="00864925"/>
    <w:rsid w:val="00873E28"/>
    <w:rsid w:val="008959E5"/>
    <w:rsid w:val="00897682"/>
    <w:rsid w:val="008A05AB"/>
    <w:rsid w:val="008A3162"/>
    <w:rsid w:val="008B73C1"/>
    <w:rsid w:val="008D6FD2"/>
    <w:rsid w:val="008E13D9"/>
    <w:rsid w:val="008E42C5"/>
    <w:rsid w:val="00900076"/>
    <w:rsid w:val="009036D2"/>
    <w:rsid w:val="00912E1D"/>
    <w:rsid w:val="00922BB8"/>
    <w:rsid w:val="00933823"/>
    <w:rsid w:val="0094125B"/>
    <w:rsid w:val="00944D0F"/>
    <w:rsid w:val="009520C8"/>
    <w:rsid w:val="00955365"/>
    <w:rsid w:val="009603FB"/>
    <w:rsid w:val="0096161D"/>
    <w:rsid w:val="009642DC"/>
    <w:rsid w:val="00974440"/>
    <w:rsid w:val="0097566F"/>
    <w:rsid w:val="0097753E"/>
    <w:rsid w:val="00983100"/>
    <w:rsid w:val="009A0B18"/>
    <w:rsid w:val="009A2962"/>
    <w:rsid w:val="009A483E"/>
    <w:rsid w:val="009B67D6"/>
    <w:rsid w:val="009B7C90"/>
    <w:rsid w:val="009C7761"/>
    <w:rsid w:val="009D046D"/>
    <w:rsid w:val="009D302B"/>
    <w:rsid w:val="009E6EB1"/>
    <w:rsid w:val="009F7911"/>
    <w:rsid w:val="00A07093"/>
    <w:rsid w:val="00A26202"/>
    <w:rsid w:val="00A433D6"/>
    <w:rsid w:val="00A471B2"/>
    <w:rsid w:val="00A610B0"/>
    <w:rsid w:val="00A641C8"/>
    <w:rsid w:val="00A65F63"/>
    <w:rsid w:val="00A67E77"/>
    <w:rsid w:val="00A74786"/>
    <w:rsid w:val="00A82177"/>
    <w:rsid w:val="00A875A3"/>
    <w:rsid w:val="00A917F3"/>
    <w:rsid w:val="00AA267B"/>
    <w:rsid w:val="00AA46CD"/>
    <w:rsid w:val="00AA762C"/>
    <w:rsid w:val="00AE11C0"/>
    <w:rsid w:val="00AE7056"/>
    <w:rsid w:val="00AF25D1"/>
    <w:rsid w:val="00B006DD"/>
    <w:rsid w:val="00B03D93"/>
    <w:rsid w:val="00B048EB"/>
    <w:rsid w:val="00B10022"/>
    <w:rsid w:val="00B13F64"/>
    <w:rsid w:val="00B36D68"/>
    <w:rsid w:val="00B55253"/>
    <w:rsid w:val="00B57401"/>
    <w:rsid w:val="00B85B1F"/>
    <w:rsid w:val="00BB774B"/>
    <w:rsid w:val="00BC0DC9"/>
    <w:rsid w:val="00BD3113"/>
    <w:rsid w:val="00BD4146"/>
    <w:rsid w:val="00BE17A7"/>
    <w:rsid w:val="00BE2C60"/>
    <w:rsid w:val="00C16527"/>
    <w:rsid w:val="00C23160"/>
    <w:rsid w:val="00C27958"/>
    <w:rsid w:val="00C3266B"/>
    <w:rsid w:val="00C55D05"/>
    <w:rsid w:val="00C625C6"/>
    <w:rsid w:val="00C97557"/>
    <w:rsid w:val="00CA0E24"/>
    <w:rsid w:val="00CA7A57"/>
    <w:rsid w:val="00CC6E10"/>
    <w:rsid w:val="00CD1C26"/>
    <w:rsid w:val="00CF32FD"/>
    <w:rsid w:val="00D0107A"/>
    <w:rsid w:val="00D10A50"/>
    <w:rsid w:val="00D1448D"/>
    <w:rsid w:val="00D2340B"/>
    <w:rsid w:val="00D26879"/>
    <w:rsid w:val="00D407C1"/>
    <w:rsid w:val="00D46D9D"/>
    <w:rsid w:val="00D57317"/>
    <w:rsid w:val="00D60F31"/>
    <w:rsid w:val="00D717D7"/>
    <w:rsid w:val="00D73ACF"/>
    <w:rsid w:val="00D762B0"/>
    <w:rsid w:val="00DA0201"/>
    <w:rsid w:val="00DA0461"/>
    <w:rsid w:val="00DA2CAE"/>
    <w:rsid w:val="00DB3685"/>
    <w:rsid w:val="00DE76D5"/>
    <w:rsid w:val="00DF07D3"/>
    <w:rsid w:val="00DF1028"/>
    <w:rsid w:val="00DF28A3"/>
    <w:rsid w:val="00DF35BD"/>
    <w:rsid w:val="00E15C1C"/>
    <w:rsid w:val="00E16F09"/>
    <w:rsid w:val="00E31D80"/>
    <w:rsid w:val="00E4749B"/>
    <w:rsid w:val="00E47D6F"/>
    <w:rsid w:val="00E829DF"/>
    <w:rsid w:val="00E8496F"/>
    <w:rsid w:val="00EA032E"/>
    <w:rsid w:val="00EC0DFB"/>
    <w:rsid w:val="00EC294B"/>
    <w:rsid w:val="00EC6968"/>
    <w:rsid w:val="00EC6DE3"/>
    <w:rsid w:val="00EE1D4A"/>
    <w:rsid w:val="00EF1C31"/>
    <w:rsid w:val="00EF22F9"/>
    <w:rsid w:val="00EF4BCA"/>
    <w:rsid w:val="00F016E5"/>
    <w:rsid w:val="00F0517E"/>
    <w:rsid w:val="00F52273"/>
    <w:rsid w:val="00F57858"/>
    <w:rsid w:val="00F64EB5"/>
    <w:rsid w:val="00F8078C"/>
    <w:rsid w:val="00F978A5"/>
    <w:rsid w:val="00FA699C"/>
    <w:rsid w:val="00FC2005"/>
    <w:rsid w:val="00FC5A39"/>
    <w:rsid w:val="00FD5631"/>
    <w:rsid w:val="00FE0918"/>
    <w:rsid w:val="01C90EE2"/>
    <w:rsid w:val="041F798D"/>
    <w:rsid w:val="07C36372"/>
    <w:rsid w:val="0C41127C"/>
    <w:rsid w:val="0CF57D56"/>
    <w:rsid w:val="10E31BA0"/>
    <w:rsid w:val="14F67727"/>
    <w:rsid w:val="15097F49"/>
    <w:rsid w:val="16F03A6C"/>
    <w:rsid w:val="1F027FF7"/>
    <w:rsid w:val="27D340A6"/>
    <w:rsid w:val="28786C29"/>
    <w:rsid w:val="3309539F"/>
    <w:rsid w:val="34090622"/>
    <w:rsid w:val="3CB00DE5"/>
    <w:rsid w:val="404311B4"/>
    <w:rsid w:val="42A8720A"/>
    <w:rsid w:val="47763121"/>
    <w:rsid w:val="531E3218"/>
    <w:rsid w:val="5F157ABD"/>
    <w:rsid w:val="60E623E7"/>
    <w:rsid w:val="61373B45"/>
    <w:rsid w:val="6D6C2321"/>
    <w:rsid w:val="6F9850A9"/>
    <w:rsid w:val="6FDF4AFA"/>
    <w:rsid w:val="73445063"/>
    <w:rsid w:val="736A5E0C"/>
    <w:rsid w:val="7AA44A8C"/>
    <w:rsid w:val="7C550A18"/>
    <w:rsid w:val="7FD254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1"/>
    <w:qFormat/>
    <w:uiPriority w:val="9"/>
    <w:pPr>
      <w:keepNext/>
      <w:keepLines/>
      <w:spacing w:before="480" w:after="80"/>
      <w:outlineLvl w:val="0"/>
    </w:pPr>
    <w:rPr>
      <w:rFonts w:asciiTheme="majorHAnsi" w:hAnsiTheme="majorHAnsi" w:eastAsiaTheme="majorEastAsia" w:cstheme="majorBidi"/>
      <w:color w:val="2F5496" w:themeColor="accent1" w:themeShade="BF"/>
      <w:sz w:val="48"/>
      <w:szCs w:val="48"/>
    </w:rPr>
  </w:style>
  <w:style w:type="paragraph" w:styleId="3">
    <w:name w:val="heading 2"/>
    <w:basedOn w:val="1"/>
    <w:next w:val="1"/>
    <w:link w:val="22"/>
    <w:semiHidden/>
    <w:unhideWhenUsed/>
    <w:qFormat/>
    <w:uiPriority w:val="9"/>
    <w:pPr>
      <w:keepNext/>
      <w:keepLines/>
      <w:spacing w:before="160" w:after="80"/>
      <w:outlineLvl w:val="1"/>
    </w:pPr>
    <w:rPr>
      <w:rFonts w:asciiTheme="majorHAnsi" w:hAnsiTheme="majorHAnsi" w:eastAsiaTheme="majorEastAsia" w:cstheme="majorBidi"/>
      <w:color w:val="2F5496" w:themeColor="accent1" w:themeShade="BF"/>
      <w:sz w:val="40"/>
      <w:szCs w:val="40"/>
    </w:rPr>
  </w:style>
  <w:style w:type="paragraph" w:styleId="4">
    <w:name w:val="heading 3"/>
    <w:basedOn w:val="1"/>
    <w:next w:val="1"/>
    <w:link w:val="23"/>
    <w:semiHidden/>
    <w:unhideWhenUsed/>
    <w:qFormat/>
    <w:uiPriority w:val="9"/>
    <w:pPr>
      <w:keepNext/>
      <w:keepLines/>
      <w:spacing w:before="160" w:after="80"/>
      <w:outlineLvl w:val="2"/>
    </w:pPr>
    <w:rPr>
      <w:rFonts w:asciiTheme="majorHAnsi" w:hAnsiTheme="majorHAnsi" w:eastAsiaTheme="majorEastAsia" w:cstheme="majorBidi"/>
      <w:color w:val="2F5496" w:themeColor="accent1" w:themeShade="BF"/>
      <w:sz w:val="32"/>
      <w:szCs w:val="32"/>
    </w:rPr>
  </w:style>
  <w:style w:type="paragraph" w:styleId="5">
    <w:name w:val="heading 4"/>
    <w:basedOn w:val="1"/>
    <w:next w:val="1"/>
    <w:link w:val="24"/>
    <w:semiHidden/>
    <w:unhideWhenUsed/>
    <w:qFormat/>
    <w:uiPriority w:val="9"/>
    <w:pPr>
      <w:keepNext/>
      <w:keepLines/>
      <w:spacing w:before="80" w:after="40"/>
      <w:outlineLvl w:val="3"/>
    </w:pPr>
    <w:rPr>
      <w:rFonts w:cstheme="majorBidi"/>
      <w:color w:val="2F5496" w:themeColor="accent1" w:themeShade="BF"/>
      <w:sz w:val="28"/>
      <w:szCs w:val="28"/>
    </w:rPr>
  </w:style>
  <w:style w:type="paragraph" w:styleId="6">
    <w:name w:val="heading 5"/>
    <w:basedOn w:val="1"/>
    <w:next w:val="1"/>
    <w:link w:val="25"/>
    <w:semiHidden/>
    <w:unhideWhenUsed/>
    <w:qFormat/>
    <w:uiPriority w:val="9"/>
    <w:pPr>
      <w:keepNext/>
      <w:keepLines/>
      <w:spacing w:before="80" w:after="40"/>
      <w:outlineLvl w:val="4"/>
    </w:pPr>
    <w:rPr>
      <w:rFonts w:cstheme="majorBidi"/>
      <w:color w:val="2F5496" w:themeColor="accent1" w:themeShade="BF"/>
      <w:sz w:val="24"/>
      <w:szCs w:val="24"/>
    </w:rPr>
  </w:style>
  <w:style w:type="paragraph" w:styleId="7">
    <w:name w:val="heading 6"/>
    <w:basedOn w:val="1"/>
    <w:next w:val="1"/>
    <w:link w:val="26"/>
    <w:semiHidden/>
    <w:unhideWhenUsed/>
    <w:qFormat/>
    <w:uiPriority w:val="9"/>
    <w:pPr>
      <w:keepNext/>
      <w:keepLines/>
      <w:spacing w:before="40"/>
      <w:outlineLvl w:val="5"/>
    </w:pPr>
    <w:rPr>
      <w:rFonts w:cstheme="majorBidi"/>
      <w:b/>
      <w:bCs/>
      <w:color w:val="2F5496" w:themeColor="accent1" w:themeShade="BF"/>
    </w:rPr>
  </w:style>
  <w:style w:type="paragraph" w:styleId="8">
    <w:name w:val="heading 7"/>
    <w:basedOn w:val="1"/>
    <w:next w:val="1"/>
    <w:link w:val="27"/>
    <w:semiHidden/>
    <w:unhideWhenUsed/>
    <w:qFormat/>
    <w:uiPriority w:val="9"/>
    <w:pPr>
      <w:keepNext/>
      <w:keepLines/>
      <w:spacing w:before="40"/>
      <w:outlineLvl w:val="6"/>
    </w:pPr>
    <w:rPr>
      <w:rFonts w:cstheme="majorBidi"/>
      <w:b/>
      <w:bCs/>
      <w:color w:val="585858" w:themeColor="text1" w:themeTint="A6"/>
    </w:rPr>
  </w:style>
  <w:style w:type="paragraph" w:styleId="9">
    <w:name w:val="heading 8"/>
    <w:basedOn w:val="1"/>
    <w:next w:val="1"/>
    <w:link w:val="28"/>
    <w:semiHidden/>
    <w:unhideWhenUsed/>
    <w:qFormat/>
    <w:uiPriority w:val="9"/>
    <w:pPr>
      <w:keepNext/>
      <w:keepLines/>
      <w:outlineLvl w:val="7"/>
    </w:pPr>
    <w:rPr>
      <w:rFonts w:cstheme="majorBidi"/>
      <w:color w:val="585858" w:themeColor="text1" w:themeTint="A6"/>
    </w:rPr>
  </w:style>
  <w:style w:type="paragraph" w:styleId="10">
    <w:name w:val="heading 9"/>
    <w:basedOn w:val="1"/>
    <w:next w:val="1"/>
    <w:link w:val="29"/>
    <w:semiHidden/>
    <w:unhideWhenUsed/>
    <w:qFormat/>
    <w:uiPriority w:val="9"/>
    <w:pPr>
      <w:keepNext/>
      <w:keepLines/>
      <w:outlineLvl w:val="8"/>
    </w:pPr>
    <w:rPr>
      <w:rFonts w:eastAsiaTheme="majorEastAsia" w:cstheme="majorBidi"/>
      <w:color w:val="585858" w:themeColor="text1" w:themeTint="A6"/>
    </w:rPr>
  </w:style>
  <w:style w:type="character" w:default="1" w:styleId="19">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Body Text"/>
    <w:basedOn w:val="1"/>
    <w:link w:val="40"/>
    <w:semiHidden/>
    <w:unhideWhenUsed/>
    <w:qFormat/>
    <w:uiPriority w:val="99"/>
    <w:pPr>
      <w:spacing w:after="120"/>
    </w:pPr>
  </w:style>
  <w:style w:type="paragraph" w:styleId="12">
    <w:name w:val="Balloon Text"/>
    <w:basedOn w:val="1"/>
    <w:link w:val="45"/>
    <w:semiHidden/>
    <w:unhideWhenUsed/>
    <w:qFormat/>
    <w:uiPriority w:val="99"/>
    <w:rPr>
      <w:sz w:val="18"/>
      <w:szCs w:val="18"/>
    </w:rPr>
  </w:style>
  <w:style w:type="paragraph" w:styleId="13">
    <w:name w:val="footer"/>
    <w:basedOn w:val="1"/>
    <w:link w:val="42"/>
    <w:unhideWhenUsed/>
    <w:qFormat/>
    <w:uiPriority w:val="99"/>
    <w:pPr>
      <w:tabs>
        <w:tab w:val="center" w:pos="4153"/>
        <w:tab w:val="right" w:pos="8306"/>
      </w:tabs>
      <w:snapToGrid w:val="0"/>
      <w:jc w:val="left"/>
    </w:pPr>
    <w:rPr>
      <w:sz w:val="18"/>
      <w:szCs w:val="18"/>
    </w:rPr>
  </w:style>
  <w:style w:type="paragraph" w:styleId="14">
    <w:name w:val="header"/>
    <w:basedOn w:val="1"/>
    <w:link w:val="41"/>
    <w:unhideWhenUsed/>
    <w:qFormat/>
    <w:uiPriority w:val="99"/>
    <w:pPr>
      <w:tabs>
        <w:tab w:val="center" w:pos="4153"/>
        <w:tab w:val="right" w:pos="8306"/>
      </w:tabs>
      <w:snapToGrid w:val="0"/>
      <w:jc w:val="center"/>
    </w:pPr>
    <w:rPr>
      <w:sz w:val="18"/>
      <w:szCs w:val="18"/>
    </w:rPr>
  </w:style>
  <w:style w:type="paragraph" w:styleId="15">
    <w:name w:val="Subtitle"/>
    <w:basedOn w:val="1"/>
    <w:next w:val="1"/>
    <w:link w:val="31"/>
    <w:qFormat/>
    <w:uiPriority w:val="11"/>
    <w:pPr>
      <w:spacing w:after="160"/>
      <w:jc w:val="center"/>
    </w:pPr>
    <w:rPr>
      <w:rFonts w:asciiTheme="majorHAnsi" w:hAnsiTheme="majorHAnsi" w:eastAsiaTheme="majorEastAsia" w:cstheme="majorBidi"/>
      <w:color w:val="585858" w:themeColor="text1" w:themeTint="A6"/>
      <w:spacing w:val="15"/>
      <w:sz w:val="28"/>
      <w:szCs w:val="28"/>
    </w:rPr>
  </w:style>
  <w:style w:type="paragraph" w:styleId="16">
    <w:name w:val="Normal (Web)"/>
    <w:basedOn w:val="1"/>
    <w:autoRedefine/>
    <w:qFormat/>
    <w:uiPriority w:val="99"/>
    <w:pPr>
      <w:widowControl/>
      <w:spacing w:before="100" w:beforeAutospacing="1" w:after="100" w:afterAutospacing="1"/>
      <w:jc w:val="left"/>
    </w:pPr>
    <w:rPr>
      <w:rFonts w:ascii="宋体" w:hAnsi="宋体" w:eastAsia="宋体" w:cs="宋体"/>
      <w:kern w:val="0"/>
      <w:sz w:val="24"/>
      <w:szCs w:val="24"/>
    </w:rPr>
  </w:style>
  <w:style w:type="paragraph" w:styleId="17">
    <w:name w:val="Title"/>
    <w:basedOn w:val="1"/>
    <w:next w:val="1"/>
    <w:link w:val="30"/>
    <w:qFormat/>
    <w:uiPriority w:val="10"/>
    <w:pPr>
      <w:spacing w:after="80"/>
      <w:contextualSpacing/>
      <w:jc w:val="center"/>
    </w:pPr>
    <w:rPr>
      <w:rFonts w:asciiTheme="majorHAnsi" w:hAnsiTheme="majorHAnsi" w:eastAsiaTheme="majorEastAsia" w:cstheme="majorBidi"/>
      <w:spacing w:val="-10"/>
      <w:kern w:val="28"/>
      <w:sz w:val="56"/>
      <w:szCs w:val="56"/>
    </w:rPr>
  </w:style>
  <w:style w:type="character" w:styleId="20">
    <w:name w:val="Strong"/>
    <w:basedOn w:val="19"/>
    <w:qFormat/>
    <w:uiPriority w:val="22"/>
    <w:rPr>
      <w:b/>
      <w:bCs/>
    </w:rPr>
  </w:style>
  <w:style w:type="character" w:customStyle="1" w:styleId="21">
    <w:name w:val="标题 1 Char"/>
    <w:basedOn w:val="19"/>
    <w:link w:val="2"/>
    <w:qFormat/>
    <w:uiPriority w:val="9"/>
    <w:rPr>
      <w:rFonts w:asciiTheme="majorHAnsi" w:hAnsiTheme="majorHAnsi" w:eastAsiaTheme="majorEastAsia" w:cstheme="majorBidi"/>
      <w:color w:val="2F5496" w:themeColor="accent1" w:themeShade="BF"/>
      <w:sz w:val="48"/>
      <w:szCs w:val="48"/>
    </w:rPr>
  </w:style>
  <w:style w:type="character" w:customStyle="1" w:styleId="22">
    <w:name w:val="标题 2 Char"/>
    <w:basedOn w:val="19"/>
    <w:link w:val="3"/>
    <w:semiHidden/>
    <w:qFormat/>
    <w:uiPriority w:val="9"/>
    <w:rPr>
      <w:rFonts w:asciiTheme="majorHAnsi" w:hAnsiTheme="majorHAnsi" w:eastAsiaTheme="majorEastAsia" w:cstheme="majorBidi"/>
      <w:color w:val="2F5496" w:themeColor="accent1" w:themeShade="BF"/>
      <w:sz w:val="40"/>
      <w:szCs w:val="40"/>
    </w:rPr>
  </w:style>
  <w:style w:type="character" w:customStyle="1" w:styleId="23">
    <w:name w:val="标题 3 Char"/>
    <w:basedOn w:val="19"/>
    <w:link w:val="4"/>
    <w:semiHidden/>
    <w:qFormat/>
    <w:uiPriority w:val="9"/>
    <w:rPr>
      <w:rFonts w:asciiTheme="majorHAnsi" w:hAnsiTheme="majorHAnsi" w:eastAsiaTheme="majorEastAsia" w:cstheme="majorBidi"/>
      <w:color w:val="2F5496" w:themeColor="accent1" w:themeShade="BF"/>
      <w:sz w:val="32"/>
      <w:szCs w:val="32"/>
    </w:rPr>
  </w:style>
  <w:style w:type="character" w:customStyle="1" w:styleId="24">
    <w:name w:val="标题 4 Char"/>
    <w:basedOn w:val="19"/>
    <w:link w:val="5"/>
    <w:semiHidden/>
    <w:qFormat/>
    <w:uiPriority w:val="9"/>
    <w:rPr>
      <w:rFonts w:cstheme="majorBidi"/>
      <w:color w:val="2F5496" w:themeColor="accent1" w:themeShade="BF"/>
      <w:sz w:val="28"/>
      <w:szCs w:val="28"/>
    </w:rPr>
  </w:style>
  <w:style w:type="character" w:customStyle="1" w:styleId="25">
    <w:name w:val="标题 5 Char"/>
    <w:basedOn w:val="19"/>
    <w:link w:val="6"/>
    <w:semiHidden/>
    <w:qFormat/>
    <w:uiPriority w:val="9"/>
    <w:rPr>
      <w:rFonts w:cstheme="majorBidi"/>
      <w:color w:val="2F5496" w:themeColor="accent1" w:themeShade="BF"/>
      <w:sz w:val="24"/>
      <w:szCs w:val="24"/>
    </w:rPr>
  </w:style>
  <w:style w:type="character" w:customStyle="1" w:styleId="26">
    <w:name w:val="标题 6 Char"/>
    <w:basedOn w:val="19"/>
    <w:link w:val="7"/>
    <w:semiHidden/>
    <w:qFormat/>
    <w:uiPriority w:val="9"/>
    <w:rPr>
      <w:rFonts w:cstheme="majorBidi"/>
      <w:b/>
      <w:bCs/>
      <w:color w:val="2F5496" w:themeColor="accent1" w:themeShade="BF"/>
    </w:rPr>
  </w:style>
  <w:style w:type="character" w:customStyle="1" w:styleId="27">
    <w:name w:val="标题 7 Char"/>
    <w:basedOn w:val="19"/>
    <w:link w:val="8"/>
    <w:semiHidden/>
    <w:qFormat/>
    <w:uiPriority w:val="9"/>
    <w:rPr>
      <w:rFonts w:cstheme="majorBidi"/>
      <w:b/>
      <w:bCs/>
      <w:color w:val="585858" w:themeColor="text1" w:themeTint="A6"/>
    </w:rPr>
  </w:style>
  <w:style w:type="character" w:customStyle="1" w:styleId="28">
    <w:name w:val="标题 8 Char"/>
    <w:basedOn w:val="19"/>
    <w:link w:val="9"/>
    <w:semiHidden/>
    <w:qFormat/>
    <w:uiPriority w:val="9"/>
    <w:rPr>
      <w:rFonts w:cstheme="majorBidi"/>
      <w:color w:val="585858" w:themeColor="text1" w:themeTint="A6"/>
    </w:rPr>
  </w:style>
  <w:style w:type="character" w:customStyle="1" w:styleId="29">
    <w:name w:val="标题 9 Char"/>
    <w:basedOn w:val="19"/>
    <w:link w:val="10"/>
    <w:semiHidden/>
    <w:qFormat/>
    <w:uiPriority w:val="9"/>
    <w:rPr>
      <w:rFonts w:eastAsiaTheme="majorEastAsia" w:cstheme="majorBidi"/>
      <w:color w:val="585858" w:themeColor="text1" w:themeTint="A6"/>
    </w:rPr>
  </w:style>
  <w:style w:type="character" w:customStyle="1" w:styleId="30">
    <w:name w:val="标题 Char"/>
    <w:basedOn w:val="19"/>
    <w:link w:val="17"/>
    <w:qFormat/>
    <w:uiPriority w:val="10"/>
    <w:rPr>
      <w:rFonts w:asciiTheme="majorHAnsi" w:hAnsiTheme="majorHAnsi" w:eastAsiaTheme="majorEastAsia" w:cstheme="majorBidi"/>
      <w:spacing w:val="-10"/>
      <w:kern w:val="28"/>
      <w:sz w:val="56"/>
      <w:szCs w:val="56"/>
    </w:rPr>
  </w:style>
  <w:style w:type="character" w:customStyle="1" w:styleId="31">
    <w:name w:val="副标题 Char"/>
    <w:basedOn w:val="19"/>
    <w:link w:val="15"/>
    <w:qFormat/>
    <w:uiPriority w:val="11"/>
    <w:rPr>
      <w:rFonts w:asciiTheme="majorHAnsi" w:hAnsiTheme="majorHAnsi" w:eastAsiaTheme="majorEastAsia" w:cstheme="majorBidi"/>
      <w:color w:val="585858" w:themeColor="text1" w:themeTint="A6"/>
      <w:spacing w:val="15"/>
      <w:sz w:val="28"/>
      <w:szCs w:val="28"/>
    </w:rPr>
  </w:style>
  <w:style w:type="paragraph" w:styleId="32">
    <w:name w:val="Quote"/>
    <w:basedOn w:val="1"/>
    <w:next w:val="1"/>
    <w:link w:val="33"/>
    <w:qFormat/>
    <w:uiPriority w:val="29"/>
    <w:pPr>
      <w:spacing w:before="160" w:after="160"/>
      <w:jc w:val="center"/>
    </w:pPr>
    <w:rPr>
      <w:i/>
      <w:iCs/>
      <w:color w:val="3F3F3F" w:themeColor="text1" w:themeTint="BF"/>
    </w:rPr>
  </w:style>
  <w:style w:type="character" w:customStyle="1" w:styleId="33">
    <w:name w:val="引用 Char"/>
    <w:basedOn w:val="19"/>
    <w:link w:val="32"/>
    <w:qFormat/>
    <w:uiPriority w:val="29"/>
    <w:rPr>
      <w:i/>
      <w:iCs/>
      <w:color w:val="3F3F3F" w:themeColor="text1" w:themeTint="BF"/>
    </w:rPr>
  </w:style>
  <w:style w:type="paragraph" w:styleId="34">
    <w:name w:val="List Paragraph"/>
    <w:basedOn w:val="1"/>
    <w:qFormat/>
    <w:uiPriority w:val="34"/>
    <w:pPr>
      <w:ind w:left="720"/>
      <w:contextualSpacing/>
    </w:pPr>
  </w:style>
  <w:style w:type="character" w:customStyle="1" w:styleId="35">
    <w:name w:val="明显强调1"/>
    <w:basedOn w:val="19"/>
    <w:qFormat/>
    <w:uiPriority w:val="21"/>
    <w:rPr>
      <w:i/>
      <w:iCs/>
      <w:color w:val="2F5496" w:themeColor="accent1" w:themeShade="BF"/>
    </w:rPr>
  </w:style>
  <w:style w:type="paragraph" w:styleId="36">
    <w:name w:val="Intense Quote"/>
    <w:basedOn w:val="1"/>
    <w:next w:val="1"/>
    <w:link w:val="37"/>
    <w:qFormat/>
    <w:uiPriority w:val="30"/>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customStyle="1" w:styleId="37">
    <w:name w:val="明显引用 Char"/>
    <w:basedOn w:val="19"/>
    <w:link w:val="36"/>
    <w:qFormat/>
    <w:uiPriority w:val="30"/>
    <w:rPr>
      <w:i/>
      <w:iCs/>
      <w:color w:val="2F5496" w:themeColor="accent1" w:themeShade="BF"/>
    </w:rPr>
  </w:style>
  <w:style w:type="character" w:customStyle="1" w:styleId="38">
    <w:name w:val="明显参考1"/>
    <w:basedOn w:val="19"/>
    <w:qFormat/>
    <w:uiPriority w:val="32"/>
    <w:rPr>
      <w:b/>
      <w:bCs/>
      <w:smallCaps/>
      <w:color w:val="2F5496" w:themeColor="accent1" w:themeShade="BF"/>
      <w:spacing w:val="5"/>
    </w:rPr>
  </w:style>
  <w:style w:type="paragraph" w:customStyle="1" w:styleId="39">
    <w:name w:val="段"/>
    <w:autoRedefine/>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40">
    <w:name w:val="正文文本 Char"/>
    <w:basedOn w:val="19"/>
    <w:link w:val="11"/>
    <w:semiHidden/>
    <w:qFormat/>
    <w:uiPriority w:val="99"/>
  </w:style>
  <w:style w:type="character" w:customStyle="1" w:styleId="41">
    <w:name w:val="页眉 Char"/>
    <w:basedOn w:val="19"/>
    <w:link w:val="14"/>
    <w:qFormat/>
    <w:uiPriority w:val="99"/>
    <w:rPr>
      <w:sz w:val="18"/>
      <w:szCs w:val="18"/>
    </w:rPr>
  </w:style>
  <w:style w:type="character" w:customStyle="1" w:styleId="42">
    <w:name w:val="页脚 Char"/>
    <w:basedOn w:val="19"/>
    <w:link w:val="13"/>
    <w:qFormat/>
    <w:uiPriority w:val="99"/>
    <w:rPr>
      <w:sz w:val="18"/>
      <w:szCs w:val="18"/>
    </w:rPr>
  </w:style>
  <w:style w:type="paragraph" w:customStyle="1" w:styleId="43">
    <w:name w:val="Table Text"/>
    <w:basedOn w:val="1"/>
    <w:semiHidden/>
    <w:qFormat/>
    <w:uiPriority w:val="0"/>
    <w:rPr>
      <w:rFonts w:ascii="微软雅黑" w:hAnsi="微软雅黑" w:eastAsia="微软雅黑" w:cs="微软雅黑"/>
      <w:sz w:val="16"/>
      <w:szCs w:val="16"/>
      <w:lang w:eastAsia="en-US"/>
    </w:rPr>
  </w:style>
  <w:style w:type="table" w:customStyle="1" w:styleId="44">
    <w:name w:val="Table Normal"/>
    <w:semiHidden/>
    <w:unhideWhenUsed/>
    <w:qFormat/>
    <w:uiPriority w:val="0"/>
    <w:tblPr>
      <w:tblCellMar>
        <w:top w:w="0" w:type="dxa"/>
        <w:left w:w="0" w:type="dxa"/>
        <w:bottom w:w="0" w:type="dxa"/>
        <w:right w:w="0" w:type="dxa"/>
      </w:tblCellMar>
    </w:tblPr>
  </w:style>
  <w:style w:type="character" w:customStyle="1" w:styleId="45">
    <w:name w:val="批注框文本 Char"/>
    <w:basedOn w:val="19"/>
    <w:link w:val="12"/>
    <w:semiHidden/>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微软公司</Company>
  <Pages>18</Pages>
  <Words>11567</Words>
  <Characters>12860</Characters>
  <Lines>102</Lines>
  <Paragraphs>28</Paragraphs>
  <TotalTime>0</TotalTime>
  <ScaleCrop>false</ScaleCrop>
  <LinksUpToDate>false</LinksUpToDate>
  <CharactersWithSpaces>13073</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2025-02-06T07:22:00Z</dcterms:created>
  <dc:creator>科达 陈</dc:creator>
  <cp:lastModifiedBy>月夜</cp:lastModifiedBy>
  <dcterms:modified xsi:type="dcterms:W3CDTF">2025-05-22T02:53:35Z</dcterms:modified>
  <cp:revision>162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eyJoZGlkIjoiNjY5YzAyOTIwNTMyNGE5YjQ5NDJhN2I0N2ZiMWFmOTciLCJ1c2VySWQiOiIzMzgxNDExNDcifQ==</vt:lpwstr>
  </property>
  <property fmtid="{D5CDD505-2E9C-101B-9397-08002B2CF9AE}" pid="3" name="KSOProductBuildVer">
    <vt:lpwstr>2052-12.1.0.21171</vt:lpwstr>
  </property>
  <property fmtid="{D5CDD505-2E9C-101B-9397-08002B2CF9AE}" pid="4" name="ICV">
    <vt:lpwstr>359B8DEE73924C8A888257ACD25FE229_12</vt:lpwstr>
  </property>
</Properties>
</file>