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ind w:firstLine="0"/>
        <w:rPr>
          <w:rFonts w:hint="eastAsia" w:ascii="黑体" w:hAnsi="黑体" w:eastAsia="黑体" w:cs="黑体"/>
          <w:sz w:val="32"/>
          <w:szCs w:val="32"/>
        </w:rPr>
      </w:pPr>
      <w:bookmarkStart w:id="0" w:name="_GoBack"/>
      <w:bookmarkEnd w:id="0"/>
      <w:r>
        <w:rPr>
          <w:rFonts w:hint="eastAsia" w:ascii="黑体" w:hAnsi="黑体" w:eastAsia="黑体" w:cs="黑体"/>
          <w:sz w:val="32"/>
          <w:szCs w:val="32"/>
        </w:rPr>
        <w:t>附件</w:t>
      </w:r>
    </w:p>
    <w:p>
      <w:pPr>
        <w:pStyle w:val="2"/>
        <w:spacing w:before="0" w:after="0" w:line="580" w:lineRule="exact"/>
        <w:rPr>
          <w:rFonts w:hint="eastAsia" w:ascii="宋体" w:hAnsi="宋体" w:eastAsia="宋体" w:cs="宋体"/>
          <w:b w:val="0"/>
          <w:bCs w:val="0"/>
        </w:rPr>
      </w:pPr>
    </w:p>
    <w:p>
      <w:pPr>
        <w:spacing w:line="58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2026年博鳌乐城真实世界研究及医疗科技</w:t>
      </w:r>
    </w:p>
    <w:p>
      <w:pPr>
        <w:spacing w:line="58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创新联合项目申报指南</w:t>
      </w:r>
    </w:p>
    <w:p>
      <w:pPr>
        <w:spacing w:line="580" w:lineRule="exact"/>
        <w:ind w:firstLine="640" w:firstLineChars="200"/>
        <w:rPr>
          <w:sz w:val="32"/>
          <w:szCs w:val="32"/>
        </w:rPr>
      </w:pPr>
    </w:p>
    <w:p>
      <w:pPr>
        <w:spacing w:line="580" w:lineRule="exact"/>
        <w:ind w:firstLine="640" w:firstLineChars="200"/>
        <w:rPr>
          <w:rFonts w:hint="eastAsia" w:ascii="仿宋_GB2312" w:hAnsi="仿宋_GB2312" w:eastAsia="仿宋_GB2312" w:cs="仿宋_GB2312"/>
          <w:sz w:val="32"/>
          <w:szCs w:val="32"/>
          <w:lang w:bidi="zh-CN"/>
        </w:rPr>
      </w:pPr>
      <w:r>
        <w:rPr>
          <w:rFonts w:hint="eastAsia" w:ascii="仿宋_GB2312" w:hAnsi="仿宋_GB2312" w:eastAsia="仿宋_GB2312" w:cs="仿宋_GB2312"/>
          <w:sz w:val="32"/>
          <w:szCs w:val="32"/>
          <w:lang w:bidi="zh-CN"/>
        </w:rPr>
        <w:t>2026年博鳌乐城真实世界研究及医疗科技创新联合项目（以下简称“乐城联合项目”），主要聚焦乐城先行区真实世界研究领域新方法、新标准、新工具的研究及其他医疗科技创新研究，推动医疗技术创新和成果转化应用，助力乐城先行区进一步提升科研能力和水平，打造全球创新医疗科技成果策源地和产业乐土，促进海南自贸港生物医药产业和大健康产业发展。</w:t>
      </w:r>
      <w:r>
        <w:rPr>
          <w:rFonts w:hint="eastAsia" w:ascii="仿宋_GB2312" w:hAnsi="仿宋_GB2312" w:eastAsia="仿宋_GB2312" w:cs="仿宋_GB2312"/>
          <w:sz w:val="32"/>
          <w:szCs w:val="32"/>
        </w:rPr>
        <w:t>乐城联合项目属于海南省重点研发专项项目，按照</w:t>
      </w:r>
      <w:r>
        <w:rPr>
          <w:rFonts w:hint="eastAsia" w:ascii="仿宋_GB2312" w:hAnsi="仿宋_GB2312" w:eastAsia="仿宋_GB2312" w:cs="仿宋_GB2312"/>
          <w:sz w:val="32"/>
          <w:szCs w:val="32"/>
          <w:lang w:bidi="zh-CN"/>
        </w:rPr>
        <w:t>相关规定组织实施。</w:t>
      </w:r>
    </w:p>
    <w:p>
      <w:pPr>
        <w:spacing w:line="580" w:lineRule="exact"/>
        <w:ind w:firstLine="640" w:firstLineChars="200"/>
        <w:rPr>
          <w:rFonts w:hint="eastAsia" w:ascii="黑体" w:hAnsi="黑体" w:eastAsia="黑体" w:cs="黑体"/>
          <w:sz w:val="32"/>
          <w:szCs w:val="32"/>
          <w:lang w:bidi="zh-CN"/>
        </w:rPr>
      </w:pPr>
      <w:r>
        <w:rPr>
          <w:rFonts w:hint="eastAsia" w:ascii="黑体" w:hAnsi="黑体" w:eastAsia="黑体" w:cs="黑体"/>
          <w:sz w:val="32"/>
          <w:szCs w:val="32"/>
          <w:lang w:bidi="zh-CN"/>
        </w:rPr>
        <w:t>一、申报要求</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项目申报单位应具有独立法人资格，且为海南省行政区域内注册的企事业单位、科技类民办非企业单位、中央在琼单位或省外高校科研院所在琼分支机构，企业需注册一年以上（至项目申报截止时间）。科技类民办非企业单位在本项目申报过程中享受与科研事业单位同等待遇。项目不受理个人申报。国</w:t>
      </w:r>
      <w:r>
        <w:rPr>
          <w:rFonts w:hint="default" w:ascii="仿宋_GB2312" w:hAnsi="仿宋_GB2312" w:eastAsia="仿宋_GB2312" w:cs="仿宋_GB2312"/>
          <w:sz w:val="32"/>
          <w:szCs w:val="32"/>
        </w:rPr>
        <w:t>家</w:t>
      </w:r>
      <w:r>
        <w:rPr>
          <w:rFonts w:hint="eastAsia" w:ascii="仿宋_GB2312" w:hAnsi="仿宋_GB2312" w:eastAsia="仿宋_GB2312" w:cs="仿宋_GB2312"/>
          <w:sz w:val="32"/>
          <w:szCs w:val="32"/>
        </w:rPr>
        <w:t>卫生</w:t>
      </w:r>
      <w:r>
        <w:rPr>
          <w:rFonts w:hint="default" w:ascii="仿宋_GB2312" w:hAnsi="仿宋_GB2312" w:eastAsia="仿宋_GB2312" w:cs="仿宋_GB2312"/>
          <w:sz w:val="32"/>
          <w:szCs w:val="32"/>
        </w:rPr>
        <w:t>健康</w:t>
      </w:r>
      <w:r>
        <w:rPr>
          <w:rFonts w:hint="eastAsia" w:ascii="仿宋_GB2312" w:hAnsi="仿宋_GB2312" w:eastAsia="仿宋_GB2312" w:cs="仿宋_GB2312"/>
          <w:sz w:val="32"/>
          <w:szCs w:val="32"/>
        </w:rPr>
        <w:t>管理部门、医疗保障部门或药品监督管理部门的技术机构可以与乐城先行区内真实世界研究机构共同作为申报单位。</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（二）项目申报单位运行管理规范，具有与项目实施相匹配的基础条件，财务状况良好，有研发经费投入，具有完成项目所必备的人才和技术装备等条件。</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（三）鼓励</w:t>
      </w:r>
      <w:r>
        <w:rPr>
          <w:rFonts w:hint="eastAsia" w:ascii="仿宋_GB2312" w:hAnsi="仿宋_GB2312" w:eastAsia="仿宋_GB2312" w:cs="仿宋_GB2312"/>
          <w:sz w:val="32"/>
          <w:szCs w:val="32"/>
          <w:lang w:bidi="ar"/>
        </w:rPr>
        <w:t>企业牵头或产学研联合申报</w:t>
      </w:r>
      <w:r>
        <w:rPr>
          <w:rFonts w:hint="eastAsia" w:ascii="仿宋_GB2312" w:hAnsi="仿宋_GB2312" w:eastAsia="仿宋_GB2312" w:cs="仿宋_GB2312"/>
          <w:sz w:val="32"/>
          <w:szCs w:val="32"/>
        </w:rPr>
        <w:t>，联合申报单位不超过4家（含牵头单位）且至少有1家为乐城先行区内有关单位。联合申报的项目应提交盖有合作单位公章的项目合作协议。合作协议应明确各方的职责、研究内容、成果提交的时限、经费的来源及分配方式等内容，并经法人单位盖章。</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（四）项目研发、产业化示范或应用应主要在海南省内，优先支持在乐城先行区内开展研究与应用的项目。</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（五）项目组成员、承担单位和参与单位具有良好的信誉，无科研诚信不良记录。</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项目负责人为在职人员，在相关技术领域具有较高的学术水平，熟悉本领域国内外技术和市场动态及发展趋势，具有完成项目所需的组织管理和协调能力。项目负责人非牵头单位全职人员的，需由牵头单位提供聘用有效材料。</w:t>
      </w:r>
    </w:p>
    <w:p>
      <w:pPr>
        <w:pBdr>
          <w:top w:val="none" w:color="000000" w:sz="0" w:space="0"/>
          <w:left w:val="none" w:color="000000" w:sz="0" w:space="0"/>
          <w:bottom w:val="none" w:color="000000" w:sz="0" w:space="0"/>
          <w:right w:val="none" w:color="000000" w:sz="0" w:space="0"/>
        </w:pBdr>
        <w:spacing w:line="58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（七）项目限项要求</w:t>
      </w:r>
      <w:r>
        <w:rPr>
          <w:rFonts w:hint="eastAsia" w:ascii="仿宋_GB2312" w:hAnsi="仿宋_GB2312" w:eastAsia="仿宋_GB2312" w:cs="仿宋_GB2312"/>
          <w:sz w:val="32"/>
          <w:szCs w:val="32"/>
          <w:lang w:eastAsia="zh-CN"/>
        </w:rPr>
        <w:t>：</w:t>
      </w:r>
    </w:p>
    <w:p>
      <w:pPr>
        <w:pBdr>
          <w:top w:val="none" w:color="000000" w:sz="0" w:space="0"/>
          <w:left w:val="none" w:color="000000" w:sz="0" w:space="0"/>
          <w:bottom w:val="none" w:color="000000" w:sz="0" w:space="0"/>
          <w:right w:val="none" w:color="000000" w:sz="0" w:space="0"/>
        </w:pBd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作为项目负责人，同一年度可申报省级科技专项研发类项目数量与在研省级科技专项研发类项目数量之和不得超过2项；同一年度申报某类别省级科技专项研发类项目不得超过1项；项目负责人同一年度立项不超过2项。</w:t>
      </w:r>
    </w:p>
    <w:p>
      <w:pPr>
        <w:pBdr>
          <w:top w:val="none" w:color="000000" w:sz="0" w:space="0"/>
          <w:left w:val="none" w:color="000000" w:sz="0" w:space="0"/>
          <w:bottom w:val="none" w:color="000000" w:sz="0" w:space="0"/>
          <w:right w:val="none" w:color="000000" w:sz="0" w:space="0"/>
        </w:pBd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项目执行期（包括延期后执行期）结束的项目，项目负责人在海南省科技业务综合管理信息系统已成功提交绩效验收评价申请材料，且通过单位审核，在当期申报阶段，可视为非在研项目；在后续立项评审过程中，该项目绩效评价验收结果为“不通过”的，停止项目立项流程。</w:t>
      </w:r>
    </w:p>
    <w:p>
      <w:pPr>
        <w:pBdr>
          <w:top w:val="none" w:color="000000" w:sz="0" w:space="0"/>
          <w:left w:val="none" w:color="000000" w:sz="0" w:space="0"/>
          <w:bottom w:val="none" w:color="000000" w:sz="0" w:space="0"/>
          <w:right w:val="none" w:color="000000" w:sz="0" w:space="0"/>
        </w:pBd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3.绩效评价验收结果为“不通过”的项目，取消项目承担单位（专指企业承担单位）或负责人申报资格时间从发文之日起算。</w:t>
      </w:r>
    </w:p>
    <w:p>
      <w:pPr>
        <w:pBdr>
          <w:top w:val="none" w:color="000000" w:sz="0" w:space="0"/>
          <w:left w:val="none" w:color="000000" w:sz="0" w:space="0"/>
          <w:bottom w:val="none" w:color="000000" w:sz="0" w:space="0"/>
          <w:right w:val="none" w:color="000000" w:sz="0" w:space="0"/>
        </w:pBd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4.项目研究内容重复率20%以上视为雷同项目，不予立项。</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项目申报单位原则上按不低于财政资助金额（项目资助金额包括省财政资金及园区配套资金）的1：1进行配套。项目牵头单位统筹各单位资金配套比例，在保障项目顺利开展的情况下，由项目承担单位统筹安排项目配套资金用于项目支出。申报书中申请项目经费按1:1分别填入省财政资金栏目与其他财政配套资金（如市县政府、园区等配套资金）栏目。例如申请50万元项目经费，省财政资金栏目填写25万元，其他财政配套资金栏目（乐城配套资金）填写25万元，项目单位自筹资金不低于50万元。</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对于项目承担单位的配套资金，不得使用货币资金之外的资产作为配套资金来源。非公益一类事业单位（如企业单位、二类事业单位等）用于项目组成员的人力成本可计为配套资金。在项目执行期内（含追溯期），项目承担单位横向科研项目经费，可作为研发专项的配套资金。鼓励项目承担单位先行投入项目研发，从立项之日起追溯期最长不超过6个月。</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项目承担单位应当全面落实科研财务助理制度，确保每个项目配有相对固定的科研财务助理，为科研人员在预算编制、经费报销等方面提供专业化服务。科研财务助理所需人力成本费用（含社会保险补助、住房公积金），可在项目直接经费中的“劳务费”中列支。</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（十一）项目预算经费应纳入单位财务统一管理，对省财政资金和项目承担单位其他来源资金分别单独核算，确保专款专用。</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（十二）获批立项联合项目的项目承担单位，研发投入按海南省R&amp;D统计要求纳入填报，应统尽统。</w:t>
      </w:r>
    </w:p>
    <w:p>
      <w:pPr>
        <w:spacing w:line="58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（十三）涉及使用乐城真实世界数据的项目，均需使用海南省临床真实世界数据研究平台建库并进行数据治理。</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四）项目须遵循生物安全及伦理相关法规。相关单位应开展伦理审查，对科研活动加强审查和监管；科研人员应自觉接受伦理审查和监管。涉及人的生命医学研究应执行《涉及人的生命科学和医学研究伦理审查办法》等规定，通过科学性及伦理审查，</w:t>
      </w:r>
      <w:r>
        <w:rPr>
          <w:rFonts w:ascii="仿宋_GB2312" w:hAnsi="仿宋_GB2312" w:eastAsia="仿宋_GB2312" w:cs="仿宋_GB2312"/>
          <w:sz w:val="32"/>
          <w:szCs w:val="32"/>
        </w:rPr>
        <w:t>获得伦理审查批件，并于立项后完成医学研究登记备案信息系统登记备案方可启动。</w:t>
      </w:r>
      <w:r>
        <w:rPr>
          <w:rFonts w:hint="eastAsia" w:ascii="仿宋_GB2312" w:hAnsi="仿宋_GB2312" w:eastAsia="仿宋_GB2312" w:cs="仿宋_GB2312"/>
          <w:sz w:val="32"/>
          <w:szCs w:val="32"/>
        </w:rPr>
        <w:t>涉及人类遗传资源的研究应执行《中华人民共和国人类遗传资源管理条例》等法规。涉及生物技术的研究应遵守《生物技术研究开发安全管理办法》等规章。涉及病原微生物的研究须遵守《病原微生物实验室安全管理条例》等法规，</w:t>
      </w:r>
      <w:r>
        <w:rPr>
          <w:rFonts w:ascii="仿宋_GB2312" w:hAnsi="仿宋_GB2312" w:eastAsia="仿宋_GB2312" w:cs="仿宋_GB2312"/>
          <w:sz w:val="32"/>
          <w:szCs w:val="32"/>
        </w:rPr>
        <w:t>提供相应生物安全实验室备案证明</w:t>
      </w:r>
      <w:r>
        <w:rPr>
          <w:rFonts w:hint="eastAsia" w:ascii="仿宋_GB2312" w:hAnsi="仿宋_GB2312" w:eastAsia="仿宋_GB2312" w:cs="仿宋_GB2312"/>
          <w:sz w:val="32"/>
          <w:szCs w:val="32"/>
        </w:rPr>
        <w:t>。涉及实验动物和动物实验的，应遵守国家实验动物管理的法律、法规、技术标准及有关规定，使用合格实验动物，在合格设施内进行动物实验，保证实验过程合法，实验结果真实、有效。涉及动物福利的项目或课题需完成动物伦理审查并获得伦理批件。</w:t>
      </w:r>
    </w:p>
    <w:p>
      <w:pPr>
        <w:spacing w:line="580" w:lineRule="exact"/>
        <w:ind w:firstLine="640" w:firstLineChars="200"/>
        <w:rPr>
          <w:rFonts w:hint="eastAsia" w:ascii="黑体" w:hAnsi="黑体" w:eastAsia="黑体" w:cs="黑体"/>
          <w:sz w:val="32"/>
          <w:szCs w:val="32"/>
          <w:lang w:bidi="zh-CN"/>
        </w:rPr>
      </w:pPr>
      <w:r>
        <w:rPr>
          <w:rFonts w:hint="eastAsia" w:ascii="黑体" w:hAnsi="黑体" w:eastAsia="黑体" w:cs="黑体"/>
          <w:sz w:val="32"/>
          <w:szCs w:val="32"/>
          <w:lang w:bidi="zh-CN"/>
        </w:rPr>
        <w:t>二、征集与推荐</w:t>
      </w:r>
    </w:p>
    <w:p>
      <w:pPr>
        <w:autoSpaceDN w:val="0"/>
        <w:adjustRightInd w:val="0"/>
        <w:snapToGrid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乐城联合项目采取公开集中申报的方式，由乐城管理局推荐。乐城管理局对申报项目进行把关，依据实际情况对项目</w:t>
      </w:r>
      <w:r>
        <w:rPr>
          <w:rFonts w:hint="eastAsia" w:ascii="仿宋_GB2312" w:hAnsi="仿宋_GB2312" w:eastAsia="仿宋_GB2312" w:cs="仿宋_GB2312"/>
          <w:sz w:val="32"/>
          <w:szCs w:val="32"/>
          <w:lang w:eastAsia="zh-CN"/>
        </w:rPr>
        <w:t>进行</w:t>
      </w:r>
      <w:r>
        <w:rPr>
          <w:rFonts w:hint="eastAsia" w:ascii="仿宋_GB2312" w:hAnsi="仿宋_GB2312" w:eastAsia="仿宋_GB2312" w:cs="仿宋_GB2312"/>
          <w:sz w:val="32"/>
          <w:szCs w:val="32"/>
        </w:rPr>
        <w:t>推荐。</w:t>
      </w:r>
    </w:p>
    <w:p>
      <w:pPr>
        <w:numPr>
          <w:ilvl w:val="255"/>
          <w:numId w:val="0"/>
        </w:numPr>
        <w:spacing w:line="58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三、现场核查</w:t>
      </w:r>
    </w:p>
    <w:p>
      <w:pPr>
        <w:spacing w:line="5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根据《海南省省级财政科技项目立项评审工作细则》，乐城管理局对通过专家评审并列入现场核查清单的项目组织开展现场核查，核查时提供以下材料：</w:t>
      </w:r>
    </w:p>
    <w:p>
      <w:pPr>
        <w:pBdr>
          <w:top w:val="none" w:color="000000" w:sz="0" w:space="0"/>
          <w:left w:val="none" w:color="000000" w:sz="0" w:space="0"/>
          <w:bottom w:val="none" w:color="000000" w:sz="0" w:space="0"/>
          <w:right w:val="none" w:color="000000" w:sz="0" w:space="0"/>
        </w:pBdr>
        <w:autoSpaceDN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（一）企业单位年度审计报告（需披露研发费用情况）、会计报表、完税证明材料等。</w:t>
      </w:r>
    </w:p>
    <w:p>
      <w:pPr>
        <w:pBdr>
          <w:top w:val="none" w:color="000000" w:sz="0" w:space="0"/>
          <w:left w:val="none" w:color="000000" w:sz="0" w:space="0"/>
          <w:bottom w:val="none" w:color="000000" w:sz="0" w:space="0"/>
          <w:right w:val="none" w:color="000000" w:sz="0" w:space="0"/>
        </w:pBdr>
        <w:spacing w:line="580" w:lineRule="exact"/>
        <w:ind w:firstLine="640" w:firstLineChars="20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lang w:bidi="ar"/>
        </w:rPr>
        <w:t>（二）</w:t>
      </w:r>
      <w:r>
        <w:rPr>
          <w:rFonts w:hint="eastAsia" w:ascii="仿宋_GB2312" w:hAnsi="仿宋_GB2312" w:eastAsia="仿宋_GB2312" w:cs="仿宋_GB2312"/>
          <w:sz w:val="32"/>
          <w:szCs w:val="32"/>
        </w:rPr>
        <w:t>企业单位</w:t>
      </w:r>
      <w:r>
        <w:rPr>
          <w:rFonts w:hint="eastAsia" w:ascii="仿宋_GB2312" w:hAnsi="仿宋_GB2312" w:eastAsia="仿宋_GB2312" w:cs="仿宋_GB2312"/>
          <w:sz w:val="32"/>
          <w:szCs w:val="32"/>
          <w:lang w:bidi="ar"/>
        </w:rPr>
        <w:t>配套资金来源的佐证材料，原则上企业的净资产总额或净利润等，需高于企业所有申报和在研省级科技专项研发类项目承诺配套资金的总和。</w:t>
      </w:r>
    </w:p>
    <w:p>
      <w:pPr>
        <w:pBdr>
          <w:top w:val="none" w:color="000000" w:sz="0" w:space="0"/>
          <w:left w:val="none" w:color="000000" w:sz="0" w:space="0"/>
          <w:bottom w:val="none" w:color="000000" w:sz="0" w:space="0"/>
          <w:right w:val="none" w:color="000000" w:sz="0" w:space="0"/>
        </w:pBdr>
        <w:autoSpaceDN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（三）项目组人员学历、职称证明等，如属临时聘请或合作的研发人员，需提供临时聘请或合作的材料。</w:t>
      </w:r>
    </w:p>
    <w:p>
      <w:pPr>
        <w:pBdr>
          <w:top w:val="none" w:color="000000" w:sz="0" w:space="0"/>
          <w:left w:val="none" w:color="000000" w:sz="0" w:space="0"/>
          <w:bottom w:val="none" w:color="000000" w:sz="0" w:space="0"/>
          <w:right w:val="none" w:color="000000" w:sz="0" w:space="0"/>
        </w:pBdr>
        <w:autoSpaceDN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（四）项目实施需要试验和示范基地的，需提供自有产权或租赁、合作的科研基地的证明材料，包括产权证、租赁合同、合作协议及土地的红线图等。</w:t>
      </w:r>
    </w:p>
    <w:p>
      <w:pPr>
        <w:spacing w:line="580" w:lineRule="exact"/>
        <w:ind w:firstLine="640" w:firstLineChars="200"/>
        <w:rPr>
          <w:rFonts w:hint="eastAsia" w:ascii="黑体" w:hAnsi="黑体" w:eastAsia="黑体" w:cs="黑体"/>
          <w:sz w:val="32"/>
          <w:szCs w:val="32"/>
          <w:lang w:bidi="zh-CN"/>
        </w:rPr>
      </w:pPr>
      <w:r>
        <w:rPr>
          <w:rFonts w:hint="eastAsia" w:ascii="黑体" w:hAnsi="黑体" w:eastAsia="黑体" w:cs="黑体"/>
          <w:sz w:val="32"/>
          <w:szCs w:val="32"/>
          <w:lang w:bidi="zh-CN"/>
        </w:rPr>
        <w:t>四、资助额度及要求</w:t>
      </w:r>
    </w:p>
    <w:p>
      <w:pPr>
        <w:adjustRightInd w:val="0"/>
        <w:snapToGrid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单个项目资助额度为30-100万。</w:t>
      </w:r>
      <w:r>
        <w:rPr>
          <w:rFonts w:hint="eastAsia" w:ascii="仿宋_GB2312" w:hAnsi="仿宋_GB2312" w:eastAsia="仿宋_GB2312" w:cs="仿宋_GB2312"/>
          <w:sz w:val="32"/>
          <w:szCs w:val="32"/>
          <w:lang w:val="en-US" w:eastAsia="zh-CN"/>
        </w:rPr>
        <w:t>针对专题一至专题六涉及的研究内容开展有关</w:t>
      </w:r>
      <w:r>
        <w:rPr>
          <w:rFonts w:hint="eastAsia" w:ascii="仿宋_GB2312" w:hAnsi="仿宋_GB2312" w:eastAsia="仿宋_GB2312" w:cs="仿宋_GB2312"/>
          <w:sz w:val="32"/>
          <w:szCs w:val="32"/>
        </w:rPr>
        <w:t>规则、标准、方法、评价体系等</w:t>
      </w:r>
      <w:r>
        <w:rPr>
          <w:rFonts w:hint="eastAsia" w:ascii="仿宋_GB2312" w:hAnsi="仿宋_GB2312" w:eastAsia="仿宋_GB2312" w:cs="仿宋_GB2312"/>
          <w:sz w:val="32"/>
          <w:szCs w:val="32"/>
          <w:lang w:val="en-US" w:eastAsia="zh-CN"/>
        </w:rPr>
        <w:t>研究</w:t>
      </w:r>
      <w:r>
        <w:rPr>
          <w:rFonts w:hint="eastAsia" w:ascii="仿宋_GB2312" w:hAnsi="仿宋_GB2312" w:eastAsia="仿宋_GB2312" w:cs="仿宋_GB2312"/>
          <w:sz w:val="32"/>
          <w:szCs w:val="32"/>
        </w:rPr>
        <w:t>项目</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申报资助金额最多不超过50万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各申报单位按照科研项目资金与研究任务相匹配的原则，据实编制预算经费。项目立项时，省科技厅商乐城管理局根据专项资金总额综合平衡安排支持经费，但不得压缩任务内容和考核指标。</w:t>
      </w:r>
    </w:p>
    <w:p>
      <w:pPr>
        <w:spacing w:line="580" w:lineRule="exact"/>
        <w:ind w:firstLine="640" w:firstLineChars="200"/>
        <w:rPr>
          <w:rFonts w:hint="eastAsia" w:ascii="黑体" w:hAnsi="黑体" w:eastAsia="黑体" w:cs="黑体"/>
          <w:sz w:val="32"/>
          <w:szCs w:val="32"/>
          <w:lang w:bidi="zh-CN"/>
        </w:rPr>
      </w:pPr>
      <w:r>
        <w:rPr>
          <w:rFonts w:hint="eastAsia" w:ascii="黑体" w:hAnsi="黑体" w:eastAsia="黑体" w:cs="黑体"/>
          <w:sz w:val="32"/>
          <w:szCs w:val="32"/>
          <w:lang w:bidi="zh-CN"/>
        </w:rPr>
        <w:t>五、实施年限</w:t>
      </w:r>
    </w:p>
    <w:p>
      <w:pPr>
        <w:adjustRightInd w:val="0"/>
        <w:snapToGrid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项目实施年限为2年，从立项时间起算。</w:t>
      </w:r>
    </w:p>
    <w:p>
      <w:pPr>
        <w:spacing w:line="580" w:lineRule="exact"/>
        <w:ind w:firstLine="640" w:firstLineChars="200"/>
        <w:rPr>
          <w:rFonts w:hint="eastAsia" w:ascii="黑体" w:hAnsi="黑体" w:eastAsia="黑体" w:cs="黑体"/>
          <w:sz w:val="32"/>
          <w:szCs w:val="32"/>
          <w:lang w:bidi="zh-CN"/>
        </w:rPr>
      </w:pPr>
      <w:r>
        <w:rPr>
          <w:rFonts w:hint="eastAsia" w:ascii="黑体" w:hAnsi="黑体" w:eastAsia="黑体" w:cs="黑体"/>
          <w:sz w:val="32"/>
          <w:szCs w:val="32"/>
          <w:lang w:bidi="zh-CN"/>
        </w:rPr>
        <w:t>六、资助方式</w:t>
      </w:r>
    </w:p>
    <w:p>
      <w:pPr>
        <w:adjustRightInd w:val="0"/>
        <w:snapToGrid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联合项目资金支持方式包括前补助和后补助。</w:t>
      </w:r>
    </w:p>
    <w:p>
      <w:pPr>
        <w:adjustRightInd w:val="0"/>
        <w:snapToGrid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（一）对于高等院校、科研院所或其他事业单位牵头承担的项目，实行前补助资助方式。项目立项后，省财政及乐城管理局资金分年度拨付至项目牵头单位。</w:t>
      </w:r>
    </w:p>
    <w:p>
      <w:pPr>
        <w:adjustRightInd w:val="0"/>
        <w:snapToGrid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（二）对于企业单位牵头承担的项目，采取事前立项事后补助方式。项目立项后，按照不超过省财政资助总经费的50%，</w:t>
      </w:r>
      <w:r>
        <w:rPr>
          <w:rFonts w:hint="eastAsia" w:ascii="仿宋_GB2312" w:hAnsi="仿宋_GB2312" w:eastAsia="仿宋_GB2312" w:cs="仿宋_GB2312"/>
          <w:sz w:val="32"/>
          <w:szCs w:val="32"/>
          <w:lang w:eastAsia="zh-CN"/>
        </w:rPr>
        <w:t>分年度</w:t>
      </w:r>
      <w:r>
        <w:rPr>
          <w:rFonts w:hint="eastAsia" w:ascii="仿宋_GB2312" w:hAnsi="仿宋_GB2312" w:eastAsia="仿宋_GB2312" w:cs="仿宋_GB2312"/>
          <w:sz w:val="32"/>
          <w:szCs w:val="32"/>
        </w:rPr>
        <w:t>拨付项目牵头单位。在项目验收通过后，再根据项目完成和资金使用情况给予相应补助。</w:t>
      </w:r>
    </w:p>
    <w:p>
      <w:pPr>
        <w:adjustRightInd w:val="0"/>
        <w:snapToGrid w:val="0"/>
        <w:spacing w:line="580" w:lineRule="exact"/>
        <w:ind w:firstLine="640" w:firstLineChars="200"/>
        <w:rPr>
          <w:sz w:val="32"/>
          <w:szCs w:val="32"/>
        </w:rPr>
      </w:pPr>
      <w:r>
        <w:rPr>
          <w:rFonts w:hint="eastAsia" w:ascii="仿宋_GB2312" w:hAnsi="仿宋_GB2312" w:eastAsia="仿宋_GB2312" w:cs="仿宋_GB2312"/>
          <w:sz w:val="32"/>
          <w:szCs w:val="32"/>
        </w:rPr>
        <w:t>（三）项目牵头单位根据合作协议，结合项目研究进度和项目负责人意见，及时将财政资金拨付至项目参与单位。项目参与单位不得再向外转拨资金。</w:t>
      </w:r>
    </w:p>
    <w:p>
      <w:pPr>
        <w:spacing w:line="580" w:lineRule="exact"/>
        <w:ind w:firstLine="640" w:firstLineChars="200"/>
        <w:rPr>
          <w:rFonts w:hint="eastAsia" w:ascii="黑体" w:hAnsi="黑体" w:eastAsia="黑体" w:cs="黑体"/>
          <w:sz w:val="32"/>
          <w:szCs w:val="32"/>
          <w:lang w:bidi="zh-CN"/>
        </w:rPr>
      </w:pPr>
      <w:r>
        <w:rPr>
          <w:rFonts w:hint="eastAsia" w:ascii="黑体" w:hAnsi="黑体" w:eastAsia="黑体" w:cs="黑体"/>
          <w:sz w:val="32"/>
          <w:szCs w:val="32"/>
          <w:lang w:bidi="zh-CN"/>
        </w:rPr>
        <w:t>七、支持方向</w:t>
      </w:r>
    </w:p>
    <w:p>
      <w:pPr>
        <w:spacing w:line="580" w:lineRule="exact"/>
        <w:ind w:firstLine="642" w:firstLineChars="200"/>
        <w:jc w:val="left"/>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专题一：支撑中医药创新发展的真实世界研究</w:t>
      </w:r>
    </w:p>
    <w:p>
      <w:pPr>
        <w:spacing w:line="580" w:lineRule="exact"/>
        <w:ind w:firstLine="642"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研究内容：</w:t>
      </w:r>
      <w:r>
        <w:rPr>
          <w:rFonts w:hint="eastAsia" w:ascii="仿宋_GB2312" w:hAnsi="仿宋_GB2312" w:eastAsia="仿宋_GB2312" w:cs="仿宋_GB2312"/>
          <w:sz w:val="32"/>
          <w:szCs w:val="32"/>
        </w:rPr>
        <w:t>利用真实世界研究对中医药疗效进行全生命周期评价。围绕中医药理论、人用经验和临床试验“三结合”审评证据体系，从中医优势病种出发，以制订诊疗方案、对中成药上市后评价、优势院内制剂遴选、临床实践指南的制定、医疗资源的优化等需求为导向，通过真实世界研究对中医诊疗疾病的发展、中医治疗效果评估、探索适合中医药的评价指标，并对中</w:t>
      </w:r>
      <w:r>
        <w:rPr>
          <w:rFonts w:hint="eastAsia" w:ascii="仿宋_GB2312" w:hAnsi="仿宋_GB2312" w:eastAsia="仿宋_GB2312" w:cs="仿宋_GB2312"/>
          <w:sz w:val="32"/>
          <w:szCs w:val="32"/>
          <w:lang w:val="en-US" w:eastAsia="zh-CN"/>
        </w:rPr>
        <w:t>医</w:t>
      </w:r>
      <w:r>
        <w:rPr>
          <w:rFonts w:hint="eastAsia" w:ascii="仿宋_GB2312" w:hAnsi="仿宋_GB2312" w:eastAsia="仿宋_GB2312" w:cs="仿宋_GB2312"/>
          <w:sz w:val="32"/>
          <w:szCs w:val="32"/>
        </w:rPr>
        <w:t>药的安全性、有效性、经济性等方面的评价做出指导，对中医药“三结合”注册审评证据体系中人用经验与临床试验的关系、疗效评价等开展研究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促进院内优质方剂、制剂通过真实世界数据研究转化为新药注册上市</w:t>
      </w:r>
      <w:r>
        <w:rPr>
          <w:rFonts w:hint="eastAsia" w:ascii="仿宋_GB2312" w:hAnsi="仿宋_GB2312" w:eastAsia="仿宋_GB2312" w:cs="仿宋_GB2312"/>
          <w:sz w:val="32"/>
          <w:szCs w:val="32"/>
        </w:rPr>
        <w:t>。</w:t>
      </w:r>
    </w:p>
    <w:p>
      <w:pPr>
        <w:adjustRightInd w:val="0"/>
        <w:snapToGrid w:val="0"/>
        <w:spacing w:line="580" w:lineRule="exact"/>
        <w:ind w:firstLine="642"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专题二：</w:t>
      </w:r>
      <w:r>
        <w:rPr>
          <w:rFonts w:hint="eastAsia" w:ascii="仿宋_GB2312" w:hAnsi="仿宋_GB2312" w:eastAsia="仿宋_GB2312" w:cs="仿宋_GB2312"/>
          <w:b/>
          <w:bCs/>
          <w:color w:val="auto"/>
          <w:sz w:val="32"/>
          <w:szCs w:val="32"/>
          <w:highlight w:val="none"/>
          <w:lang w:eastAsia="zh-CN"/>
        </w:rPr>
        <w:t>支撑</w:t>
      </w:r>
      <w:r>
        <w:rPr>
          <w:rFonts w:hint="eastAsia" w:ascii="仿宋_GB2312" w:hAnsi="仿宋_GB2312" w:eastAsia="仿宋_GB2312" w:cs="仿宋_GB2312"/>
          <w:b/>
          <w:bCs/>
          <w:color w:val="auto"/>
          <w:sz w:val="32"/>
          <w:szCs w:val="32"/>
          <w:highlight w:val="none"/>
        </w:rPr>
        <w:t>监管决策</w:t>
      </w:r>
      <w:r>
        <w:rPr>
          <w:rFonts w:hint="eastAsia" w:ascii="仿宋_GB2312" w:hAnsi="仿宋_GB2312" w:eastAsia="仿宋_GB2312" w:cs="仿宋_GB2312"/>
          <w:b/>
          <w:bCs/>
          <w:color w:val="auto"/>
          <w:sz w:val="32"/>
          <w:szCs w:val="32"/>
          <w:highlight w:val="none"/>
          <w:lang w:eastAsia="zh-CN"/>
        </w:rPr>
        <w:t>的</w:t>
      </w:r>
      <w:r>
        <w:rPr>
          <w:rFonts w:hint="eastAsia" w:ascii="仿宋_GB2312" w:hAnsi="仿宋_GB2312" w:eastAsia="仿宋_GB2312" w:cs="仿宋_GB2312"/>
          <w:b/>
          <w:bCs/>
          <w:color w:val="auto"/>
          <w:sz w:val="32"/>
          <w:szCs w:val="32"/>
          <w:highlight w:val="none"/>
        </w:rPr>
        <w:t>真实世界研究</w:t>
      </w:r>
    </w:p>
    <w:p>
      <w:pPr>
        <w:spacing w:line="580" w:lineRule="exact"/>
        <w:ind w:firstLine="642" w:firstLineChars="200"/>
        <w:jc w:val="left"/>
        <w:rPr>
          <w:rFonts w:ascii="仿宋_GB2312" w:hAnsi="宋体" w:eastAsia="仿宋_GB2312" w:cs="仿宋_GB2312"/>
          <w:kern w:val="0"/>
          <w:sz w:val="32"/>
          <w:szCs w:val="32"/>
        </w:rPr>
      </w:pPr>
      <w:r>
        <w:rPr>
          <w:rFonts w:hint="eastAsia" w:ascii="仿宋_GB2312" w:hAnsi="仿宋_GB2312" w:eastAsia="仿宋_GB2312" w:cs="仿宋_GB2312"/>
          <w:b/>
          <w:bCs/>
          <w:sz w:val="32"/>
          <w:szCs w:val="32"/>
        </w:rPr>
        <w:t>研究内容：</w:t>
      </w:r>
      <w:r>
        <w:rPr>
          <w:rFonts w:hint="eastAsia" w:ascii="仿宋_GB2312" w:hAnsi="宋体" w:eastAsia="仿宋_GB2312" w:cs="仿宋_GB2312"/>
          <w:kern w:val="0"/>
          <w:sz w:val="32"/>
          <w:szCs w:val="32"/>
        </w:rPr>
        <w:t>1.探索真实世界数据应用的新标准。探究推动真实世界数据“供得出，流得动，用得好”的法规制度体系和技术标准，开展数据质量控制与核查技术标准、真实世界证据等级与临床试验证据链组成、药械全生命周期安全性与有效性评价等相关标准体系和实践研究，形成真实世界数据支持监管决策的质控体系，指导企业设计并执行符合监管要求的良好真研实践，促进全球范围内的数据共享和研究结果的互认，为中国进一步完善真研监管规则提供依据。</w:t>
      </w:r>
    </w:p>
    <w:p>
      <w:pPr>
        <w:spacing w:line="580" w:lineRule="exact"/>
        <w:ind w:firstLine="640" w:firstLineChars="200"/>
        <w:jc w:val="left"/>
        <w:rPr>
          <w:rFonts w:hint="eastAsia" w:ascii="仿宋_GB2312" w:hAnsi="宋体" w:eastAsia="仿宋_GB2312" w:cs="仿宋_GB2312"/>
          <w:kern w:val="0"/>
          <w:sz w:val="32"/>
          <w:szCs w:val="32"/>
        </w:rPr>
      </w:pPr>
      <w:r>
        <w:rPr>
          <w:rFonts w:hint="eastAsia" w:ascii="仿宋_GB2312" w:hAnsi="宋体" w:eastAsia="仿宋_GB2312" w:cs="仿宋_GB2312"/>
          <w:kern w:val="0"/>
          <w:sz w:val="32"/>
          <w:szCs w:val="32"/>
        </w:rPr>
        <w:t>2.探索</w:t>
      </w:r>
      <w:r>
        <w:rPr>
          <w:rFonts w:hint="eastAsia" w:ascii="仿宋_GB2312" w:hAnsi="仿宋_GB2312" w:eastAsia="仿宋_GB2312" w:cs="仿宋_GB2312"/>
          <w:sz w:val="32"/>
          <w:szCs w:val="32"/>
        </w:rPr>
        <w:t>真实世界研究新方法。探究去中心化真实世界数据的采集、治理的新方法研究，开展真实世界研究的桥接、混合设计和定量偏倚等新方法研究，探索提升数据质量和研究设计科学性的方法，为监管科学的新方法提供方法学支持。</w:t>
      </w:r>
    </w:p>
    <w:p>
      <w:pPr>
        <w:adjustRightInd w:val="0"/>
        <w:snapToGrid w:val="0"/>
        <w:spacing w:line="580" w:lineRule="exact"/>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    专题三：支撑临床评价的真实世界研究</w:t>
      </w:r>
    </w:p>
    <w:p>
      <w:pPr>
        <w:adjustRightInd w:val="0"/>
        <w:snapToGrid w:val="0"/>
        <w:spacing w:line="580" w:lineRule="exact"/>
        <w:ind w:firstLine="642"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研究内容：</w:t>
      </w:r>
      <w:r>
        <w:rPr>
          <w:rFonts w:hint="eastAsia" w:ascii="仿宋_GB2312" w:hAnsi="仿宋_GB2312" w:eastAsia="仿宋_GB2312" w:cs="仿宋_GB2312"/>
          <w:sz w:val="32"/>
          <w:szCs w:val="32"/>
        </w:rPr>
        <w:t>1.基于长期随访数据，开展真实世界数据支持药</w:t>
      </w:r>
      <w:r>
        <w:rPr>
          <w:rFonts w:hint="eastAsia" w:ascii="仿宋_GB2312" w:hAnsi="仿宋_GB2312" w:eastAsia="仿宋_GB2312" w:cs="仿宋_GB2312"/>
          <w:spacing w:val="-6"/>
          <w:sz w:val="32"/>
          <w:szCs w:val="32"/>
        </w:rPr>
        <w:t>品、医疗器械、特医食品的全生命周期临床评价和监管决策的应用。</w:t>
      </w:r>
    </w:p>
    <w:p>
      <w:pPr>
        <w:adjustRightInd w:val="0"/>
        <w:snapToGrid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2.拓展真实世界数据在虚拟临床试验、扩大适应症/适用范围、修改说明书等方面的应用。</w:t>
      </w:r>
    </w:p>
    <w:p>
      <w:pPr>
        <w:adjustRightInd w:val="0"/>
        <w:snapToGrid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3.拓展真实世界数据在支持罕见病及特殊人群（如儿童、孕妇、老年人）研究中的应用。</w:t>
      </w:r>
    </w:p>
    <w:p>
      <w:pPr>
        <w:adjustRightInd w:val="0"/>
        <w:snapToGrid w:val="0"/>
        <w:spacing w:line="580" w:lineRule="exact"/>
        <w:ind w:firstLine="642"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b/>
          <w:bCs/>
          <w:sz w:val="32"/>
          <w:szCs w:val="32"/>
          <w:highlight w:val="none"/>
        </w:rPr>
        <w:t>专题四：真实世界数据流通与应用技术研究</w:t>
      </w:r>
    </w:p>
    <w:p>
      <w:pPr>
        <w:adjustRightInd w:val="0"/>
        <w:snapToGrid w:val="0"/>
        <w:spacing w:line="580" w:lineRule="exact"/>
        <w:ind w:firstLine="642" w:firstLineChars="200"/>
        <w:rPr>
          <w:rFonts w:ascii="仿宋_GB2312" w:hAnsi="仿宋_GB2312" w:eastAsia="仿宋_GB2312" w:cs="仿宋_GB2312"/>
          <w:sz w:val="32"/>
          <w:szCs w:val="32"/>
          <w:highlight w:val="none"/>
        </w:rPr>
      </w:pPr>
      <w:r>
        <w:rPr>
          <w:rFonts w:hint="eastAsia" w:ascii="仿宋_GB2312" w:hAnsi="仿宋_GB2312" w:eastAsia="仿宋_GB2312" w:cs="仿宋_GB2312"/>
          <w:b/>
          <w:bCs/>
          <w:sz w:val="32"/>
          <w:szCs w:val="32"/>
          <w:highlight w:val="none"/>
        </w:rPr>
        <w:t>研究内容：</w:t>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highlight w:val="none"/>
        </w:rPr>
        <w:t>探索真实世界数据“三医”协同应用</w:t>
      </w:r>
      <w:r>
        <w:rPr>
          <w:rFonts w:hint="eastAsia" w:ascii="仿宋_GB2312" w:hAnsi="仿宋_GB2312" w:eastAsia="仿宋_GB2312" w:cs="仿宋_GB2312"/>
          <w:sz w:val="32"/>
          <w:szCs w:val="32"/>
        </w:rPr>
        <w:t>技术标准</w:t>
      </w:r>
      <w:r>
        <w:rPr>
          <w:rFonts w:hint="eastAsia" w:ascii="仿宋_GB2312" w:hAnsi="仿宋_GB2312" w:eastAsia="仿宋_GB2312" w:cs="仿宋_GB2312"/>
          <w:sz w:val="32"/>
          <w:szCs w:val="32"/>
          <w:highlight w:val="none"/>
        </w:rPr>
        <w:t>，建立跨区域、长周期重点产品或技术的真实世界数据库，进一步完善真实世界数据应用机制。</w:t>
      </w:r>
    </w:p>
    <w:p>
      <w:pPr>
        <w:adjustRightInd w:val="0"/>
        <w:snapToGrid w:val="0"/>
        <w:spacing w:line="580" w:lineRule="exact"/>
        <w:ind w:firstLine="640" w:firstLineChars="200"/>
        <w:rPr>
          <w:rFonts w:hint="eastAsia" w:ascii="仿宋_GB2312" w:hAnsi="仿宋_GB2312" w:eastAsia="仿宋_GB2312" w:cs="仿宋_GB2312"/>
          <w:b w:val="0"/>
          <w:bCs w:val="0"/>
          <w:sz w:val="32"/>
          <w:szCs w:val="32"/>
          <w:highlight w:val="none"/>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highlight w:val="none"/>
        </w:rPr>
        <w:t>探索医疗健康数据要素流通基础设施建设的技术要求与应用机制，结合</w:t>
      </w:r>
      <w:r>
        <w:rPr>
          <w:rFonts w:hint="eastAsia" w:ascii="仿宋_GB2312" w:hAnsi="仿宋_GB2312" w:eastAsia="仿宋_GB2312" w:cs="仿宋_GB2312"/>
          <w:sz w:val="32"/>
          <w:szCs w:val="32"/>
        </w:rPr>
        <w:t>密态计算、联邦学习、</w:t>
      </w:r>
      <w:r>
        <w:rPr>
          <w:rFonts w:hint="eastAsia" w:ascii="仿宋_GB2312" w:hAnsi="仿宋_GB2312" w:eastAsia="仿宋_GB2312" w:cs="仿宋_GB2312"/>
          <w:sz w:val="32"/>
          <w:szCs w:val="32"/>
          <w:highlight w:val="none"/>
        </w:rPr>
        <w:t>中心化临床试验、人工智能、知识图谱等前沿技术，探究真实世界数据在风险信号监测、因果推断和产品全生命周期安全性和有效性评价中的应用。</w:t>
      </w:r>
    </w:p>
    <w:p>
      <w:pPr>
        <w:adjustRightInd w:val="0"/>
        <w:snapToGrid w:val="0"/>
        <w:spacing w:line="580" w:lineRule="exact"/>
        <w:ind w:firstLine="642"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专题五：支撑医保价值购买的真实世界研究</w:t>
      </w:r>
    </w:p>
    <w:p>
      <w:pPr>
        <w:adjustRightInd w:val="0"/>
        <w:snapToGrid w:val="0"/>
        <w:spacing w:line="580" w:lineRule="exact"/>
        <w:ind w:firstLine="642"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研究内容：</w:t>
      </w:r>
      <w:r>
        <w:rPr>
          <w:rFonts w:hint="eastAsia" w:ascii="仿宋_GB2312" w:hAnsi="仿宋_GB2312" w:eastAsia="仿宋_GB2312" w:cs="仿宋_GB2312"/>
          <w:sz w:val="32"/>
          <w:szCs w:val="32"/>
        </w:rPr>
        <w:t>1.药品价值评估。遴选若干国家医保谈判创新药品、儿童药品，从安全性、有效性、创新性等多维度开展再评价研究；针对集采药品与原研药品，从安全性和有效性等维度开展对比分析。</w:t>
      </w:r>
    </w:p>
    <w:p>
      <w:pPr>
        <w:adjustRightInd w:val="0"/>
        <w:snapToGrid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2.医疗服务项目。选取若干疗效确切、体现中医特色优势的中医适宜技术以及儿童医疗服务，通过收集医疗机构临床实际应用数据等方式开展真实世界研究，以支持开展医疗服务价格项目立项和价格调整。</w:t>
      </w:r>
    </w:p>
    <w:p>
      <w:pPr>
        <w:numPr>
          <w:ilvl w:val="255"/>
          <w:numId w:val="0"/>
        </w:numPr>
        <w:adjustRightInd w:val="0"/>
        <w:snapToGrid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3.中医病种付费调整。探索开展中医优势病种按病种付费调整相关研究，支持在DIP支付体系中为中医优势病种设置合理分值倾斜。</w:t>
      </w:r>
    </w:p>
    <w:p>
      <w:pPr>
        <w:spacing w:line="580" w:lineRule="exact"/>
        <w:ind w:firstLine="642" w:firstLineChars="200"/>
        <w:jc w:val="left"/>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专题六：真实世界数据应用于生物医学新技术评价研究</w:t>
      </w:r>
    </w:p>
    <w:p>
      <w:pPr>
        <w:adjustRightInd w:val="0"/>
        <w:snapToGrid w:val="0"/>
        <w:spacing w:line="580" w:lineRule="exact"/>
        <w:ind w:firstLine="642"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研究内容：</w:t>
      </w:r>
      <w:r>
        <w:rPr>
          <w:rFonts w:hint="eastAsia" w:ascii="仿宋_GB2312" w:hAnsi="仿宋_GB2312" w:eastAsia="仿宋_GB2312" w:cs="仿宋_GB2312"/>
          <w:sz w:val="32"/>
          <w:szCs w:val="32"/>
        </w:rPr>
        <w:t>1.生物医学新技术临床评价体系。基于生物医学新技术转化应用过程中产生的真实世界数据建立全面、科学的临床评价体系，支持在乐城先行区开展的细胞治疗、基因治疗、组织工程等生物医学新技术项目探索在临床研究与转化应用中的安全性评价与有效性评价，促进生物医学新技术的临床转化。</w:t>
      </w:r>
    </w:p>
    <w:p>
      <w:pPr>
        <w:adjustRightInd w:val="0"/>
        <w:snapToGrid w:val="0"/>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生物医学新技术监管体系研究。探索优化细胞治疗、基因治疗、组织工程等生物医学新技术在申报、技术评估、转化应用、跟踪评估及退出、价格备案与公示等全流程的制度研究，围绕生产工艺、质量检测、药学评价、非临床评价、临床评价等环节的质量控制及评价标准，强化生物医学新技术的监管体系，形成乐城经验，促进生物医学新技术临床研究与转化应用的监管标准和经验推广应用。</w:t>
      </w:r>
    </w:p>
    <w:p>
      <w:pPr>
        <w:adjustRightInd w:val="0"/>
        <w:snapToGrid w:val="0"/>
        <w:spacing w:line="580" w:lineRule="exact"/>
        <w:ind w:firstLine="0" w:firstLineChars="0"/>
        <w:rPr>
          <w:rFonts w:hint="eastAsia" w:ascii="仿宋_GB2312" w:hAnsi="仿宋_GB2312" w:eastAsia="仿宋_GB2312" w:cs="仿宋_GB2312"/>
          <w:sz w:val="32"/>
          <w:szCs w:val="32"/>
        </w:rPr>
      </w:pPr>
    </w:p>
    <w:p>
      <w:pPr>
        <w:spacing w:line="580" w:lineRule="exact"/>
        <w:ind w:firstLine="640" w:firstLineChars="200"/>
        <w:rPr>
          <w:rFonts w:hint="eastAsia" w:ascii="仿宋_GB2312" w:hAnsi="仿宋_GB2312" w:eastAsia="仿宋_GB2312" w:cs="仿宋_GB2312"/>
          <w:sz w:val="32"/>
          <w:szCs w:val="32"/>
        </w:rPr>
      </w:pPr>
    </w:p>
    <w:p>
      <w:pPr>
        <w:spacing w:line="580" w:lineRule="exact"/>
        <w:ind w:firstLine="640" w:firstLineChars="200"/>
        <w:rPr>
          <w:rFonts w:hint="eastAsia" w:ascii="仿宋_GB2312" w:hAnsi="仿宋_GB2312" w:eastAsia="仿宋_GB2312" w:cs="仿宋_GB2312"/>
          <w:sz w:val="32"/>
          <w:szCs w:val="32"/>
        </w:rPr>
      </w:pPr>
    </w:p>
    <w:sectPr>
      <w:footerReference r:id="rId3" w:type="default"/>
      <w:pgSz w:w="11906" w:h="16838"/>
      <w:pgMar w:top="1701" w:right="1474" w:bottom="1701" w:left="1587" w:header="851" w:footer="130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等线 Light">
    <w:altName w:val="仿宋_GB2312"/>
    <w:panose1 w:val="02010600030101010101"/>
    <w:charset w:val="86"/>
    <w:family w:val="auto"/>
    <w:pitch w:val="default"/>
    <w:sig w:usb0="00000000" w:usb1="00000000" w:usb2="00000016" w:usb3="00000000" w:csb0="0004000F" w:csb1="00000000"/>
  </w:font>
  <w:font w:name="方正小标宋_GBK">
    <w:panose1 w:val="02000000000000000000"/>
    <w:charset w:val="86"/>
    <w:family w:val="script"/>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ind w:left="210" w:leftChars="100" w:right="210" w:rightChars="100"/>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5"/>
                      <w:ind w:left="210" w:leftChars="100" w:right="210" w:rightChars="100"/>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trackRevisions w:val="true"/>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ZjODA4YmRkMzdkMDZiMmEzMWMyOTUxYTNiZWMzYjgifQ=="/>
    <w:docVar w:name="KSO_WPS_MARK_KEY" w:val="59664b41-3bdd-4338-bd2f-de72da3b5d63"/>
  </w:docVars>
  <w:rsids>
    <w:rsidRoot w:val="31422251"/>
    <w:rsid w:val="000635D4"/>
    <w:rsid w:val="000F0990"/>
    <w:rsid w:val="00100F6B"/>
    <w:rsid w:val="00113787"/>
    <w:rsid w:val="00132FAE"/>
    <w:rsid w:val="00233897"/>
    <w:rsid w:val="00251734"/>
    <w:rsid w:val="003808BF"/>
    <w:rsid w:val="0039068E"/>
    <w:rsid w:val="003A217D"/>
    <w:rsid w:val="003C6FB7"/>
    <w:rsid w:val="003E7029"/>
    <w:rsid w:val="005A353D"/>
    <w:rsid w:val="005B3B85"/>
    <w:rsid w:val="005D25C3"/>
    <w:rsid w:val="00610D86"/>
    <w:rsid w:val="006D4C90"/>
    <w:rsid w:val="007321BC"/>
    <w:rsid w:val="007D7BF2"/>
    <w:rsid w:val="008C2BA1"/>
    <w:rsid w:val="00A2188B"/>
    <w:rsid w:val="00AD16AB"/>
    <w:rsid w:val="00B25D6D"/>
    <w:rsid w:val="00B720A3"/>
    <w:rsid w:val="00C95D34"/>
    <w:rsid w:val="00CF473C"/>
    <w:rsid w:val="00D12763"/>
    <w:rsid w:val="00D816BD"/>
    <w:rsid w:val="00E93410"/>
    <w:rsid w:val="00E96EB7"/>
    <w:rsid w:val="00E96F2B"/>
    <w:rsid w:val="00F078EA"/>
    <w:rsid w:val="01AD040E"/>
    <w:rsid w:val="031A41EC"/>
    <w:rsid w:val="0514365D"/>
    <w:rsid w:val="055B6DC4"/>
    <w:rsid w:val="056D03D3"/>
    <w:rsid w:val="06044F54"/>
    <w:rsid w:val="07607D3A"/>
    <w:rsid w:val="077B0190"/>
    <w:rsid w:val="07DECFCB"/>
    <w:rsid w:val="07EF5489"/>
    <w:rsid w:val="09344EB5"/>
    <w:rsid w:val="0A0106F5"/>
    <w:rsid w:val="0A5D371A"/>
    <w:rsid w:val="0A8F61B0"/>
    <w:rsid w:val="0BAD6035"/>
    <w:rsid w:val="0D205B55"/>
    <w:rsid w:val="0E697416"/>
    <w:rsid w:val="0F6E0341"/>
    <w:rsid w:val="10FC4B59"/>
    <w:rsid w:val="111110FD"/>
    <w:rsid w:val="11A61BA7"/>
    <w:rsid w:val="11AA00A6"/>
    <w:rsid w:val="12850115"/>
    <w:rsid w:val="13A952B7"/>
    <w:rsid w:val="13DD6B6B"/>
    <w:rsid w:val="14223741"/>
    <w:rsid w:val="146278AB"/>
    <w:rsid w:val="14963666"/>
    <w:rsid w:val="164433B5"/>
    <w:rsid w:val="16E15537"/>
    <w:rsid w:val="189866C8"/>
    <w:rsid w:val="1B0D1D54"/>
    <w:rsid w:val="1B3301A3"/>
    <w:rsid w:val="1BEC025E"/>
    <w:rsid w:val="1DC75A85"/>
    <w:rsid w:val="1F2B6816"/>
    <w:rsid w:val="204C3A39"/>
    <w:rsid w:val="22396826"/>
    <w:rsid w:val="239F6B5C"/>
    <w:rsid w:val="28097B16"/>
    <w:rsid w:val="284A49F0"/>
    <w:rsid w:val="29D74298"/>
    <w:rsid w:val="2BB7D652"/>
    <w:rsid w:val="2D571F8B"/>
    <w:rsid w:val="2DA778A3"/>
    <w:rsid w:val="2F1523C9"/>
    <w:rsid w:val="2F9A19D3"/>
    <w:rsid w:val="30372F27"/>
    <w:rsid w:val="305B7C64"/>
    <w:rsid w:val="31422251"/>
    <w:rsid w:val="31503A8B"/>
    <w:rsid w:val="31C003CA"/>
    <w:rsid w:val="321D366A"/>
    <w:rsid w:val="330E6B02"/>
    <w:rsid w:val="33CC307B"/>
    <w:rsid w:val="343C7E58"/>
    <w:rsid w:val="348E2A01"/>
    <w:rsid w:val="34A17A38"/>
    <w:rsid w:val="353D22BD"/>
    <w:rsid w:val="35BB6935"/>
    <w:rsid w:val="385E1DA5"/>
    <w:rsid w:val="3913189C"/>
    <w:rsid w:val="39924D42"/>
    <w:rsid w:val="399C3003"/>
    <w:rsid w:val="3B8D2AC4"/>
    <w:rsid w:val="3BA6D119"/>
    <w:rsid w:val="3E203453"/>
    <w:rsid w:val="3E9F481B"/>
    <w:rsid w:val="3ED82DBD"/>
    <w:rsid w:val="3FE11312"/>
    <w:rsid w:val="41D35EF7"/>
    <w:rsid w:val="41EE4ADF"/>
    <w:rsid w:val="43FF700B"/>
    <w:rsid w:val="452D192B"/>
    <w:rsid w:val="4676470E"/>
    <w:rsid w:val="47DC15A9"/>
    <w:rsid w:val="48967F29"/>
    <w:rsid w:val="495C1D5D"/>
    <w:rsid w:val="4FD614A8"/>
    <w:rsid w:val="50290FC7"/>
    <w:rsid w:val="50C70841"/>
    <w:rsid w:val="51324FEB"/>
    <w:rsid w:val="51E27A91"/>
    <w:rsid w:val="52DB6D48"/>
    <w:rsid w:val="53906171"/>
    <w:rsid w:val="541C73CE"/>
    <w:rsid w:val="569E483A"/>
    <w:rsid w:val="56AC7116"/>
    <w:rsid w:val="57030341"/>
    <w:rsid w:val="57714E60"/>
    <w:rsid w:val="577D3339"/>
    <w:rsid w:val="5790E401"/>
    <w:rsid w:val="57970DA0"/>
    <w:rsid w:val="5A8A0F99"/>
    <w:rsid w:val="5B2B0EC6"/>
    <w:rsid w:val="5B37201F"/>
    <w:rsid w:val="5BB706FC"/>
    <w:rsid w:val="5CFB6B4D"/>
    <w:rsid w:val="5E616136"/>
    <w:rsid w:val="5FF75535"/>
    <w:rsid w:val="600246B8"/>
    <w:rsid w:val="600C7989"/>
    <w:rsid w:val="607F065F"/>
    <w:rsid w:val="61BC02FE"/>
    <w:rsid w:val="61ED0D71"/>
    <w:rsid w:val="631C7AA7"/>
    <w:rsid w:val="64AA6D1F"/>
    <w:rsid w:val="64E1690C"/>
    <w:rsid w:val="6643113E"/>
    <w:rsid w:val="66D3638A"/>
    <w:rsid w:val="69667418"/>
    <w:rsid w:val="69D90DB0"/>
    <w:rsid w:val="6B860DA5"/>
    <w:rsid w:val="6BB5206C"/>
    <w:rsid w:val="6BDEBCF3"/>
    <w:rsid w:val="6DAA1F76"/>
    <w:rsid w:val="6E78714C"/>
    <w:rsid w:val="6F233040"/>
    <w:rsid w:val="6F403FE8"/>
    <w:rsid w:val="6FD78E4F"/>
    <w:rsid w:val="6FFE1BBB"/>
    <w:rsid w:val="70156ED1"/>
    <w:rsid w:val="72746FC3"/>
    <w:rsid w:val="72C35F13"/>
    <w:rsid w:val="72C94629"/>
    <w:rsid w:val="73516B9E"/>
    <w:rsid w:val="735D0BD3"/>
    <w:rsid w:val="73A957CF"/>
    <w:rsid w:val="73BD34CB"/>
    <w:rsid w:val="74440BF9"/>
    <w:rsid w:val="745B5755"/>
    <w:rsid w:val="7606052A"/>
    <w:rsid w:val="76D109C9"/>
    <w:rsid w:val="76D70D49"/>
    <w:rsid w:val="782C7B34"/>
    <w:rsid w:val="790B6D17"/>
    <w:rsid w:val="792B0A89"/>
    <w:rsid w:val="79706CCB"/>
    <w:rsid w:val="799D7414"/>
    <w:rsid w:val="7A0E49F3"/>
    <w:rsid w:val="7A6F776C"/>
    <w:rsid w:val="7BB48C22"/>
    <w:rsid w:val="7C5C7A30"/>
    <w:rsid w:val="7E63405A"/>
    <w:rsid w:val="7E6B0C8A"/>
    <w:rsid w:val="7E9EA495"/>
    <w:rsid w:val="7EFF9F64"/>
    <w:rsid w:val="7F022F21"/>
    <w:rsid w:val="7F201A75"/>
    <w:rsid w:val="7F231A48"/>
    <w:rsid w:val="7FB77997"/>
    <w:rsid w:val="7FE79088"/>
    <w:rsid w:val="7FEF451D"/>
    <w:rsid w:val="7FF26520"/>
    <w:rsid w:val="7FF9713C"/>
    <w:rsid w:val="7FFAB41C"/>
    <w:rsid w:val="97EC6B7A"/>
    <w:rsid w:val="9D4B5CFF"/>
    <w:rsid w:val="9ED6EC0C"/>
    <w:rsid w:val="BA7B23C6"/>
    <w:rsid w:val="BFBF5813"/>
    <w:rsid w:val="CB6FF8A6"/>
    <w:rsid w:val="CBD7D373"/>
    <w:rsid w:val="D16DC590"/>
    <w:rsid w:val="D6BFCB53"/>
    <w:rsid w:val="DECF43D0"/>
    <w:rsid w:val="DFD74596"/>
    <w:rsid w:val="DFF9F457"/>
    <w:rsid w:val="EB5E1C75"/>
    <w:rsid w:val="EBB00D70"/>
    <w:rsid w:val="EEDF35FB"/>
    <w:rsid w:val="F3F66C63"/>
    <w:rsid w:val="F56BBD6B"/>
    <w:rsid w:val="F56F0EF2"/>
    <w:rsid w:val="F78DA25B"/>
    <w:rsid w:val="F7EF0475"/>
    <w:rsid w:val="F7EFFE78"/>
    <w:rsid w:val="FBD9E8B1"/>
    <w:rsid w:val="FBE7EDA3"/>
    <w:rsid w:val="FBFBE877"/>
    <w:rsid w:val="FDE69B52"/>
    <w:rsid w:val="FE734873"/>
    <w:rsid w:val="FEF796C5"/>
    <w:rsid w:val="FF7FD37A"/>
    <w:rsid w:val="FFBD7C31"/>
    <w:rsid w:val="FFD5337B"/>
    <w:rsid w:val="FFEFB27C"/>
    <w:rsid w:val="FFFEFF4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iPriority="99"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spacing w:before="260" w:after="260" w:line="416" w:lineRule="auto"/>
      <w:outlineLvl w:val="1"/>
    </w:pPr>
    <w:rPr>
      <w:rFonts w:ascii="等线 Light" w:hAnsi="等线 Light" w:eastAsia="等线 Light"/>
      <w:b/>
      <w:bCs/>
      <w:sz w:val="32"/>
      <w:szCs w:val="32"/>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lock Text"/>
    <w:basedOn w:val="1"/>
    <w:unhideWhenUsed/>
    <w:qFormat/>
    <w:uiPriority w:val="99"/>
    <w:pPr>
      <w:ind w:left="1440" w:leftChars="700" w:right="700" w:rightChars="700"/>
    </w:pPr>
  </w:style>
  <w:style w:type="paragraph" w:styleId="5">
    <w:name w:val="footer"/>
    <w:basedOn w:val="1"/>
    <w:unhideWhenUsed/>
    <w:qFormat/>
    <w:uiPriority w:val="99"/>
    <w:pPr>
      <w:tabs>
        <w:tab w:val="center" w:pos="4153"/>
        <w:tab w:val="right" w:pos="8306"/>
      </w:tabs>
      <w:jc w:val="left"/>
    </w:pPr>
    <w:rPr>
      <w:sz w:val="18"/>
      <w:szCs w:val="18"/>
    </w:rPr>
  </w:style>
  <w:style w:type="paragraph" w:styleId="6">
    <w:name w:val="header"/>
    <w:basedOn w:val="1"/>
    <w:unhideWhenUsed/>
    <w:qFormat/>
    <w:uiPriority w:val="99"/>
    <w:pPr>
      <w:pBdr>
        <w:bottom w:val="single" w:color="auto" w:sz="6" w:space="1"/>
      </w:pBdr>
      <w:tabs>
        <w:tab w:val="center" w:pos="4153"/>
        <w:tab w:val="right" w:pos="8306"/>
      </w:tabs>
      <w:jc w:val="center"/>
    </w:pPr>
    <w:rPr>
      <w:sz w:val="18"/>
      <w:szCs w:val="18"/>
    </w:rPr>
  </w:style>
  <w:style w:type="paragraph" w:styleId="7">
    <w:name w:val="Normal (Web)"/>
    <w:basedOn w:val="1"/>
    <w:semiHidden/>
    <w:unhideWhenUsed/>
    <w:qFormat/>
    <w:uiPriority w:val="0"/>
    <w:pPr>
      <w:spacing w:before="100" w:beforeAutospacing="1" w:after="100" w:afterAutospacing="1"/>
      <w:jc w:val="left"/>
    </w:pPr>
    <w:rPr>
      <w:rFonts w:ascii="Times New Roman" w:hAnsi="Times New Roman" w:eastAsia="宋体" w:cs="Times New Roman"/>
      <w:sz w:val="24"/>
      <w:szCs w:val="20"/>
    </w:rPr>
  </w:style>
  <w:style w:type="character" w:styleId="10">
    <w:name w:val="annotation reference"/>
    <w:basedOn w:val="9"/>
    <w:qFormat/>
    <w:uiPriority w:val="0"/>
    <w:rPr>
      <w:sz w:val="21"/>
      <w:szCs w:val="21"/>
    </w:rPr>
  </w:style>
  <w:style w:type="paragraph" w:customStyle="1" w:styleId="11">
    <w:name w:val="修订1"/>
    <w:hidden/>
    <w:unhideWhenUsed/>
    <w:qFormat/>
    <w:uiPriority w:val="99"/>
    <w:rPr>
      <w:rFonts w:asciiTheme="minorHAnsi" w:hAnsiTheme="minorHAnsi" w:eastAsiaTheme="minorEastAsia" w:cstheme="minorBidi"/>
      <w:kern w:val="2"/>
      <w:sz w:val="21"/>
      <w:szCs w:val="24"/>
      <w:lang w:val="en-US" w:eastAsia="zh-CN" w:bidi="ar-SA"/>
    </w:rPr>
  </w:style>
  <w:style w:type="paragraph" w:customStyle="1" w:styleId="12">
    <w:name w:val="修订2"/>
    <w:hidden/>
    <w:unhideWhenUsed/>
    <w:qFormat/>
    <w:uiPriority w:val="99"/>
    <w:rPr>
      <w:rFonts w:asciiTheme="minorHAnsi" w:hAnsiTheme="minorHAnsi" w:eastAsiaTheme="minorEastAsia" w:cstheme="minorBidi"/>
      <w:kern w:val="2"/>
      <w:sz w:val="21"/>
      <w:szCs w:val="24"/>
      <w:lang w:val="en-US" w:eastAsia="zh-CN" w:bidi="ar-SA"/>
    </w:rPr>
  </w:style>
  <w:style w:type="paragraph" w:customStyle="1" w:styleId="13">
    <w:name w:val="Revision"/>
    <w:hidden/>
    <w:unhideWhenUsed/>
    <w:qFormat/>
    <w:uiPriority w:val="99"/>
    <w:rPr>
      <w:rFonts w:asciiTheme="minorHAnsi" w:hAnsiTheme="minorHAnsi" w:eastAsiaTheme="minorEastAsia" w:cstheme="minorBidi"/>
      <w:kern w:val="2"/>
      <w:sz w:val="21"/>
      <w:szCs w:val="24"/>
      <w:lang w:val="en-US" w:eastAsia="zh-CN" w:bidi="ar-SA"/>
    </w:rPr>
  </w:style>
  <w:style w:type="paragraph" w:styleId="14">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9</Pages>
  <Words>4273</Words>
  <Characters>4317</Characters>
  <Lines>127</Lines>
  <Paragraphs>72</Paragraphs>
  <TotalTime>42</TotalTime>
  <ScaleCrop>false</ScaleCrop>
  <LinksUpToDate>false</LinksUpToDate>
  <CharactersWithSpaces>4324</CharactersWithSpaces>
  <Application>WPS Office_11.8.2.10587_F1E327BC-269C-435d-A152-05C5408002CA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2024-03-21T17:32:00Z</dcterms:created>
  <dc:creator>my dear fish</dc:creator>
  <cp:lastModifiedBy>陈绍华</cp:lastModifiedBy>
  <cp:lastPrinted>2025-03-14T00:37:00Z</cp:lastPrinted>
  <dcterms:modified xsi:type="dcterms:W3CDTF">2025-05-28T18:24:07Z</dcterms:modified>
  <dc:title>附件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2052-11.8.2.10587</vt:lpwstr>
  </property>
  <property fmtid="{D5CDD505-2E9C-101B-9397-08002B2CF9AE}" pid="3" name="ICV">
    <vt:lpwstr>28B62A7C75EB4A8C97B49508D55D32F5_13</vt:lpwstr>
  </property>
  <property fmtid="{D5CDD505-2E9C-101B-9397-08002B2CF9AE}" pid="4" name="KSOTemplateDocerSaveRecord">
    <vt:lpwstr>eyJoZGlkIjoiNTE2NjMwNDA4ODQ2Zjk2M2UxNzczMzg3ODllZmM1MDQiLCJ1c2VySWQiOiI0NDA0NjEyNjQifQ==</vt:lpwstr>
  </property>
</Properties>
</file>