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36A8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专项建议提纲</w:t>
      </w:r>
      <w:bookmarkEnd w:id="0"/>
    </w:p>
    <w:p w14:paraId="2D47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23E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一、专项的定位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简要描述专项所属技术领域的前沿发展态势，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本专项对该技术领域发展的战略价值，以及后续发展方向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27A9A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专项设置的必要性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梳理出产业链图和技术路线图。2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明确核心技术或卡脖子点，提出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要解决的重大科学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问题。3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阐述对我省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带动作用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 w14:paraId="6BF4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、专项设置的可行性</w:t>
      </w:r>
      <w:r>
        <w:rPr>
          <w:rFonts w:hint="eastAsia" w:eastAsia="黑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阐述我省现有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及可用的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创新基础，梳理与之相关的创新龙头企业、重大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平台、高层次科技人才等科研力量。2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阐述我省实施该专项的各方面优势和有利条件。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 w14:paraId="7E044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、专项实施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黑体" w:cs="Times New Roman"/>
          <w:sz w:val="32"/>
          <w:szCs w:val="32"/>
        </w:rPr>
        <w:t>目标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阐述通过专项实施可解决哪些具体的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或产业问题，最终形成的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标志性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成果、战略产品是什么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2.专项实施的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产业化目标和推广应用前景是什么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，在国内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同行业中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处于什么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地位与水平。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 w14:paraId="7220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五、重点研究方向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针对技术路线图中的断点与卡点，按照全链条一体化布局原则，明确若干个主攻方向。2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简要介绍每个主攻方向的研究任务、技术创新点、技术经济指标，以及成果转化与产业化绩效目标等。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 w14:paraId="123E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C6E3316"/>
    <w:sectPr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7DEB"/>
    <w:rsid w:val="244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  <w:rPr>
      <w:rFonts w:ascii="Calibri" w:hAnsi="Calibri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2025-05-22T09:42:00Z</dcterms:created>
  <dc:creator>牛皮不是牛皮是皮</dc:creator>
  <cp:lastModifiedBy>牛皮不是牛皮是皮</cp:lastModifiedBy>
  <dcterms:modified xsi:type="dcterms:W3CDTF">2025-05-22T09:42:18Z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5AA0590FC8A14BCBB8A8CA9697BCCCA0_11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