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69DC563">
      <w:pPr>
        <w:widowControl/>
        <w:kinsoku w:val="0"/>
        <w:autoSpaceDE w:val="0"/>
        <w:autoSpaceDN w:val="0"/>
        <w:adjustRightInd w:val="0"/>
        <w:snapToGrid w:val="0"/>
        <w:spacing w:before="101" w:line="224" w:lineRule="auto"/>
        <w:ind w:left="4"/>
        <w:jc w:val="left"/>
        <w:textAlignment w:val="baseline"/>
        <w:rPr>
          <w:rFonts w:ascii="黑体" w:hAnsi="黑体" w:eastAsia="黑体" w:cs="黑体"/>
          <w:b/>
          <w:bCs/>
          <w:snapToGrid w:val="0"/>
          <w:color w:val="000000"/>
          <w:spacing w:val="31"/>
          <w:kern w:val="0"/>
          <w:sz w:val="31"/>
          <w:szCs w:val="31"/>
          <w:lang w:eastAsia="en-US"/>
        </w:rPr>
      </w:pPr>
      <w:r>
        <w:rPr>
          <w:rFonts w:ascii="黑体" w:hAnsi="黑体" w:eastAsia="黑体" w:cs="黑体"/>
          <w:b/>
          <w:bCs/>
          <w:snapToGrid w:val="0"/>
          <w:color w:val="000000"/>
          <w:spacing w:val="31"/>
          <w:kern w:val="0"/>
          <w:sz w:val="31"/>
          <w:szCs w:val="31"/>
          <w:lang w:eastAsia="en-US"/>
        </w:rPr>
        <w:t>附件2</w:t>
      </w:r>
    </w:p>
    <w:p w14:paraId="6B4BF82A">
      <w:pPr>
        <w:widowControl/>
        <w:kinsoku w:val="0"/>
        <w:autoSpaceDE w:val="0"/>
        <w:autoSpaceDN w:val="0"/>
        <w:adjustRightInd w:val="0"/>
        <w:snapToGrid w:val="0"/>
        <w:spacing w:before="101" w:line="224" w:lineRule="auto"/>
        <w:ind w:left="4"/>
        <w:jc w:val="left"/>
        <w:textAlignment w:val="baseline"/>
        <w:rPr>
          <w:rFonts w:ascii="黑体" w:hAnsi="黑体" w:eastAsia="黑体" w:cs="黑体"/>
          <w:b/>
          <w:bCs/>
          <w:snapToGrid w:val="0"/>
          <w:color w:val="000000"/>
          <w:spacing w:val="31"/>
          <w:kern w:val="0"/>
          <w:sz w:val="31"/>
          <w:szCs w:val="31"/>
          <w:lang w:eastAsia="en-US"/>
        </w:rPr>
      </w:pPr>
      <w:r>
        <w:rPr>
          <w:rFonts w:ascii="黑体" w:hAnsi="黑体" w:eastAsia="黑体" w:cs="黑体"/>
          <w:b/>
          <w:bCs/>
          <w:snapToGrid w:val="0"/>
          <w:color w:val="000000"/>
          <w:spacing w:val="31"/>
          <w:kern w:val="0"/>
          <w:sz w:val="31"/>
          <w:szCs w:val="31"/>
          <w:lang w:eastAsia="en-US"/>
        </w:rPr>
        <w:t> </w:t>
      </w:r>
    </w:p>
    <w:p w14:paraId="70681A21">
      <w:pPr>
        <w:widowControl/>
        <w:kinsoku w:val="0"/>
        <w:autoSpaceDE w:val="0"/>
        <w:autoSpaceDN w:val="0"/>
        <w:adjustRightInd w:val="0"/>
        <w:snapToGrid w:val="0"/>
        <w:spacing w:before="101" w:line="224" w:lineRule="auto"/>
        <w:ind w:left="4"/>
        <w:jc w:val="left"/>
        <w:textAlignment w:val="baseline"/>
        <w:rPr>
          <w:rFonts w:ascii="黑体" w:hAnsi="黑体" w:eastAsia="黑体" w:cs="黑体"/>
          <w:b/>
          <w:bCs/>
          <w:snapToGrid w:val="0"/>
          <w:color w:val="000000"/>
          <w:spacing w:val="31"/>
          <w:kern w:val="0"/>
          <w:sz w:val="31"/>
          <w:szCs w:val="31"/>
          <w:lang w:eastAsia="en-US"/>
        </w:rPr>
      </w:pPr>
      <w:r>
        <w:rPr>
          <w:rFonts w:ascii="黑体" w:hAnsi="黑体" w:eastAsia="黑体" w:cs="黑体"/>
          <w:b/>
          <w:bCs/>
          <w:snapToGrid w:val="0"/>
          <w:color w:val="000000"/>
          <w:spacing w:val="31"/>
          <w:kern w:val="0"/>
          <w:sz w:val="31"/>
          <w:szCs w:val="31"/>
          <w:lang w:eastAsia="en-US"/>
        </w:rPr>
        <w:t> </w:t>
      </w:r>
    </w:p>
    <w:p w14:paraId="059DCD72">
      <w:pPr>
        <w:widowControl/>
        <w:kinsoku w:val="0"/>
        <w:autoSpaceDE w:val="0"/>
        <w:autoSpaceDN w:val="0"/>
        <w:adjustRightInd w:val="0"/>
        <w:snapToGrid w:val="0"/>
        <w:spacing w:before="101" w:line="224" w:lineRule="auto"/>
        <w:ind w:left="4"/>
        <w:jc w:val="center"/>
        <w:textAlignment w:val="baseline"/>
        <w:rPr>
          <w:rFonts w:ascii="宋体" w:hAnsi="宋体" w:eastAsia="宋体" w:cs="宋体"/>
          <w:b/>
          <w:bCs/>
          <w:snapToGrid w:val="0"/>
          <w:color w:val="000000"/>
          <w:spacing w:val="-6"/>
          <w:kern w:val="0"/>
          <w:sz w:val="44"/>
          <w:szCs w:val="44"/>
          <w:lang w:val="en-US" w:eastAsia="en-US" w:bidi="ar-SA"/>
        </w:rPr>
      </w:pPr>
      <w:r>
        <w:rPr>
          <w:rFonts w:ascii="宋体" w:hAnsi="宋体" w:eastAsia="宋体" w:cs="宋体"/>
          <w:b/>
          <w:bCs/>
          <w:snapToGrid w:val="0"/>
          <w:color w:val="000000"/>
          <w:spacing w:val="-6"/>
          <w:kern w:val="0"/>
          <w:sz w:val="44"/>
          <w:szCs w:val="44"/>
          <w:lang w:val="en-US" w:eastAsia="en-US" w:bidi="ar-SA"/>
        </w:rPr>
        <w:t>陕西省教育科技人才体制机制一体 </w:t>
      </w:r>
    </w:p>
    <w:p w14:paraId="7462233B">
      <w:pPr>
        <w:widowControl/>
        <w:kinsoku w:val="0"/>
        <w:autoSpaceDE w:val="0"/>
        <w:autoSpaceDN w:val="0"/>
        <w:adjustRightInd w:val="0"/>
        <w:snapToGrid w:val="0"/>
        <w:spacing w:before="101" w:line="224" w:lineRule="auto"/>
        <w:ind w:left="4"/>
        <w:jc w:val="center"/>
        <w:textAlignment w:val="baseline"/>
        <w:rPr>
          <w:rFonts w:ascii="宋体" w:hAnsi="宋体" w:eastAsia="宋体" w:cs="宋体"/>
          <w:b/>
          <w:bCs/>
          <w:snapToGrid w:val="0"/>
          <w:color w:val="000000"/>
          <w:spacing w:val="-6"/>
          <w:kern w:val="0"/>
          <w:sz w:val="44"/>
          <w:szCs w:val="44"/>
          <w:lang w:val="en-US" w:eastAsia="en-US" w:bidi="ar-SA"/>
        </w:rPr>
      </w:pPr>
      <w:r>
        <w:rPr>
          <w:rFonts w:ascii="宋体" w:hAnsi="宋体" w:eastAsia="宋体" w:cs="宋体"/>
          <w:b/>
          <w:bCs/>
          <w:snapToGrid w:val="0"/>
          <w:color w:val="000000"/>
          <w:spacing w:val="-6"/>
          <w:kern w:val="0"/>
          <w:sz w:val="44"/>
          <w:szCs w:val="44"/>
          <w:lang w:val="en-US" w:eastAsia="en-US" w:bidi="ar-SA"/>
        </w:rPr>
        <w:t>改革任务清单</w:t>
      </w:r>
    </w:p>
    <w:p w14:paraId="760F00CB">
      <w:pPr>
        <w:pStyle w:val="3"/>
        <w:keepNext w:val="0"/>
        <w:keepLines w:val="0"/>
        <w:widowControl/>
        <w:suppressLineNumbers w:val="0"/>
        <w:rPr>
          <w:rFonts w:ascii="宋体" w:hAnsi="宋体" w:eastAsia="宋体" w:cs="宋体"/>
          <w:b/>
          <w:bCs/>
          <w:snapToGrid w:val="0"/>
          <w:color w:val="000000"/>
          <w:spacing w:val="-6"/>
          <w:kern w:val="0"/>
          <w:sz w:val="44"/>
          <w:szCs w:val="44"/>
          <w:lang w:val="en-US" w:eastAsia="en-US" w:bidi="ar-SA"/>
        </w:rPr>
      </w:pPr>
      <w:r>
        <w:rPr>
          <w:rFonts w:ascii="宋体" w:hAnsi="宋体" w:eastAsia="宋体" w:cs="宋体"/>
          <w:b/>
          <w:bCs/>
          <w:snapToGrid w:val="0"/>
          <w:color w:val="000000"/>
          <w:spacing w:val="-6"/>
          <w:kern w:val="0"/>
          <w:sz w:val="44"/>
          <w:szCs w:val="44"/>
          <w:lang w:val="en-US" w:eastAsia="en-US" w:bidi="ar-SA"/>
        </w:rPr>
        <w:t> </w:t>
      </w:r>
    </w:p>
    <w:p w14:paraId="5FCCC46F">
      <w:pPr>
        <w:pStyle w:val="3"/>
        <w:keepNext w:val="0"/>
        <w:keepLines w:val="0"/>
        <w:widowControl/>
        <w:suppressLineNumbers w:val="0"/>
      </w:pPr>
      <w:r>
        <w:t> </w:t>
      </w:r>
    </w:p>
    <w:p w14:paraId="49A0016F">
      <w:pPr>
        <w:widowControl/>
        <w:kinsoku w:val="0"/>
        <w:autoSpaceDE w:val="0"/>
        <w:autoSpaceDN w:val="0"/>
        <w:adjustRightInd w:val="0"/>
        <w:snapToGrid w:val="0"/>
        <w:spacing w:before="101" w:line="221" w:lineRule="auto"/>
        <w:ind w:left="664"/>
        <w:jc w:val="left"/>
        <w:textAlignment w:val="baseline"/>
        <w:outlineLvl w:val="2"/>
        <w:rPr>
          <w:rFonts w:ascii="黑体" w:hAnsi="黑体" w:eastAsia="黑体" w:cs="黑体"/>
          <w:b/>
          <w:bCs/>
          <w:snapToGrid w:val="0"/>
          <w:color w:val="000000"/>
          <w:spacing w:val="3"/>
          <w:kern w:val="0"/>
          <w:sz w:val="31"/>
          <w:szCs w:val="31"/>
          <w:lang w:eastAsia="en-US"/>
        </w:rPr>
      </w:pPr>
      <w:r>
        <w:rPr>
          <w:rFonts w:ascii="黑体" w:hAnsi="黑体" w:eastAsia="黑体" w:cs="黑体"/>
          <w:b/>
          <w:bCs/>
          <w:snapToGrid w:val="0"/>
          <w:color w:val="000000"/>
          <w:spacing w:val="3"/>
          <w:kern w:val="0"/>
          <w:sz w:val="31"/>
          <w:szCs w:val="31"/>
          <w:lang w:eastAsia="en-US"/>
        </w:rPr>
        <w:t>一、重点区域类</w:t>
      </w:r>
    </w:p>
    <w:p w14:paraId="55AF7CEE">
      <w:pPr>
        <w:pStyle w:val="2"/>
        <w:widowControl/>
        <w:kinsoku w:val="0"/>
        <w:autoSpaceDE w:val="0"/>
        <w:autoSpaceDN w:val="0"/>
        <w:adjustRightInd w:val="0"/>
        <w:snapToGrid w:val="0"/>
        <w:spacing w:before="234" w:line="357" w:lineRule="auto"/>
        <w:ind w:right="304" w:firstLine="659"/>
        <w:jc w:val="both"/>
        <w:textAlignment w:val="baseline"/>
        <w:rPr>
          <w:rFonts w:hint="eastAsia" w:ascii="方正仿宋_GB2312" w:hAnsi="方正仿宋_GB2312" w:eastAsia="方正仿宋_GB2312" w:cs="方正仿宋_GB2312"/>
          <w:snapToGrid w:val="0"/>
          <w:color w:val="000000"/>
          <w:spacing w:val="8"/>
          <w:kern w:val="0"/>
          <w:sz w:val="31"/>
          <w:szCs w:val="31"/>
          <w:lang w:val="en-US" w:eastAsia="en-US"/>
        </w:rPr>
      </w:pPr>
      <w:r>
        <w:rPr>
          <w:rFonts w:hint="eastAsia" w:ascii="方正仿宋_GB2312" w:hAnsi="方正仿宋_GB2312" w:eastAsia="方正仿宋_GB2312" w:cs="方正仿宋_GB2312"/>
          <w:snapToGrid w:val="0"/>
          <w:color w:val="000000"/>
          <w:spacing w:val="8"/>
          <w:kern w:val="0"/>
          <w:sz w:val="31"/>
          <w:szCs w:val="31"/>
          <w:lang w:val="en-US" w:eastAsia="en-US"/>
        </w:rPr>
        <w:t>1.进一步聚集科教资源、创新主体、创新人才，因地制宜探索教育科技人才一体化发展体制机制、政策路径等措施，深化校院地企融合发展，深化“企业出题、政府助题、高校院所解题、市场评价”协同创新机制。</w:t>
      </w:r>
    </w:p>
    <w:p w14:paraId="3E4C9206">
      <w:pPr>
        <w:pStyle w:val="2"/>
        <w:widowControl/>
        <w:kinsoku w:val="0"/>
        <w:autoSpaceDE w:val="0"/>
        <w:autoSpaceDN w:val="0"/>
        <w:adjustRightInd w:val="0"/>
        <w:snapToGrid w:val="0"/>
        <w:spacing w:before="234" w:line="357" w:lineRule="auto"/>
        <w:ind w:right="304" w:firstLine="659"/>
        <w:jc w:val="both"/>
        <w:textAlignment w:val="baseline"/>
        <w:rPr>
          <w:rFonts w:hint="eastAsia" w:ascii="方正仿宋_GB2312" w:hAnsi="方正仿宋_GB2312" w:eastAsia="方正仿宋_GB2312" w:cs="方正仿宋_GB2312"/>
          <w:snapToGrid w:val="0"/>
          <w:color w:val="000000"/>
          <w:spacing w:val="8"/>
          <w:kern w:val="0"/>
          <w:sz w:val="31"/>
          <w:szCs w:val="31"/>
          <w:lang w:val="en-US" w:eastAsia="en-US"/>
        </w:rPr>
      </w:pPr>
      <w:r>
        <w:rPr>
          <w:rFonts w:hint="eastAsia" w:ascii="方正仿宋_GB2312" w:hAnsi="方正仿宋_GB2312" w:eastAsia="方正仿宋_GB2312" w:cs="方正仿宋_GB2312"/>
          <w:snapToGrid w:val="0"/>
          <w:color w:val="000000"/>
          <w:spacing w:val="8"/>
          <w:kern w:val="0"/>
          <w:sz w:val="31"/>
          <w:szCs w:val="31"/>
          <w:lang w:val="en-US" w:eastAsia="en-US"/>
        </w:rPr>
        <w:t>2.推进“高校院所+头部企业”“企业+团队+基地”模式，设立联合研究机构、开展联合攻关、协同培育人才。支持深化“百园百校万企”创新合作行动，构建“1+1+N”创新生态体系，促进产教融合和科技成果转化落地。</w:t>
      </w:r>
    </w:p>
    <w:p w14:paraId="6FD118AD">
      <w:pPr>
        <w:pStyle w:val="2"/>
        <w:widowControl/>
        <w:kinsoku w:val="0"/>
        <w:autoSpaceDE w:val="0"/>
        <w:autoSpaceDN w:val="0"/>
        <w:adjustRightInd w:val="0"/>
        <w:snapToGrid w:val="0"/>
        <w:spacing w:before="234" w:line="357" w:lineRule="auto"/>
        <w:ind w:right="304" w:firstLine="659"/>
        <w:jc w:val="both"/>
        <w:textAlignment w:val="baseline"/>
        <w:rPr>
          <w:rFonts w:hint="eastAsia" w:ascii="方正仿宋_GB2312" w:hAnsi="方正仿宋_GB2312" w:eastAsia="方正仿宋_GB2312" w:cs="方正仿宋_GB2312"/>
          <w:snapToGrid w:val="0"/>
          <w:color w:val="000000"/>
          <w:spacing w:val="8"/>
          <w:kern w:val="0"/>
          <w:sz w:val="31"/>
          <w:szCs w:val="31"/>
          <w:lang w:val="en-US" w:eastAsia="en-US"/>
        </w:rPr>
      </w:pPr>
      <w:r>
        <w:rPr>
          <w:rFonts w:hint="eastAsia" w:ascii="方正仿宋_GB2312" w:hAnsi="方正仿宋_GB2312" w:eastAsia="方正仿宋_GB2312" w:cs="方正仿宋_GB2312"/>
          <w:snapToGrid w:val="0"/>
          <w:color w:val="000000"/>
          <w:spacing w:val="8"/>
          <w:kern w:val="0"/>
          <w:sz w:val="31"/>
          <w:szCs w:val="31"/>
          <w:lang w:val="en-US" w:eastAsia="en-US"/>
        </w:rPr>
        <w:t>3.推动科技人才在高校、科研院所、企业间有序共享流动。开展科技人才评价改革。探索设立教育科技人才一体化发展人才改革试验区，对顶尖人才和创新团队按照“一人一策”“一事一议”方式给予特殊支持，持续集成升级全周期、一站式优质服务。</w:t>
      </w:r>
    </w:p>
    <w:p w14:paraId="2DF60E47">
      <w:pPr>
        <w:pStyle w:val="2"/>
        <w:widowControl/>
        <w:kinsoku w:val="0"/>
        <w:autoSpaceDE w:val="0"/>
        <w:autoSpaceDN w:val="0"/>
        <w:adjustRightInd w:val="0"/>
        <w:snapToGrid w:val="0"/>
        <w:spacing w:before="234" w:line="357" w:lineRule="auto"/>
        <w:ind w:right="304" w:firstLine="659"/>
        <w:jc w:val="both"/>
        <w:textAlignment w:val="baseline"/>
        <w:rPr>
          <w:rFonts w:hint="eastAsia" w:ascii="方正仿宋_GB2312" w:hAnsi="方正仿宋_GB2312" w:eastAsia="方正仿宋_GB2312" w:cs="方正仿宋_GB2312"/>
          <w:snapToGrid w:val="0"/>
          <w:color w:val="000000"/>
          <w:spacing w:val="8"/>
          <w:kern w:val="0"/>
          <w:sz w:val="31"/>
          <w:szCs w:val="31"/>
          <w:lang w:val="en-US" w:eastAsia="en-US"/>
        </w:rPr>
      </w:pPr>
      <w:r>
        <w:rPr>
          <w:rFonts w:hint="eastAsia" w:ascii="方正仿宋_GB2312" w:hAnsi="方正仿宋_GB2312" w:eastAsia="方正仿宋_GB2312" w:cs="方正仿宋_GB2312"/>
          <w:snapToGrid w:val="0"/>
          <w:color w:val="000000"/>
          <w:spacing w:val="8"/>
          <w:kern w:val="0"/>
          <w:sz w:val="31"/>
          <w:szCs w:val="31"/>
          <w:lang w:val="en-US" w:eastAsia="en-US"/>
        </w:rPr>
        <w:t>4.支持健全完善同科技创新相适应的科技金融机制，发展壮大投早、投小、投长期、投硬科技的耐心资本，加强对创新型企业的金融和社会资本支持。</w:t>
      </w:r>
    </w:p>
    <w:p w14:paraId="22BBED80">
      <w:pPr>
        <w:widowControl/>
        <w:kinsoku w:val="0"/>
        <w:autoSpaceDE w:val="0"/>
        <w:autoSpaceDN w:val="0"/>
        <w:adjustRightInd w:val="0"/>
        <w:snapToGrid w:val="0"/>
        <w:spacing w:before="101" w:line="221" w:lineRule="auto"/>
        <w:ind w:left="678"/>
        <w:jc w:val="left"/>
        <w:textAlignment w:val="baseline"/>
        <w:outlineLvl w:val="2"/>
        <w:rPr>
          <w:rFonts w:ascii="黑体" w:hAnsi="黑体" w:eastAsia="黑体" w:cs="黑体"/>
          <w:b/>
          <w:bCs/>
          <w:snapToGrid w:val="0"/>
          <w:color w:val="000000"/>
          <w:spacing w:val="5"/>
          <w:kern w:val="0"/>
          <w:sz w:val="31"/>
          <w:szCs w:val="31"/>
          <w:lang w:eastAsia="en-US"/>
        </w:rPr>
      </w:pPr>
      <w:r>
        <w:rPr>
          <w:rFonts w:ascii="黑体" w:hAnsi="黑体" w:eastAsia="黑体" w:cs="黑体"/>
          <w:b/>
          <w:bCs/>
          <w:snapToGrid w:val="0"/>
          <w:color w:val="000000"/>
          <w:spacing w:val="5"/>
          <w:kern w:val="0"/>
          <w:sz w:val="31"/>
          <w:szCs w:val="31"/>
          <w:lang w:eastAsia="en-US"/>
        </w:rPr>
        <w:t>二、重点领域类</w:t>
      </w:r>
    </w:p>
    <w:p w14:paraId="7AE09C1E">
      <w:pPr>
        <w:pStyle w:val="2"/>
        <w:widowControl/>
        <w:kinsoku w:val="0"/>
        <w:autoSpaceDE w:val="0"/>
        <w:autoSpaceDN w:val="0"/>
        <w:adjustRightInd w:val="0"/>
        <w:snapToGrid w:val="0"/>
        <w:spacing w:before="234" w:line="357" w:lineRule="auto"/>
        <w:ind w:right="304" w:firstLine="659"/>
        <w:jc w:val="both"/>
        <w:textAlignment w:val="baseline"/>
        <w:rPr>
          <w:rFonts w:hint="eastAsia" w:ascii="方正仿宋_GB2312" w:hAnsi="方正仿宋_GB2312" w:eastAsia="方正仿宋_GB2312" w:cs="方正仿宋_GB2312"/>
          <w:snapToGrid w:val="0"/>
          <w:color w:val="000000"/>
          <w:spacing w:val="8"/>
          <w:kern w:val="0"/>
          <w:sz w:val="31"/>
          <w:szCs w:val="31"/>
          <w:lang w:val="en-US" w:eastAsia="en-US"/>
        </w:rPr>
      </w:pPr>
      <w:r>
        <w:rPr>
          <w:rFonts w:hint="eastAsia" w:ascii="方正仿宋_GB2312" w:hAnsi="方正仿宋_GB2312" w:eastAsia="方正仿宋_GB2312" w:cs="方正仿宋_GB2312"/>
          <w:snapToGrid w:val="0"/>
          <w:color w:val="000000"/>
          <w:spacing w:val="8"/>
          <w:kern w:val="0"/>
          <w:sz w:val="31"/>
          <w:szCs w:val="31"/>
          <w:lang w:val="en-US" w:eastAsia="en-US"/>
        </w:rPr>
        <w:t>1.支持探索领域特色鲜明的一体化发展体制机制、政策路径等措施，一体化部署平台、项目、人才、资金等资源要素，聚焦重点产业“产学研用金介云”开展协同创新，深化“科创+  园区+产业+金融”“研究机构+天使投资+创业平台+孵化服务”“平台+人才+技术+产品”等机制模式，加速科技成果转化产业化，加快孵化科技型企业。</w:t>
      </w:r>
    </w:p>
    <w:p w14:paraId="49E514CE">
      <w:pPr>
        <w:pStyle w:val="2"/>
        <w:widowControl/>
        <w:kinsoku w:val="0"/>
        <w:autoSpaceDE w:val="0"/>
        <w:autoSpaceDN w:val="0"/>
        <w:adjustRightInd w:val="0"/>
        <w:snapToGrid w:val="0"/>
        <w:spacing w:before="234" w:line="357" w:lineRule="auto"/>
        <w:ind w:right="304" w:firstLine="659"/>
        <w:jc w:val="both"/>
        <w:textAlignment w:val="baseline"/>
        <w:rPr>
          <w:rFonts w:hint="eastAsia" w:ascii="方正仿宋_GB2312" w:hAnsi="方正仿宋_GB2312" w:eastAsia="方正仿宋_GB2312" w:cs="方正仿宋_GB2312"/>
          <w:snapToGrid w:val="0"/>
          <w:color w:val="000000"/>
          <w:spacing w:val="8"/>
          <w:kern w:val="0"/>
          <w:sz w:val="31"/>
          <w:szCs w:val="31"/>
          <w:lang w:val="en-US" w:eastAsia="en-US"/>
        </w:rPr>
      </w:pPr>
      <w:r>
        <w:rPr>
          <w:rFonts w:hint="eastAsia" w:ascii="方正仿宋_GB2312" w:hAnsi="方正仿宋_GB2312" w:eastAsia="方正仿宋_GB2312" w:cs="方正仿宋_GB2312"/>
          <w:snapToGrid w:val="0"/>
          <w:color w:val="000000"/>
          <w:spacing w:val="8"/>
          <w:kern w:val="0"/>
          <w:sz w:val="31"/>
          <w:szCs w:val="31"/>
          <w:lang w:val="en-US" w:eastAsia="en-US"/>
        </w:rPr>
        <w:t>2.围绕重点产业链提升靶向攻关和重大先进技术成果转化“双向”快速响应能力，放大关键核心技术攻关能级规模。推动 “科研-中试-产业”三位一体融合发展，组建更多任务型创新联合体，加强重点领域概念验证、中试验证和共性技术平台统筹布局和能力建设。</w:t>
      </w:r>
    </w:p>
    <w:p w14:paraId="3CE28B31">
      <w:pPr>
        <w:pStyle w:val="2"/>
        <w:widowControl/>
        <w:kinsoku w:val="0"/>
        <w:autoSpaceDE w:val="0"/>
        <w:autoSpaceDN w:val="0"/>
        <w:adjustRightInd w:val="0"/>
        <w:snapToGrid w:val="0"/>
        <w:spacing w:before="234" w:line="357" w:lineRule="auto"/>
        <w:ind w:right="304" w:firstLine="659"/>
        <w:jc w:val="both"/>
        <w:textAlignment w:val="baseline"/>
        <w:rPr>
          <w:rFonts w:hint="eastAsia" w:ascii="方正仿宋_GB2312" w:hAnsi="方正仿宋_GB2312" w:eastAsia="方正仿宋_GB2312" w:cs="方正仿宋_GB2312"/>
          <w:snapToGrid w:val="0"/>
          <w:color w:val="000000"/>
          <w:spacing w:val="8"/>
          <w:kern w:val="0"/>
          <w:sz w:val="31"/>
          <w:szCs w:val="31"/>
          <w:lang w:val="en-US" w:eastAsia="en-US"/>
        </w:rPr>
      </w:pPr>
      <w:r>
        <w:rPr>
          <w:rFonts w:hint="eastAsia" w:ascii="方正仿宋_GB2312" w:hAnsi="方正仿宋_GB2312" w:eastAsia="方正仿宋_GB2312" w:cs="方正仿宋_GB2312"/>
          <w:snapToGrid w:val="0"/>
          <w:color w:val="000000"/>
          <w:spacing w:val="8"/>
          <w:kern w:val="0"/>
          <w:sz w:val="31"/>
          <w:szCs w:val="31"/>
          <w:lang w:val="en-US" w:eastAsia="en-US"/>
        </w:rPr>
        <w:t>3.支持行业领域开展科技人才评价改革，推动行业领域科技人才在高校、科研院所、企业间有序共享流动。加快培育跨专业、跨学科、跨领域的高水平人才队伍，助力重点领域关键核心技术攻关，加速产业迭代升级。</w:t>
      </w:r>
    </w:p>
    <w:p w14:paraId="2813009E">
      <w:pPr>
        <w:pStyle w:val="2"/>
        <w:widowControl/>
        <w:kinsoku w:val="0"/>
        <w:autoSpaceDE w:val="0"/>
        <w:autoSpaceDN w:val="0"/>
        <w:adjustRightInd w:val="0"/>
        <w:snapToGrid w:val="0"/>
        <w:spacing w:before="234" w:line="357" w:lineRule="auto"/>
        <w:ind w:right="304" w:firstLine="659"/>
        <w:jc w:val="both"/>
        <w:textAlignment w:val="baseline"/>
        <w:rPr>
          <w:rFonts w:hint="eastAsia" w:ascii="方正仿宋_GB2312" w:hAnsi="方正仿宋_GB2312" w:eastAsia="方正仿宋_GB2312" w:cs="方正仿宋_GB2312"/>
          <w:snapToGrid w:val="0"/>
          <w:color w:val="000000"/>
          <w:spacing w:val="8"/>
          <w:kern w:val="0"/>
          <w:sz w:val="31"/>
          <w:szCs w:val="31"/>
          <w:lang w:val="en-US" w:eastAsia="en-US"/>
        </w:rPr>
      </w:pPr>
      <w:r>
        <w:rPr>
          <w:rFonts w:hint="eastAsia" w:ascii="方正仿宋_GB2312" w:hAnsi="方正仿宋_GB2312" w:eastAsia="方正仿宋_GB2312" w:cs="方正仿宋_GB2312"/>
          <w:snapToGrid w:val="0"/>
          <w:color w:val="000000"/>
          <w:spacing w:val="8"/>
          <w:kern w:val="0"/>
          <w:sz w:val="31"/>
          <w:szCs w:val="31"/>
          <w:lang w:val="en-US" w:eastAsia="en-US"/>
        </w:rPr>
        <w:t>4.开展新技术新产品新场景大规模应用示范，拓展数据应用市场需求，打造典型应用场景，加快科技成果转化和产品迭代应用。</w:t>
      </w:r>
    </w:p>
    <w:p w14:paraId="27F455F6">
      <w:pPr>
        <w:widowControl/>
        <w:kinsoku w:val="0"/>
        <w:autoSpaceDE w:val="0"/>
        <w:autoSpaceDN w:val="0"/>
        <w:adjustRightInd w:val="0"/>
        <w:snapToGrid w:val="0"/>
        <w:spacing w:before="101" w:line="221" w:lineRule="auto"/>
        <w:ind w:left="678"/>
        <w:jc w:val="left"/>
        <w:textAlignment w:val="baseline"/>
        <w:outlineLvl w:val="2"/>
        <w:rPr>
          <w:rFonts w:ascii="黑体" w:hAnsi="黑体" w:eastAsia="黑体" w:cs="黑体"/>
          <w:b/>
          <w:bCs/>
          <w:snapToGrid w:val="0"/>
          <w:color w:val="000000"/>
          <w:spacing w:val="5"/>
          <w:kern w:val="0"/>
          <w:sz w:val="31"/>
          <w:szCs w:val="31"/>
          <w:lang w:eastAsia="en-US"/>
        </w:rPr>
      </w:pPr>
      <w:r>
        <w:rPr>
          <w:rFonts w:ascii="黑体" w:hAnsi="黑体" w:eastAsia="黑体" w:cs="黑体"/>
          <w:b/>
          <w:bCs/>
          <w:snapToGrid w:val="0"/>
          <w:color w:val="000000"/>
          <w:spacing w:val="5"/>
          <w:kern w:val="0"/>
          <w:sz w:val="31"/>
          <w:szCs w:val="31"/>
          <w:lang w:eastAsia="en-US"/>
        </w:rPr>
        <w:t>三 、重点单位类</w:t>
      </w:r>
    </w:p>
    <w:p w14:paraId="7FE08233">
      <w:pPr>
        <w:pStyle w:val="2"/>
        <w:widowControl/>
        <w:kinsoku w:val="0"/>
        <w:autoSpaceDE w:val="0"/>
        <w:autoSpaceDN w:val="0"/>
        <w:adjustRightInd w:val="0"/>
        <w:snapToGrid w:val="0"/>
        <w:spacing w:before="234" w:line="357" w:lineRule="auto"/>
        <w:ind w:right="304" w:firstLine="659"/>
        <w:jc w:val="both"/>
        <w:textAlignment w:val="baseline"/>
        <w:rPr>
          <w:rFonts w:hint="eastAsia" w:ascii="方正仿宋_GB2312" w:hAnsi="方正仿宋_GB2312" w:eastAsia="方正仿宋_GB2312" w:cs="方正仿宋_GB2312"/>
          <w:snapToGrid w:val="0"/>
          <w:color w:val="000000"/>
          <w:spacing w:val="8"/>
          <w:kern w:val="0"/>
          <w:sz w:val="31"/>
          <w:szCs w:val="31"/>
          <w:lang w:val="en-US" w:eastAsia="en-US"/>
        </w:rPr>
      </w:pPr>
      <w:r>
        <w:rPr>
          <w:rFonts w:hint="eastAsia" w:ascii="方正仿宋_GB2312" w:hAnsi="方正仿宋_GB2312" w:eastAsia="方正仿宋_GB2312" w:cs="方正仿宋_GB2312"/>
          <w:snapToGrid w:val="0"/>
          <w:color w:val="000000"/>
          <w:spacing w:val="8"/>
          <w:kern w:val="0"/>
          <w:sz w:val="31"/>
          <w:szCs w:val="31"/>
          <w:lang w:val="en-US" w:eastAsia="en-US"/>
        </w:rPr>
        <w:t>1.发挥高校基础研究和人才培养主力军作用，建立完善科教协同育人机制，大力提升新工科、新农科、新医科和新兴交叉学科等科研能力，完善高校与产业对接机制和新型校企合作模式，持续畅通高校成果转化通道，在工程化实战环境、成果转移转化进程中培养适应产业发展需求的创新人才。</w:t>
      </w:r>
    </w:p>
    <w:p w14:paraId="1A046C92">
      <w:pPr>
        <w:pStyle w:val="2"/>
        <w:widowControl/>
        <w:kinsoku w:val="0"/>
        <w:autoSpaceDE w:val="0"/>
        <w:autoSpaceDN w:val="0"/>
        <w:adjustRightInd w:val="0"/>
        <w:snapToGrid w:val="0"/>
        <w:spacing w:before="234" w:line="357" w:lineRule="auto"/>
        <w:ind w:right="304" w:firstLine="659"/>
        <w:jc w:val="both"/>
        <w:textAlignment w:val="baseline"/>
        <w:rPr>
          <w:rFonts w:hint="eastAsia" w:ascii="方正仿宋_GB2312" w:hAnsi="方正仿宋_GB2312" w:eastAsia="方正仿宋_GB2312" w:cs="方正仿宋_GB2312"/>
          <w:snapToGrid w:val="0"/>
          <w:color w:val="000000"/>
          <w:spacing w:val="8"/>
          <w:kern w:val="0"/>
          <w:sz w:val="31"/>
          <w:szCs w:val="31"/>
          <w:lang w:val="en-US" w:eastAsia="en-US"/>
        </w:rPr>
      </w:pPr>
      <w:r>
        <w:rPr>
          <w:rFonts w:hint="eastAsia" w:ascii="方正仿宋_GB2312" w:hAnsi="方正仿宋_GB2312" w:eastAsia="方正仿宋_GB2312" w:cs="方正仿宋_GB2312"/>
          <w:snapToGrid w:val="0"/>
          <w:color w:val="000000"/>
          <w:spacing w:val="8"/>
          <w:kern w:val="0"/>
          <w:sz w:val="31"/>
          <w:szCs w:val="31"/>
          <w:lang w:val="en-US" w:eastAsia="en-US"/>
        </w:rPr>
        <w:t>2.深化科研院所改革，推动科研范式变革与科研组织模式变革，服务国家重大战略需求和重大核心任务。强化协同创新，围绕重点产业需求牵头开展共性技术协同研究，自主培养自然科学和工程科技领域高层次人才团队，探索建设新型研发机构。</w:t>
      </w:r>
    </w:p>
    <w:p w14:paraId="5D9A92E5">
      <w:pPr>
        <w:pStyle w:val="2"/>
        <w:widowControl/>
        <w:kinsoku w:val="0"/>
        <w:autoSpaceDE w:val="0"/>
        <w:autoSpaceDN w:val="0"/>
        <w:adjustRightInd w:val="0"/>
        <w:snapToGrid w:val="0"/>
        <w:spacing w:before="234" w:line="357" w:lineRule="auto"/>
        <w:ind w:right="304" w:firstLine="659"/>
        <w:jc w:val="both"/>
        <w:textAlignment w:val="baseline"/>
        <w:rPr>
          <w:rFonts w:hint="eastAsia" w:ascii="方正仿宋_GB2312" w:hAnsi="方正仿宋_GB2312" w:eastAsia="方正仿宋_GB2312" w:cs="方正仿宋_GB2312"/>
          <w:snapToGrid w:val="0"/>
          <w:color w:val="000000"/>
          <w:spacing w:val="8"/>
          <w:kern w:val="0"/>
          <w:sz w:val="31"/>
          <w:szCs w:val="31"/>
          <w:lang w:val="en-US" w:eastAsia="en-US"/>
        </w:rPr>
      </w:pPr>
      <w:r>
        <w:rPr>
          <w:rFonts w:hint="eastAsia" w:ascii="方正仿宋_GB2312" w:hAnsi="方正仿宋_GB2312" w:eastAsia="方正仿宋_GB2312" w:cs="方正仿宋_GB2312"/>
          <w:snapToGrid w:val="0"/>
          <w:color w:val="000000"/>
          <w:spacing w:val="8"/>
          <w:kern w:val="0"/>
          <w:sz w:val="31"/>
          <w:szCs w:val="31"/>
          <w:lang w:val="en-US" w:eastAsia="en-US"/>
        </w:rPr>
        <w:t>3.培育壮大科技领军(潜力)企业队伍，发挥企业市场需求、集成创新、组织平台优势，牵头组建创新联合体，牵头承担国家和我省重大科技任务，加强产业创新人才培养，加快科技成果转化和产业化。</w:t>
      </w:r>
    </w:p>
    <w:p w14:paraId="6B6CE1EA">
      <w:pPr>
        <w:pStyle w:val="2"/>
        <w:widowControl/>
        <w:kinsoku w:val="0"/>
        <w:autoSpaceDE w:val="0"/>
        <w:autoSpaceDN w:val="0"/>
        <w:adjustRightInd w:val="0"/>
        <w:snapToGrid w:val="0"/>
        <w:spacing w:before="234" w:line="357" w:lineRule="auto"/>
        <w:ind w:right="304" w:firstLine="659"/>
        <w:jc w:val="both"/>
        <w:textAlignment w:val="baseline"/>
        <w:rPr>
          <w:rFonts w:hint="eastAsia" w:ascii="方正仿宋_GB2312" w:hAnsi="方正仿宋_GB2312" w:eastAsia="方正仿宋_GB2312" w:cs="方正仿宋_GB2312"/>
          <w:snapToGrid w:val="0"/>
          <w:color w:val="000000"/>
          <w:spacing w:val="8"/>
          <w:kern w:val="0"/>
          <w:sz w:val="31"/>
          <w:szCs w:val="31"/>
          <w:lang w:val="en-US" w:eastAsia="en-US"/>
        </w:rPr>
      </w:pPr>
      <w:r>
        <w:rPr>
          <w:rFonts w:hint="eastAsia" w:ascii="方正仿宋_GB2312" w:hAnsi="方正仿宋_GB2312" w:eastAsia="方正仿宋_GB2312" w:cs="方正仿宋_GB2312"/>
          <w:snapToGrid w:val="0"/>
          <w:color w:val="000000"/>
          <w:spacing w:val="8"/>
          <w:kern w:val="0"/>
          <w:sz w:val="31"/>
          <w:szCs w:val="31"/>
          <w:lang w:val="en-US" w:eastAsia="en-US"/>
        </w:rPr>
        <w:t>4.创新人才资源共享机制，支持企业人才担任“产业教授”“产业导师”,高校、科研院所科技人才到企业担任“科技副总”“科技顾问”。加快引育战略科学家、 一流科技领军人才和创新团队、青年科技人才。扩大科研助理队伍规模并支持发挥更大作用。探索重大科技项目“业主制”和“项目经理人制”。</w:t>
      </w:r>
    </w:p>
    <w:p w14:paraId="10DF2745">
      <w:pPr>
        <w:pStyle w:val="2"/>
        <w:widowControl/>
        <w:kinsoku w:val="0"/>
        <w:autoSpaceDE w:val="0"/>
        <w:autoSpaceDN w:val="0"/>
        <w:adjustRightInd w:val="0"/>
        <w:snapToGrid w:val="0"/>
        <w:spacing w:before="234" w:line="357" w:lineRule="auto"/>
        <w:ind w:right="304" w:firstLine="659"/>
        <w:jc w:val="both"/>
        <w:textAlignment w:val="baseline"/>
        <w:rPr>
          <w:rFonts w:hint="eastAsia" w:ascii="方正仿宋_GB2312" w:hAnsi="方正仿宋_GB2312" w:eastAsia="方正仿宋_GB2312" w:cs="方正仿宋_GB2312"/>
          <w:snapToGrid w:val="0"/>
          <w:color w:val="000000"/>
          <w:spacing w:val="8"/>
          <w:kern w:val="0"/>
          <w:sz w:val="31"/>
          <w:szCs w:val="31"/>
          <w:lang w:val="en-US" w:eastAsia="en-US"/>
        </w:rPr>
      </w:pPr>
      <w:r>
        <w:rPr>
          <w:rFonts w:hint="eastAsia" w:ascii="方正仿宋_GB2312" w:hAnsi="方正仿宋_GB2312" w:eastAsia="方正仿宋_GB2312" w:cs="方正仿宋_GB2312"/>
          <w:snapToGrid w:val="0"/>
          <w:color w:val="000000"/>
          <w:spacing w:val="8"/>
          <w:kern w:val="0"/>
          <w:sz w:val="31"/>
          <w:szCs w:val="31"/>
          <w:lang w:val="en-US" w:eastAsia="en-US"/>
        </w:rPr>
        <w:t>5.深化科技人才评价改革，健全完善基础研究人员长期稳定支持机制、青年科技人员长周期评价机制、应用研究和技术开发人员市场评价机制，将科技成果转化成效、横向课题贡献纳入人才评价核心指标或加大指标权重。</w:t>
      </w:r>
    </w:p>
    <w:p w14:paraId="4E0F4E23">
      <w:pPr>
        <w:pStyle w:val="2"/>
        <w:widowControl/>
        <w:kinsoku w:val="0"/>
        <w:autoSpaceDE w:val="0"/>
        <w:autoSpaceDN w:val="0"/>
        <w:adjustRightInd w:val="0"/>
        <w:snapToGrid w:val="0"/>
        <w:spacing w:before="234" w:line="357" w:lineRule="auto"/>
        <w:ind w:right="304" w:firstLine="659"/>
        <w:jc w:val="both"/>
        <w:textAlignment w:val="baseline"/>
        <w:rPr>
          <w:rFonts w:hint="eastAsia" w:ascii="方正仿宋_GB2312" w:hAnsi="方正仿宋_GB2312" w:eastAsia="方正仿宋_GB2312" w:cs="方正仿宋_GB2312"/>
          <w:snapToGrid w:val="0"/>
          <w:color w:val="000000"/>
          <w:spacing w:val="8"/>
          <w:kern w:val="0"/>
          <w:sz w:val="31"/>
          <w:szCs w:val="31"/>
          <w:lang w:val="en-US" w:eastAsia="en-US"/>
        </w:rPr>
      </w:pPr>
      <w:r>
        <w:rPr>
          <w:rFonts w:hint="eastAsia" w:ascii="方正仿宋_GB2312" w:hAnsi="方正仿宋_GB2312" w:eastAsia="方正仿宋_GB2312" w:cs="方正仿宋_GB2312"/>
          <w:snapToGrid w:val="0"/>
          <w:color w:val="000000"/>
          <w:spacing w:val="8"/>
          <w:kern w:val="0"/>
          <w:sz w:val="31"/>
          <w:szCs w:val="31"/>
          <w:lang w:val="en-US" w:eastAsia="en-US"/>
        </w:rPr>
        <w:t>6.服务国家对外开放合作战略，深化“一带一路”国际科技合作，构建运营高水平合作平台、合作项目、合作关系，支持培养国际化科技人才、引进高层次人才，支持参与国际科技组织、多边合作机制和国际科技期刊事务。</w:t>
      </w:r>
    </w:p>
    <w:p w14:paraId="69FB16F8">
      <w:pPr>
        <w:widowControl/>
        <w:kinsoku w:val="0"/>
        <w:autoSpaceDE w:val="0"/>
        <w:autoSpaceDN w:val="0"/>
        <w:adjustRightInd w:val="0"/>
        <w:snapToGrid w:val="0"/>
        <w:spacing w:before="101" w:line="221" w:lineRule="auto"/>
        <w:ind w:left="678"/>
        <w:jc w:val="left"/>
        <w:textAlignment w:val="baseline"/>
        <w:outlineLvl w:val="2"/>
        <w:rPr>
          <w:rFonts w:ascii="黑体" w:hAnsi="黑体" w:eastAsia="黑体" w:cs="黑体"/>
          <w:b/>
          <w:bCs/>
          <w:snapToGrid w:val="0"/>
          <w:color w:val="000000"/>
          <w:spacing w:val="5"/>
          <w:kern w:val="0"/>
          <w:sz w:val="31"/>
          <w:szCs w:val="31"/>
          <w:lang w:eastAsia="en-US"/>
        </w:rPr>
      </w:pPr>
      <w:r>
        <w:rPr>
          <w:rFonts w:ascii="黑体" w:hAnsi="黑体" w:eastAsia="黑体" w:cs="黑体"/>
          <w:b/>
          <w:bCs/>
          <w:snapToGrid w:val="0"/>
          <w:color w:val="000000"/>
          <w:spacing w:val="5"/>
          <w:kern w:val="0"/>
          <w:sz w:val="31"/>
          <w:szCs w:val="31"/>
          <w:lang w:eastAsia="en-US"/>
        </w:rPr>
        <w:t>四 、重点平台类</w:t>
      </w:r>
    </w:p>
    <w:p w14:paraId="24359B75">
      <w:pPr>
        <w:pStyle w:val="3"/>
        <w:keepNext w:val="0"/>
        <w:keepLines w:val="0"/>
        <w:widowControl/>
        <w:suppressLineNumbers w:val="0"/>
        <w:ind w:firstLine="652" w:firstLineChars="200"/>
        <w:jc w:val="left"/>
        <w:rPr>
          <w:rFonts w:hint="eastAsia" w:ascii="方正仿宋_GB2312" w:hAnsi="方正仿宋_GB2312" w:eastAsia="方正仿宋_GB2312" w:cs="方正仿宋_GB2312"/>
          <w:snapToGrid w:val="0"/>
          <w:color w:val="000000"/>
          <w:spacing w:val="8"/>
          <w:kern w:val="0"/>
          <w:sz w:val="31"/>
          <w:szCs w:val="31"/>
          <w:lang w:val="en-US" w:eastAsia="en-US" w:bidi="ar-SA"/>
        </w:rPr>
      </w:pPr>
      <w:r>
        <w:rPr>
          <w:rFonts w:hint="eastAsia" w:ascii="方正仿宋_GB2312" w:hAnsi="方正仿宋_GB2312" w:eastAsia="方正仿宋_GB2312" w:cs="方正仿宋_GB2312"/>
          <w:snapToGrid w:val="0"/>
          <w:color w:val="000000"/>
          <w:spacing w:val="8"/>
          <w:kern w:val="0"/>
          <w:sz w:val="31"/>
          <w:szCs w:val="31"/>
          <w:lang w:val="en-US" w:eastAsia="en-US" w:bidi="ar-SA"/>
        </w:rPr>
        <w:t>1.加快建设陕西实验室、全国重点实验室、大科学装置、国家技术创新中心、大学科技园等高能级科创平台基地，增强原始创新策源功能，产出重大原创成果。以平台聚集人才、聚集项目，在基础研究、应用研究、中试转化中引育人才和团队。</w:t>
      </w:r>
    </w:p>
    <w:p w14:paraId="418637F2">
      <w:pPr>
        <w:pStyle w:val="3"/>
        <w:keepNext w:val="0"/>
        <w:keepLines w:val="0"/>
        <w:widowControl/>
        <w:suppressLineNumbers w:val="0"/>
        <w:ind w:firstLine="652" w:firstLineChars="200"/>
        <w:jc w:val="left"/>
        <w:rPr>
          <w:rFonts w:hint="eastAsia" w:ascii="方正仿宋_GB2312" w:hAnsi="方正仿宋_GB2312" w:eastAsia="方正仿宋_GB2312" w:cs="方正仿宋_GB2312"/>
          <w:snapToGrid w:val="0"/>
          <w:color w:val="000000"/>
          <w:spacing w:val="8"/>
          <w:kern w:val="0"/>
          <w:sz w:val="31"/>
          <w:szCs w:val="31"/>
          <w:lang w:val="en-US" w:eastAsia="en-US" w:bidi="ar-SA"/>
        </w:rPr>
      </w:pPr>
      <w:r>
        <w:rPr>
          <w:rFonts w:hint="eastAsia" w:ascii="方正仿宋_GB2312" w:hAnsi="方正仿宋_GB2312" w:eastAsia="方正仿宋_GB2312" w:cs="方正仿宋_GB2312"/>
          <w:snapToGrid w:val="0"/>
          <w:color w:val="000000"/>
          <w:spacing w:val="8"/>
          <w:kern w:val="0"/>
          <w:sz w:val="31"/>
          <w:szCs w:val="31"/>
          <w:lang w:val="en-US" w:eastAsia="en-US" w:bidi="ar-SA"/>
        </w:rPr>
        <w:t>2.推进重大创新平台基地实体化建设，建立健全“平台+高 校+企业+产业链”结对合作机制，提升协同创新能力，加速技术溢出及成果转化。</w:t>
      </w:r>
    </w:p>
    <w:p w14:paraId="161A7B92">
      <w:pPr>
        <w:pStyle w:val="3"/>
        <w:keepNext w:val="0"/>
        <w:keepLines w:val="0"/>
        <w:widowControl/>
        <w:suppressLineNumbers w:val="0"/>
        <w:ind w:firstLine="652" w:firstLineChars="200"/>
        <w:jc w:val="left"/>
        <w:rPr>
          <w:rFonts w:hint="eastAsia" w:ascii="方正仿宋_GB2312" w:hAnsi="方正仿宋_GB2312" w:eastAsia="方正仿宋_GB2312" w:cs="方正仿宋_GB2312"/>
          <w:snapToGrid w:val="0"/>
          <w:color w:val="000000"/>
          <w:spacing w:val="8"/>
          <w:kern w:val="0"/>
          <w:sz w:val="31"/>
          <w:szCs w:val="31"/>
          <w:lang w:val="en-US" w:eastAsia="en-US" w:bidi="ar-SA"/>
        </w:rPr>
      </w:pPr>
      <w:r>
        <w:rPr>
          <w:rFonts w:hint="eastAsia" w:ascii="方正仿宋_GB2312" w:hAnsi="方正仿宋_GB2312" w:eastAsia="方正仿宋_GB2312" w:cs="方正仿宋_GB2312"/>
          <w:snapToGrid w:val="0"/>
          <w:color w:val="000000"/>
          <w:spacing w:val="8"/>
          <w:kern w:val="0"/>
          <w:sz w:val="31"/>
          <w:szCs w:val="31"/>
          <w:lang w:val="en-US" w:eastAsia="en-US" w:bidi="ar-SA"/>
        </w:rPr>
        <w:t>3.在陕省部级以上科技创新平台基地面向产业需求发挥功能作用，面向科技型企业提供开放共享服务，有效支撑科技创新活动，探索市场化运行模式，创新重点平台基地投入、管理、 激励等机制。</w:t>
      </w:r>
    </w:p>
    <w:p w14:paraId="4F177DEF">
      <w:pPr>
        <w:pStyle w:val="3"/>
        <w:keepNext w:val="0"/>
        <w:keepLines w:val="0"/>
        <w:widowControl/>
        <w:suppressLineNumbers w:val="0"/>
        <w:ind w:firstLine="652" w:firstLineChars="200"/>
        <w:jc w:val="left"/>
        <w:rPr>
          <w:rFonts w:hint="eastAsia" w:ascii="方正仿宋_GB2312" w:hAnsi="方正仿宋_GB2312" w:eastAsia="方正仿宋_GB2312" w:cs="方正仿宋_GB2312"/>
          <w:snapToGrid w:val="0"/>
          <w:color w:val="000000"/>
          <w:spacing w:val="8"/>
          <w:kern w:val="0"/>
          <w:sz w:val="31"/>
          <w:szCs w:val="31"/>
          <w:lang w:val="en-US" w:eastAsia="en-US" w:bidi="ar-SA"/>
        </w:rPr>
      </w:pPr>
      <w:r>
        <w:rPr>
          <w:rFonts w:hint="eastAsia" w:ascii="方正仿宋_GB2312" w:hAnsi="方正仿宋_GB2312" w:eastAsia="方正仿宋_GB2312" w:cs="方正仿宋_GB2312"/>
          <w:snapToGrid w:val="0"/>
          <w:color w:val="000000"/>
          <w:spacing w:val="8"/>
          <w:kern w:val="0"/>
          <w:sz w:val="31"/>
          <w:szCs w:val="31"/>
          <w:lang w:val="en-US" w:eastAsia="en-US" w:bidi="ar-SA"/>
        </w:rPr>
        <w:t>鼓励试点单位发挥首创精神，主动作为、积极探索统筹推进教育科技人才体制机制一体改革的创新举措。</w:t>
      </w:r>
    </w:p>
    <w:p w14:paraId="263D933C">
      <w:pPr>
        <w:pStyle w:val="3"/>
        <w:keepNext w:val="0"/>
        <w:keepLines w:val="0"/>
        <w:widowControl/>
        <w:suppressLineNumbers w:val="0"/>
        <w:jc w:val="left"/>
        <w:rPr>
          <w:rFonts w:hint="eastAsia" w:ascii="方正仿宋_GB2312" w:hAnsi="方正仿宋_GB2312" w:eastAsia="方正仿宋_GB2312" w:cs="方正仿宋_GB2312"/>
          <w:snapToGrid w:val="0"/>
          <w:color w:val="000000"/>
          <w:spacing w:val="8"/>
          <w:kern w:val="0"/>
          <w:sz w:val="31"/>
          <w:szCs w:val="31"/>
          <w:lang w:val="en-US" w:eastAsia="en-US" w:bidi="ar-SA"/>
        </w:rPr>
      </w:pPr>
    </w:p>
    <w:p w14:paraId="771118CE">
      <w:pPr>
        <w:pStyle w:val="3"/>
        <w:keepNext w:val="0"/>
        <w:keepLines w:val="0"/>
        <w:widowControl/>
        <w:suppressLineNumbers w:val="0"/>
        <w:jc w:val="left"/>
        <w:rPr>
          <w:rFonts w:hint="eastAsia" w:ascii="方正仿宋_GB2312" w:hAnsi="方正仿宋_GB2312" w:eastAsia="方正仿宋_GB2312" w:cs="方正仿宋_GB2312"/>
          <w:snapToGrid w:val="0"/>
          <w:color w:val="000000"/>
          <w:spacing w:val="8"/>
          <w:kern w:val="0"/>
          <w:sz w:val="31"/>
          <w:szCs w:val="31"/>
          <w:lang w:val="en-US" w:eastAsia="en-US" w:bidi="ar-SA"/>
        </w:rPr>
      </w:pP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646554E2-02EB-4F65-8338-640E9DBE0EE0}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仿宋_GB2312">
    <w:panose1 w:val="02000000000000000000"/>
    <w:charset w:val="86"/>
    <w:family w:val="auto"/>
    <w:pitch w:val="default"/>
    <w:sig w:usb0="A00002BF" w:usb1="184F6CFA" w:usb2="00000012" w:usb3="00000000" w:csb0="00040001" w:csb1="00000000"/>
    <w:embedRegular r:id="rId2" w:fontKey="{A981033E-312F-4B10-A6F0-7D4944CD3903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0A248B1"/>
    <w:rsid w:val="50A248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semiHidden/>
    <w:qFormat/>
    <w:uiPriority w:val="0"/>
    <w:rPr>
      <w:rFonts w:ascii="宋体" w:hAnsi="宋体" w:eastAsia="宋体" w:cs="宋体"/>
      <w:sz w:val="46"/>
      <w:szCs w:val="46"/>
      <w:lang w:val="en-US" w:eastAsia="en-US" w:bidi="ar-SA"/>
    </w:rPr>
  </w:style>
  <w:style w:type="paragraph" w:styleId="3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5</Pages>
  <Words>0</Words>
  <Characters>0</Characters>
  <Lines>0</Lines>
  <Paragraphs>0</Paragraphs>
  <TotalTime>35</TotalTime>
  <ScaleCrop>false</ScaleCrop>
  <LinksUpToDate>false</LinksUpToDate>
  <CharactersWithSpaces>0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2025-05-22T01:42:00Z</dcterms:created>
  <dc:creator> Catyxin</dc:creator>
  <cp:lastModifiedBy> Catyxin</cp:lastModifiedBy>
  <dcterms:modified xsi:type="dcterms:W3CDTF">2025-05-22T02:22:25Z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F7C075B239254026860487BFD2BEEED3_11</vt:lpwstr>
  </property>
  <property fmtid="{D5CDD505-2E9C-101B-9397-08002B2CF9AE}" pid="4" name="KSOTemplateDocerSaveRecord">
    <vt:lpwstr>eyJoZGlkIjoiMzkzN2RjNjAyYWNkOTkxMGQyMmQ5YzI4MjI0NDI4YmEiLCJ1c2VySWQiOiIzMjEzMzg2MzQifQ==</vt:lpwstr>
  </property>
</Properties>
</file>