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44F227">
      <w:pPr>
        <w:widowControl w:val="0"/>
        <w:autoSpaceDE w:val="0"/>
        <w:autoSpaceDN w:val="0"/>
        <w:spacing w:line="439" w:lineRule="exact"/>
        <w:jc w:val="center"/>
        <w:rPr>
          <w:rFonts w:hint="eastAsia" w:ascii="方正黑体_GBK" w:hAnsi="黑体" w:eastAsia="方正黑体_GBK" w:cs="黑体"/>
          <w:color w:val="000000"/>
          <w:sz w:val="44"/>
          <w:szCs w:val="22"/>
          <w:lang w:eastAsia="zh-CN"/>
        </w:rPr>
      </w:pPr>
    </w:p>
    <w:p w14:paraId="12D0E444">
      <w:pPr>
        <w:widowControl w:val="0"/>
        <w:autoSpaceDE w:val="0"/>
        <w:autoSpaceDN w:val="0"/>
        <w:spacing w:line="439" w:lineRule="exact"/>
        <w:jc w:val="center"/>
        <w:rPr>
          <w:rFonts w:hint="eastAsia" w:ascii="方正黑体_GBK" w:hAnsi="黑体" w:eastAsia="方正黑体_GBK" w:cs="黑体"/>
          <w:color w:val="000000"/>
          <w:sz w:val="44"/>
          <w:szCs w:val="22"/>
          <w:lang w:eastAsia="zh-CN"/>
        </w:rPr>
      </w:pPr>
    </w:p>
    <w:p w14:paraId="754B2F15">
      <w:pPr>
        <w:widowControl w:val="0"/>
        <w:autoSpaceDE w:val="0"/>
        <w:autoSpaceDN w:val="0"/>
        <w:spacing w:line="439" w:lineRule="exact"/>
        <w:jc w:val="center"/>
        <w:rPr>
          <w:rFonts w:hint="eastAsia" w:ascii="方正黑体_GBK" w:hAnsi="黑体" w:eastAsia="方正黑体_GBK" w:cs="黑体"/>
          <w:color w:val="000000"/>
          <w:sz w:val="44"/>
          <w:szCs w:val="22"/>
          <w:lang w:eastAsia="zh-CN"/>
        </w:rPr>
      </w:pPr>
    </w:p>
    <w:p w14:paraId="6E7BDF7D">
      <w:pPr>
        <w:widowControl w:val="0"/>
        <w:autoSpaceDE w:val="0"/>
        <w:autoSpaceDN w:val="0"/>
        <w:spacing w:line="439" w:lineRule="exact"/>
        <w:jc w:val="center"/>
        <w:rPr>
          <w:rFonts w:hint="eastAsia" w:ascii="方正黑体_GBK" w:hAnsi="黑体" w:eastAsia="方正黑体_GBK" w:cs="黑体"/>
          <w:color w:val="000000"/>
          <w:sz w:val="44"/>
          <w:szCs w:val="22"/>
          <w:lang w:eastAsia="zh-CN"/>
        </w:rPr>
      </w:pPr>
    </w:p>
    <w:p w14:paraId="099B7DD1">
      <w:pPr>
        <w:spacing w:line="360" w:lineRule="auto"/>
        <w:jc w:val="center"/>
        <w:rPr>
          <w:rFonts w:hint="eastAsia" w:ascii="黑体" w:hAnsi="黑体" w:eastAsia="黑体" w:cs="仿宋_GB2312"/>
          <w:b/>
          <w:bCs/>
          <w:sz w:val="44"/>
          <w:szCs w:val="44"/>
          <w:lang w:eastAsia="zh-CN"/>
        </w:rPr>
      </w:pPr>
      <w:r>
        <w:rPr>
          <w:rFonts w:hint="eastAsia" w:ascii="黑体" w:hAnsi="黑体" w:eastAsia="黑体" w:cs="仿宋_GB2312"/>
          <w:b/>
          <w:bCs/>
          <w:sz w:val="44"/>
          <w:szCs w:val="44"/>
          <w:lang w:eastAsia="zh-CN"/>
        </w:rPr>
        <w:t>海南省地方标准</w:t>
      </w:r>
    </w:p>
    <w:p w14:paraId="7FD94A41">
      <w:pPr>
        <w:widowControl w:val="0"/>
        <w:autoSpaceDE w:val="0"/>
        <w:autoSpaceDN w:val="0"/>
        <w:spacing w:line="360" w:lineRule="auto"/>
        <w:jc w:val="center"/>
        <w:rPr>
          <w:rFonts w:hint="eastAsia" w:ascii="黑体" w:hAnsi="黑体" w:eastAsia="黑体" w:cs="仿宋_GB2312"/>
          <w:b/>
          <w:bCs/>
          <w:sz w:val="44"/>
          <w:szCs w:val="44"/>
          <w:lang w:eastAsia="zh-CN"/>
        </w:rPr>
      </w:pPr>
      <w:r>
        <w:rPr>
          <w:rFonts w:hint="eastAsia" w:ascii="黑体" w:hAnsi="黑体" w:eastAsia="黑体" w:cs="仿宋_GB2312"/>
          <w:b/>
          <w:bCs/>
          <w:sz w:val="44"/>
          <w:szCs w:val="44"/>
          <w:lang w:eastAsia="zh-CN"/>
        </w:rPr>
        <w:t>《</w:t>
      </w:r>
      <w:bookmarkStart w:id="0" w:name="OLE_LINK2"/>
      <w:r>
        <w:rPr>
          <w:rFonts w:hint="eastAsia" w:ascii="黑体" w:hAnsi="黑体" w:eastAsia="黑体" w:cs="仿宋_GB2312"/>
          <w:b/>
          <w:bCs/>
          <w:sz w:val="44"/>
          <w:szCs w:val="44"/>
          <w:lang w:eastAsia="zh-CN"/>
        </w:rPr>
        <w:t>改培橡胶人工林提升固碳能力技术规程</w:t>
      </w:r>
      <w:bookmarkEnd w:id="0"/>
      <w:r>
        <w:rPr>
          <w:rFonts w:hint="eastAsia" w:ascii="黑体" w:hAnsi="黑体" w:eastAsia="黑体" w:cs="仿宋_GB2312"/>
          <w:b/>
          <w:bCs/>
          <w:sz w:val="44"/>
          <w:szCs w:val="44"/>
          <w:lang w:eastAsia="zh-CN"/>
        </w:rPr>
        <w:t>》</w:t>
      </w:r>
      <w:r>
        <w:rPr>
          <w:rFonts w:hint="eastAsia" w:ascii="黑体" w:hAnsi="黑体" w:eastAsia="黑体" w:cs="仿宋_GB2312"/>
          <w:b/>
          <w:bCs/>
          <w:sz w:val="44"/>
          <w:szCs w:val="44"/>
          <w:lang w:eastAsia="zh-CN"/>
        </w:rPr>
        <w:br w:type="textWrapping"/>
      </w:r>
      <w:r>
        <w:rPr>
          <w:rFonts w:hint="eastAsia" w:ascii="黑体" w:hAnsi="黑体" w:eastAsia="黑体" w:cs="仿宋_GB2312"/>
          <w:b/>
          <w:bCs/>
          <w:sz w:val="44"/>
          <w:szCs w:val="44"/>
          <w:lang w:eastAsia="zh-CN"/>
        </w:rPr>
        <w:t>编制说明</w:t>
      </w:r>
    </w:p>
    <w:p w14:paraId="4E029433">
      <w:pPr>
        <w:spacing w:before="156" w:beforeLines="50" w:after="156" w:afterLines="50" w:line="360" w:lineRule="auto"/>
        <w:jc w:val="center"/>
        <w:rPr>
          <w:rFonts w:hint="eastAsia" w:ascii="黑体" w:hAnsi="黑体" w:eastAsia="黑体"/>
          <w:bCs/>
          <w:sz w:val="44"/>
          <w:szCs w:val="44"/>
          <w:lang w:eastAsia="zh-CN"/>
        </w:rPr>
      </w:pPr>
      <w:r>
        <w:rPr>
          <w:rFonts w:ascii="黑体" w:hAnsi="黑体" w:eastAsia="黑体"/>
          <w:bCs/>
          <w:sz w:val="44"/>
          <w:szCs w:val="44"/>
          <w:lang w:eastAsia="zh-CN"/>
        </w:rPr>
        <w:t>（</w:t>
      </w:r>
      <w:r>
        <w:rPr>
          <w:rFonts w:hint="eastAsia" w:ascii="黑体" w:hAnsi="黑体" w:eastAsia="黑体"/>
          <w:bCs/>
          <w:sz w:val="44"/>
          <w:szCs w:val="44"/>
          <w:lang w:eastAsia="zh-CN"/>
        </w:rPr>
        <w:t>征求意见稿</w:t>
      </w:r>
      <w:r>
        <w:rPr>
          <w:rFonts w:ascii="黑体" w:hAnsi="黑体" w:eastAsia="黑体"/>
          <w:bCs/>
          <w:sz w:val="44"/>
          <w:szCs w:val="44"/>
          <w:lang w:eastAsia="zh-CN"/>
        </w:rPr>
        <w:t>）</w:t>
      </w:r>
    </w:p>
    <w:p w14:paraId="68FAE8D7">
      <w:pPr>
        <w:widowControl w:val="0"/>
        <w:autoSpaceDE w:val="0"/>
        <w:autoSpaceDN w:val="0"/>
        <w:spacing w:before="185" w:line="439" w:lineRule="exact"/>
        <w:jc w:val="center"/>
        <w:rPr>
          <w:rFonts w:hint="eastAsia" w:ascii="方正黑体_GBK" w:hAnsi="黑体" w:eastAsia="方正黑体_GBK" w:cs="黑体"/>
          <w:color w:val="000000"/>
          <w:sz w:val="44"/>
          <w:szCs w:val="22"/>
          <w:lang w:eastAsia="zh-CN"/>
        </w:rPr>
      </w:pPr>
    </w:p>
    <w:p w14:paraId="6F9790FA">
      <w:pPr>
        <w:widowControl w:val="0"/>
        <w:autoSpaceDE w:val="0"/>
        <w:autoSpaceDN w:val="0"/>
        <w:spacing w:before="185" w:line="439" w:lineRule="exact"/>
        <w:jc w:val="center"/>
        <w:rPr>
          <w:rFonts w:hint="eastAsia" w:ascii="方正黑体_GBK" w:hAnsi="黑体" w:eastAsia="方正黑体_GBK" w:cs="黑体"/>
          <w:color w:val="000000"/>
          <w:sz w:val="44"/>
          <w:szCs w:val="22"/>
          <w:lang w:eastAsia="zh-CN"/>
        </w:rPr>
      </w:pPr>
    </w:p>
    <w:p w14:paraId="6BBF158C">
      <w:pPr>
        <w:widowControl w:val="0"/>
        <w:autoSpaceDE w:val="0"/>
        <w:autoSpaceDN w:val="0"/>
        <w:spacing w:before="185" w:line="439" w:lineRule="exact"/>
        <w:jc w:val="center"/>
        <w:rPr>
          <w:rFonts w:hint="eastAsia" w:ascii="方正黑体_GBK" w:hAnsi="黑体" w:eastAsia="方正黑体_GBK" w:cs="黑体"/>
          <w:color w:val="000000"/>
          <w:sz w:val="44"/>
          <w:szCs w:val="22"/>
          <w:lang w:eastAsia="zh-CN"/>
        </w:rPr>
      </w:pPr>
    </w:p>
    <w:p w14:paraId="561E1B8F">
      <w:pPr>
        <w:widowControl w:val="0"/>
        <w:autoSpaceDE w:val="0"/>
        <w:autoSpaceDN w:val="0"/>
        <w:spacing w:before="185" w:line="439" w:lineRule="exact"/>
        <w:jc w:val="center"/>
        <w:rPr>
          <w:rFonts w:hint="eastAsia" w:ascii="方正黑体_GBK" w:hAnsi="黑体" w:eastAsia="方正黑体_GBK" w:cs="黑体"/>
          <w:color w:val="000000"/>
          <w:sz w:val="44"/>
          <w:szCs w:val="22"/>
          <w:lang w:eastAsia="zh-CN"/>
        </w:rPr>
      </w:pPr>
    </w:p>
    <w:p w14:paraId="0B05A630">
      <w:pPr>
        <w:widowControl w:val="0"/>
        <w:autoSpaceDE w:val="0"/>
        <w:autoSpaceDN w:val="0"/>
        <w:spacing w:before="185" w:line="439" w:lineRule="exact"/>
        <w:jc w:val="center"/>
        <w:rPr>
          <w:rFonts w:hint="eastAsia" w:ascii="方正黑体_GBK" w:hAnsi="黑体" w:eastAsia="方正黑体_GBK" w:cs="黑体"/>
          <w:color w:val="000000"/>
          <w:sz w:val="44"/>
          <w:szCs w:val="22"/>
          <w:lang w:eastAsia="zh-CN"/>
        </w:rPr>
      </w:pPr>
    </w:p>
    <w:p w14:paraId="29F05420">
      <w:pPr>
        <w:widowControl w:val="0"/>
        <w:autoSpaceDE w:val="0"/>
        <w:autoSpaceDN w:val="0"/>
        <w:spacing w:before="185" w:line="439" w:lineRule="exact"/>
        <w:jc w:val="center"/>
        <w:rPr>
          <w:rFonts w:hint="eastAsia" w:ascii="方正黑体_GBK" w:hAnsi="黑体" w:eastAsia="方正黑体_GBK" w:cs="黑体"/>
          <w:color w:val="000000"/>
          <w:sz w:val="44"/>
          <w:szCs w:val="22"/>
          <w:lang w:eastAsia="zh-CN"/>
        </w:rPr>
      </w:pPr>
    </w:p>
    <w:p w14:paraId="14F56057">
      <w:pPr>
        <w:widowControl w:val="0"/>
        <w:autoSpaceDE w:val="0"/>
        <w:autoSpaceDN w:val="0"/>
        <w:spacing w:before="185" w:line="439" w:lineRule="exact"/>
        <w:jc w:val="center"/>
        <w:rPr>
          <w:rFonts w:hint="eastAsia" w:ascii="方正黑体_GBK" w:hAnsi="黑体" w:eastAsia="方正黑体_GBK" w:cs="黑体"/>
          <w:color w:val="000000"/>
          <w:sz w:val="44"/>
          <w:szCs w:val="22"/>
          <w:lang w:eastAsia="zh-CN"/>
        </w:rPr>
      </w:pPr>
    </w:p>
    <w:p w14:paraId="61B270F5">
      <w:pPr>
        <w:widowControl w:val="0"/>
        <w:autoSpaceDE w:val="0"/>
        <w:autoSpaceDN w:val="0"/>
        <w:spacing w:before="185" w:line="439" w:lineRule="exact"/>
        <w:jc w:val="center"/>
        <w:rPr>
          <w:rFonts w:hint="eastAsia" w:ascii="方正黑体_GBK" w:hAnsi="黑体" w:eastAsia="方正黑体_GBK" w:cs="黑体"/>
          <w:color w:val="000000"/>
          <w:sz w:val="44"/>
          <w:szCs w:val="22"/>
          <w:lang w:eastAsia="zh-CN"/>
        </w:rPr>
      </w:pPr>
    </w:p>
    <w:p w14:paraId="59BD0B9D">
      <w:pPr>
        <w:widowControl w:val="0"/>
        <w:autoSpaceDE w:val="0"/>
        <w:autoSpaceDN w:val="0"/>
        <w:spacing w:before="185" w:line="439" w:lineRule="exact"/>
        <w:jc w:val="center"/>
        <w:rPr>
          <w:rFonts w:hint="eastAsia" w:ascii="方正黑体_GBK" w:hAnsi="黑体" w:eastAsia="方正黑体_GBK" w:cs="黑体"/>
          <w:color w:val="000000"/>
          <w:sz w:val="44"/>
          <w:szCs w:val="22"/>
          <w:lang w:eastAsia="zh-CN"/>
        </w:rPr>
      </w:pPr>
    </w:p>
    <w:p w14:paraId="066CBBFD">
      <w:pPr>
        <w:rPr>
          <w:rFonts w:hint="eastAsia" w:ascii="方正黑体_GBK" w:hAnsi="黑体" w:eastAsia="方正黑体_GBK" w:cs="黑体"/>
          <w:color w:val="000000"/>
          <w:sz w:val="44"/>
          <w:szCs w:val="22"/>
          <w:lang w:eastAsia="zh-CN"/>
        </w:rPr>
      </w:pPr>
      <w:r>
        <w:rPr>
          <w:rFonts w:hint="eastAsia" w:ascii="方正黑体_GBK" w:hAnsi="黑体" w:eastAsia="方正黑体_GBK" w:cs="黑体"/>
          <w:color w:val="000000"/>
          <w:sz w:val="44"/>
          <w:szCs w:val="22"/>
          <w:lang w:eastAsia="zh-CN"/>
        </w:rPr>
        <w:br w:type="page"/>
      </w:r>
    </w:p>
    <w:p w14:paraId="251D1FE7">
      <w:pPr>
        <w:widowControl w:val="0"/>
        <w:autoSpaceDE w:val="0"/>
        <w:autoSpaceDN w:val="0"/>
        <w:spacing w:before="185" w:line="439" w:lineRule="exact"/>
        <w:jc w:val="center"/>
        <w:rPr>
          <w:rFonts w:hint="eastAsia" w:ascii="方正黑体_GBK" w:hAnsi="黑体" w:eastAsia="方正黑体_GBK" w:cs="黑体"/>
          <w:color w:val="000000"/>
          <w:sz w:val="44"/>
          <w:szCs w:val="22"/>
          <w:lang w:eastAsia="zh-CN"/>
        </w:rPr>
      </w:pPr>
    </w:p>
    <w:p w14:paraId="3C9A1739">
      <w:pPr>
        <w:spacing w:before="240" w:after="60"/>
        <w:jc w:val="center"/>
        <w:outlineLvl w:val="0"/>
        <w:rPr>
          <w:rFonts w:eastAsia="宋体"/>
          <w:b/>
          <w:bCs/>
          <w:sz w:val="32"/>
          <w:szCs w:val="32"/>
          <w:lang w:eastAsia="zh-CN"/>
        </w:rPr>
      </w:pPr>
      <w:r>
        <w:rPr>
          <w:rFonts w:eastAsia="宋体"/>
          <w:b/>
          <w:bCs/>
          <w:sz w:val="32"/>
          <w:szCs w:val="32"/>
          <w:lang w:eastAsia="zh-CN"/>
        </w:rPr>
        <w:t>海南省地方标准</w:t>
      </w:r>
    </w:p>
    <w:p w14:paraId="290DADF0">
      <w:pPr>
        <w:spacing w:before="240" w:after="60"/>
        <w:jc w:val="center"/>
        <w:outlineLvl w:val="0"/>
        <w:rPr>
          <w:rFonts w:eastAsia="宋体"/>
          <w:b/>
          <w:bCs/>
          <w:sz w:val="32"/>
          <w:szCs w:val="32"/>
          <w:lang w:eastAsia="zh-CN"/>
        </w:rPr>
      </w:pPr>
      <w:r>
        <w:rPr>
          <w:rFonts w:eastAsia="宋体"/>
          <w:b/>
          <w:bCs/>
          <w:sz w:val="32"/>
          <w:szCs w:val="32"/>
          <w:lang w:eastAsia="zh-CN"/>
        </w:rPr>
        <w:t>《</w:t>
      </w:r>
      <w:r>
        <w:rPr>
          <w:rFonts w:hint="eastAsia" w:eastAsia="宋体"/>
          <w:b/>
          <w:bCs/>
          <w:sz w:val="32"/>
          <w:szCs w:val="32"/>
          <w:lang w:eastAsia="zh-CN"/>
        </w:rPr>
        <w:t>改培橡胶人工林提升固碳能力技术规程</w:t>
      </w:r>
      <w:r>
        <w:rPr>
          <w:rFonts w:eastAsia="宋体"/>
          <w:b/>
          <w:bCs/>
          <w:sz w:val="32"/>
          <w:szCs w:val="32"/>
          <w:lang w:eastAsia="zh-CN"/>
        </w:rPr>
        <w:t>》</w:t>
      </w:r>
    </w:p>
    <w:p w14:paraId="7E79BE7E">
      <w:pPr>
        <w:spacing w:before="240" w:after="60"/>
        <w:jc w:val="center"/>
        <w:outlineLvl w:val="0"/>
        <w:rPr>
          <w:rFonts w:hint="eastAsia" w:ascii="黑体" w:hAnsi="黑体" w:eastAsia="黑体"/>
          <w:bCs/>
          <w:lang w:eastAsia="zh-CN"/>
        </w:rPr>
      </w:pPr>
      <w:r>
        <w:rPr>
          <w:rFonts w:hint="eastAsia" w:eastAsia="宋体"/>
          <w:b/>
          <w:bCs/>
          <w:sz w:val="32"/>
          <w:szCs w:val="32"/>
          <w:lang w:eastAsia="zh-CN"/>
        </w:rPr>
        <w:t>征求意见稿</w:t>
      </w:r>
      <w:r>
        <w:rPr>
          <w:rFonts w:eastAsia="宋体"/>
          <w:b/>
          <w:bCs/>
          <w:sz w:val="32"/>
          <w:szCs w:val="32"/>
          <w:lang w:eastAsia="zh-CN"/>
        </w:rPr>
        <w:t>编制说明</w:t>
      </w:r>
    </w:p>
    <w:p w14:paraId="1F8DF158">
      <w:pPr>
        <w:spacing w:before="156" w:beforeLines="50" w:line="360" w:lineRule="auto"/>
        <w:rPr>
          <w:rFonts w:hint="eastAsia" w:ascii="黑体" w:hAnsi="黑体" w:eastAsia="黑体"/>
          <w:b/>
          <w:lang w:eastAsia="zh-CN"/>
        </w:rPr>
      </w:pPr>
      <w:r>
        <w:rPr>
          <w:rFonts w:hint="eastAsia" w:ascii="黑体" w:hAnsi="黑体" w:eastAsia="黑体"/>
          <w:b/>
          <w:lang w:eastAsia="zh-CN"/>
        </w:rPr>
        <w:t>一、项目简况</w:t>
      </w:r>
    </w:p>
    <w:p w14:paraId="23708354">
      <w:pPr>
        <w:spacing w:before="156" w:beforeLines="50" w:line="360" w:lineRule="auto"/>
        <w:rPr>
          <w:rFonts w:hint="eastAsia" w:ascii="宋体" w:hAnsi="宋体" w:eastAsia="宋体"/>
          <w:bCs/>
          <w:lang w:eastAsia="zh-CN"/>
        </w:rPr>
      </w:pPr>
      <w:r>
        <w:rPr>
          <w:rFonts w:hint="eastAsia" w:ascii="黑体" w:hAnsi="黑体" w:eastAsia="黑体"/>
          <w:bCs/>
          <w:lang w:eastAsia="zh-CN"/>
        </w:rPr>
        <w:t>（一）标准名称：</w:t>
      </w:r>
      <w:r>
        <w:rPr>
          <w:rFonts w:hint="eastAsia" w:ascii="宋体" w:hAnsi="宋体" w:eastAsia="宋体"/>
          <w:bCs/>
          <w:lang w:eastAsia="zh-CN"/>
        </w:rPr>
        <w:t>改培橡胶人工林提升固碳能力技术规程</w:t>
      </w:r>
    </w:p>
    <w:p w14:paraId="2E6AF67F">
      <w:pPr>
        <w:spacing w:before="156" w:beforeLines="50" w:line="360" w:lineRule="auto"/>
        <w:rPr>
          <w:rFonts w:hint="eastAsia" w:ascii="黑体" w:hAnsi="黑体" w:eastAsia="黑体"/>
          <w:bCs/>
          <w:lang w:eastAsia="zh-CN"/>
        </w:rPr>
      </w:pPr>
      <w:r>
        <w:rPr>
          <w:rFonts w:hint="eastAsia" w:ascii="黑体" w:hAnsi="黑体" w:eastAsia="黑体"/>
          <w:bCs/>
          <w:lang w:eastAsia="zh-CN"/>
        </w:rPr>
        <w:t>（二）任务来源（项目计划号）：</w:t>
      </w:r>
      <w:r>
        <w:rPr>
          <w:rFonts w:hint="eastAsia" w:ascii="宋体" w:hAnsi="宋体" w:eastAsia="宋体"/>
          <w:bCs/>
          <w:lang w:eastAsia="zh-CN"/>
        </w:rPr>
        <w:t>2024年发布的“海南省市场监督管理局关于下达海南省2024年第二批地方标准制修订项目计划的通知”，项目计划号：2024-Z030</w:t>
      </w:r>
    </w:p>
    <w:p w14:paraId="587F3CD4">
      <w:pPr>
        <w:spacing w:before="156" w:beforeLines="50" w:line="360" w:lineRule="auto"/>
        <w:rPr>
          <w:rFonts w:hint="eastAsia" w:ascii="宋体" w:hAnsi="宋体" w:eastAsia="宋体"/>
          <w:bCs/>
          <w:lang w:eastAsia="zh-CN"/>
        </w:rPr>
      </w:pPr>
      <w:r>
        <w:rPr>
          <w:rFonts w:hint="eastAsia" w:ascii="黑体" w:hAnsi="黑体" w:eastAsia="黑体"/>
          <w:bCs/>
          <w:lang w:eastAsia="zh-CN"/>
        </w:rPr>
        <w:t>（三）起草单位：</w:t>
      </w:r>
      <w:bookmarkStart w:id="1" w:name="OLE_LINK5"/>
      <w:r>
        <w:rPr>
          <w:rFonts w:hint="eastAsia" w:ascii="宋体" w:hAnsi="宋体" w:eastAsia="宋体"/>
          <w:bCs/>
          <w:lang w:eastAsia="zh-CN"/>
        </w:rPr>
        <w:t>国际竹藤中心三亚研究基地</w:t>
      </w:r>
      <w:bookmarkEnd w:id="1"/>
    </w:p>
    <w:p w14:paraId="244D70ED">
      <w:pPr>
        <w:spacing w:before="156" w:beforeLines="50" w:line="360" w:lineRule="auto"/>
        <w:rPr>
          <w:rFonts w:hint="eastAsia" w:ascii="宋体" w:hAnsi="宋体" w:eastAsia="宋体"/>
          <w:bCs/>
          <w:lang w:eastAsia="zh-CN"/>
        </w:rPr>
      </w:pPr>
      <w:r>
        <w:rPr>
          <w:rFonts w:hint="eastAsia" w:ascii="黑体" w:hAnsi="黑体" w:eastAsia="黑体"/>
          <w:bCs/>
          <w:lang w:eastAsia="zh-CN"/>
        </w:rPr>
        <w:t>（四）单位地址：</w:t>
      </w:r>
      <w:r>
        <w:rPr>
          <w:rFonts w:hint="eastAsia" w:ascii="宋体" w:hAnsi="宋体" w:eastAsia="宋体"/>
          <w:bCs/>
          <w:lang w:eastAsia="zh-CN"/>
        </w:rPr>
        <w:t>海南省三亚市天涯区新城路166号。</w:t>
      </w:r>
    </w:p>
    <w:p w14:paraId="49F1FAC1">
      <w:pPr>
        <w:spacing w:before="156" w:beforeLines="50" w:line="360" w:lineRule="auto"/>
        <w:rPr>
          <w:rFonts w:hint="eastAsia" w:ascii="宋体" w:hAnsi="宋体" w:eastAsia="宋体"/>
          <w:bCs/>
          <w:lang w:eastAsia="zh-CN"/>
        </w:rPr>
      </w:pPr>
      <w:r>
        <w:rPr>
          <w:rFonts w:hint="eastAsia" w:ascii="黑体" w:hAnsi="黑体" w:eastAsia="黑体"/>
          <w:bCs/>
          <w:lang w:eastAsia="zh-CN"/>
        </w:rPr>
        <w:t>（五）参与起草单位：</w:t>
      </w:r>
      <w:r>
        <w:rPr>
          <w:rFonts w:hint="eastAsia" w:ascii="宋体" w:hAnsi="宋体" w:eastAsia="宋体"/>
          <w:bCs/>
          <w:lang w:eastAsia="zh-CN"/>
        </w:rPr>
        <w:t>中国热带农业科学院橡胶研究所、中国林业科学院森林生态环境与自然保护研究所、海南大学、</w:t>
      </w:r>
      <w:bookmarkStart w:id="2" w:name="OLE_LINK6"/>
      <w:r>
        <w:rPr>
          <w:rFonts w:hint="eastAsia" w:ascii="宋体" w:hAnsi="宋体" w:eastAsia="宋体"/>
          <w:bCs/>
          <w:lang w:eastAsia="zh-CN"/>
        </w:rPr>
        <w:t>海南省林业局</w:t>
      </w:r>
      <w:bookmarkEnd w:id="2"/>
      <w:r>
        <w:rPr>
          <w:rFonts w:hint="eastAsia" w:ascii="宋体" w:hAnsi="宋体" w:eastAsia="宋体"/>
          <w:bCs/>
          <w:lang w:eastAsia="zh-CN"/>
        </w:rPr>
        <w:t>等。</w:t>
      </w:r>
    </w:p>
    <w:p w14:paraId="7EE517DB">
      <w:pPr>
        <w:spacing w:before="156" w:beforeLines="50" w:line="360" w:lineRule="auto"/>
        <w:rPr>
          <w:rFonts w:hint="eastAsia" w:ascii="宋体" w:hAnsi="宋体" w:eastAsia="宋体"/>
          <w:bCs/>
          <w:lang w:eastAsia="zh-CN"/>
        </w:rPr>
      </w:pPr>
      <w:r>
        <w:rPr>
          <w:rFonts w:hint="eastAsia" w:ascii="黑体" w:hAnsi="黑体" w:eastAsia="黑体"/>
          <w:bCs/>
          <w:lang w:eastAsia="zh-CN"/>
        </w:rPr>
        <w:t>（六）标准起草人：</w:t>
      </w:r>
      <w:r>
        <w:rPr>
          <w:rFonts w:hint="eastAsia" w:ascii="宋体" w:hAnsi="宋体" w:eastAsia="宋体"/>
          <w:bCs/>
          <w:lang w:eastAsia="zh-CN"/>
        </w:rPr>
        <w:t>标准起草组人员共11人，主要从事改培橡胶人工林提升固碳能力的调研、</w:t>
      </w:r>
      <w:r>
        <w:rPr>
          <w:rFonts w:hint="eastAsia" w:eastAsia="宋体"/>
          <w:color w:val="000000"/>
          <w:lang w:eastAsia="zh-CN"/>
        </w:rPr>
        <w:t>实验论证、文本撰写</w:t>
      </w:r>
      <w:r>
        <w:rPr>
          <w:rFonts w:hint="eastAsia" w:ascii="宋体" w:hAnsi="宋体" w:eastAsia="宋体"/>
          <w:bCs/>
          <w:lang w:eastAsia="zh-CN"/>
        </w:rPr>
        <w:t>等工作，具体分工见表1所示。</w:t>
      </w:r>
    </w:p>
    <w:p w14:paraId="0AF54D3B">
      <w:pPr>
        <w:spacing w:before="156" w:beforeLines="50" w:after="156" w:afterLines="50"/>
        <w:jc w:val="center"/>
        <w:rPr>
          <w:rFonts w:eastAsia="宋体"/>
          <w:color w:val="000000"/>
          <w:lang w:eastAsia="zh-CN"/>
        </w:rPr>
      </w:pPr>
      <w:r>
        <w:rPr>
          <w:rFonts w:hint="eastAsia" w:ascii="黑体" w:hAnsi="黑体" w:eastAsia="黑体"/>
          <w:bCs/>
          <w:lang w:eastAsia="zh-CN"/>
        </w:rPr>
        <w:t>表1  标准起草人及任务分工</w:t>
      </w:r>
    </w:p>
    <w:tbl>
      <w:tblPr>
        <w:tblStyle w:val="18"/>
        <w:tblW w:w="82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4"/>
        <w:gridCol w:w="851"/>
        <w:gridCol w:w="708"/>
        <w:gridCol w:w="1134"/>
        <w:gridCol w:w="2410"/>
        <w:gridCol w:w="2410"/>
      </w:tblGrid>
      <w:tr w14:paraId="197DC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Borders>
              <w:bottom w:val="single" w:color="auto" w:sz="4" w:space="0"/>
            </w:tcBorders>
          </w:tcPr>
          <w:p w14:paraId="78832D0B">
            <w:pPr>
              <w:widowControl w:val="0"/>
              <w:jc w:val="center"/>
              <w:rPr>
                <w:rFonts w:hint="eastAsia" w:ascii="宋体" w:hAnsi="宋体" w:eastAsia="宋体"/>
                <w:b/>
                <w:kern w:val="2"/>
                <w:sz w:val="18"/>
                <w:szCs w:val="18"/>
                <w:lang w:eastAsia="zh-CN"/>
              </w:rPr>
            </w:pPr>
            <w:r>
              <w:rPr>
                <w:rFonts w:hint="eastAsia" w:ascii="宋体" w:hAnsi="宋体" w:eastAsia="宋体"/>
                <w:b/>
                <w:kern w:val="2"/>
                <w:sz w:val="18"/>
                <w:szCs w:val="18"/>
                <w:lang w:eastAsia="zh-CN"/>
              </w:rPr>
              <w:t>序号</w:t>
            </w:r>
          </w:p>
        </w:tc>
        <w:tc>
          <w:tcPr>
            <w:tcW w:w="851" w:type="dxa"/>
            <w:tcBorders>
              <w:bottom w:val="single" w:color="auto" w:sz="4" w:space="0"/>
            </w:tcBorders>
          </w:tcPr>
          <w:p w14:paraId="1E6959FB">
            <w:pPr>
              <w:widowControl w:val="0"/>
              <w:jc w:val="center"/>
              <w:rPr>
                <w:rFonts w:hint="eastAsia" w:ascii="宋体" w:hAnsi="宋体" w:eastAsia="宋体"/>
                <w:b/>
                <w:kern w:val="2"/>
                <w:sz w:val="18"/>
                <w:szCs w:val="18"/>
                <w:lang w:eastAsia="zh-CN"/>
              </w:rPr>
            </w:pPr>
            <w:r>
              <w:rPr>
                <w:rFonts w:hint="eastAsia" w:ascii="宋体" w:hAnsi="宋体" w:eastAsia="宋体"/>
                <w:b/>
                <w:kern w:val="2"/>
                <w:sz w:val="18"/>
                <w:szCs w:val="18"/>
                <w:lang w:eastAsia="zh-CN"/>
              </w:rPr>
              <w:t>姓名</w:t>
            </w:r>
          </w:p>
        </w:tc>
        <w:tc>
          <w:tcPr>
            <w:tcW w:w="708" w:type="dxa"/>
          </w:tcPr>
          <w:p w14:paraId="5B63F049">
            <w:pPr>
              <w:widowControl w:val="0"/>
              <w:jc w:val="center"/>
              <w:rPr>
                <w:rFonts w:hint="eastAsia" w:ascii="宋体" w:hAnsi="宋体" w:eastAsia="宋体"/>
                <w:b/>
                <w:kern w:val="2"/>
                <w:sz w:val="18"/>
                <w:szCs w:val="18"/>
                <w:lang w:eastAsia="zh-CN"/>
              </w:rPr>
            </w:pPr>
            <w:r>
              <w:rPr>
                <w:rFonts w:hint="eastAsia" w:ascii="宋体" w:hAnsi="宋体" w:eastAsia="宋体"/>
                <w:b/>
                <w:kern w:val="2"/>
                <w:sz w:val="18"/>
                <w:szCs w:val="18"/>
                <w:lang w:eastAsia="zh-CN"/>
              </w:rPr>
              <w:t>性别</w:t>
            </w:r>
          </w:p>
        </w:tc>
        <w:tc>
          <w:tcPr>
            <w:tcW w:w="1134" w:type="dxa"/>
          </w:tcPr>
          <w:p w14:paraId="240612F0">
            <w:pPr>
              <w:widowControl w:val="0"/>
              <w:jc w:val="center"/>
              <w:rPr>
                <w:rFonts w:hint="eastAsia" w:ascii="宋体" w:hAnsi="宋体" w:eastAsia="宋体"/>
                <w:b/>
                <w:kern w:val="2"/>
                <w:sz w:val="18"/>
                <w:szCs w:val="18"/>
                <w:lang w:eastAsia="zh-CN"/>
              </w:rPr>
            </w:pPr>
            <w:r>
              <w:rPr>
                <w:rFonts w:hint="eastAsia" w:ascii="宋体" w:hAnsi="宋体" w:eastAsia="宋体"/>
                <w:b/>
                <w:kern w:val="2"/>
                <w:sz w:val="18"/>
                <w:szCs w:val="18"/>
                <w:lang w:eastAsia="zh-CN"/>
              </w:rPr>
              <w:t>职务/职称</w:t>
            </w:r>
          </w:p>
        </w:tc>
        <w:tc>
          <w:tcPr>
            <w:tcW w:w="2410" w:type="dxa"/>
          </w:tcPr>
          <w:p w14:paraId="181142AD">
            <w:pPr>
              <w:widowControl w:val="0"/>
              <w:jc w:val="center"/>
              <w:rPr>
                <w:rFonts w:hint="eastAsia" w:ascii="宋体" w:hAnsi="宋体" w:eastAsia="宋体"/>
                <w:b/>
                <w:kern w:val="2"/>
                <w:sz w:val="18"/>
                <w:szCs w:val="18"/>
                <w:lang w:eastAsia="zh-CN"/>
              </w:rPr>
            </w:pPr>
            <w:r>
              <w:rPr>
                <w:rFonts w:hint="eastAsia" w:ascii="宋体" w:hAnsi="宋体" w:eastAsia="宋体"/>
                <w:b/>
                <w:kern w:val="2"/>
                <w:sz w:val="18"/>
                <w:szCs w:val="18"/>
                <w:lang w:eastAsia="zh-CN"/>
              </w:rPr>
              <w:t>工作单位</w:t>
            </w:r>
          </w:p>
        </w:tc>
        <w:tc>
          <w:tcPr>
            <w:tcW w:w="2410" w:type="dxa"/>
          </w:tcPr>
          <w:p w14:paraId="6937B73E">
            <w:pPr>
              <w:widowControl w:val="0"/>
              <w:jc w:val="center"/>
              <w:rPr>
                <w:rFonts w:hint="eastAsia" w:ascii="宋体" w:hAnsi="宋体" w:eastAsia="宋体"/>
                <w:b/>
                <w:kern w:val="2"/>
                <w:sz w:val="18"/>
                <w:szCs w:val="18"/>
                <w:lang w:eastAsia="zh-CN"/>
              </w:rPr>
            </w:pPr>
            <w:r>
              <w:rPr>
                <w:rFonts w:hint="eastAsia" w:ascii="宋体" w:hAnsi="宋体" w:eastAsia="宋体"/>
                <w:b/>
                <w:kern w:val="2"/>
                <w:sz w:val="18"/>
                <w:szCs w:val="18"/>
                <w:lang w:eastAsia="zh-CN"/>
              </w:rPr>
              <w:t>责任分工</w:t>
            </w:r>
          </w:p>
        </w:tc>
      </w:tr>
      <w:tr w14:paraId="46422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Borders>
              <w:top w:val="single" w:color="auto" w:sz="4" w:space="0"/>
            </w:tcBorders>
          </w:tcPr>
          <w:p w14:paraId="0884A8D7">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1</w:t>
            </w:r>
          </w:p>
        </w:tc>
        <w:tc>
          <w:tcPr>
            <w:tcW w:w="851" w:type="dxa"/>
            <w:tcBorders>
              <w:top w:val="single" w:color="auto" w:sz="4" w:space="0"/>
            </w:tcBorders>
          </w:tcPr>
          <w:p w14:paraId="5C5C45CC">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杨怀</w:t>
            </w:r>
          </w:p>
        </w:tc>
        <w:tc>
          <w:tcPr>
            <w:tcW w:w="708" w:type="dxa"/>
          </w:tcPr>
          <w:p w14:paraId="644E057D">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男</w:t>
            </w:r>
          </w:p>
        </w:tc>
        <w:tc>
          <w:tcPr>
            <w:tcW w:w="1134" w:type="dxa"/>
          </w:tcPr>
          <w:p w14:paraId="20356DE5">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副研究员</w:t>
            </w:r>
          </w:p>
        </w:tc>
        <w:tc>
          <w:tcPr>
            <w:tcW w:w="2410" w:type="dxa"/>
          </w:tcPr>
          <w:p w14:paraId="3CC5A9BB">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国际竹藤中心三亚研究基地</w:t>
            </w:r>
          </w:p>
        </w:tc>
        <w:tc>
          <w:tcPr>
            <w:tcW w:w="2410" w:type="dxa"/>
          </w:tcPr>
          <w:p w14:paraId="060D45FA">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起草组组长</w:t>
            </w:r>
          </w:p>
        </w:tc>
      </w:tr>
      <w:tr w14:paraId="29812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14:paraId="74265895">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2</w:t>
            </w:r>
          </w:p>
        </w:tc>
        <w:tc>
          <w:tcPr>
            <w:tcW w:w="851" w:type="dxa"/>
          </w:tcPr>
          <w:p w14:paraId="6284F819">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吴志祥</w:t>
            </w:r>
          </w:p>
        </w:tc>
        <w:tc>
          <w:tcPr>
            <w:tcW w:w="708" w:type="dxa"/>
          </w:tcPr>
          <w:p w14:paraId="7E2146B5">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男</w:t>
            </w:r>
          </w:p>
        </w:tc>
        <w:tc>
          <w:tcPr>
            <w:tcW w:w="1134" w:type="dxa"/>
          </w:tcPr>
          <w:p w14:paraId="5DA29440">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研究员</w:t>
            </w:r>
          </w:p>
        </w:tc>
        <w:tc>
          <w:tcPr>
            <w:tcW w:w="2410" w:type="dxa"/>
          </w:tcPr>
          <w:p w14:paraId="411E36E3">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中国热带农业科学院橡胶研究所</w:t>
            </w:r>
          </w:p>
        </w:tc>
        <w:tc>
          <w:tcPr>
            <w:tcW w:w="2410" w:type="dxa"/>
          </w:tcPr>
          <w:p w14:paraId="3F2C81ED">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调研、实验论证、文本撰写</w:t>
            </w:r>
          </w:p>
        </w:tc>
      </w:tr>
      <w:tr w14:paraId="658A1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14:paraId="5A5AC1EA">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3</w:t>
            </w:r>
          </w:p>
        </w:tc>
        <w:tc>
          <w:tcPr>
            <w:tcW w:w="851" w:type="dxa"/>
          </w:tcPr>
          <w:p w14:paraId="1F019C1C">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刘世荣</w:t>
            </w:r>
          </w:p>
        </w:tc>
        <w:tc>
          <w:tcPr>
            <w:tcW w:w="708" w:type="dxa"/>
          </w:tcPr>
          <w:p w14:paraId="66CE1854">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男</w:t>
            </w:r>
          </w:p>
        </w:tc>
        <w:tc>
          <w:tcPr>
            <w:tcW w:w="1134" w:type="dxa"/>
          </w:tcPr>
          <w:p w14:paraId="0B88450E">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研究员</w:t>
            </w:r>
          </w:p>
        </w:tc>
        <w:tc>
          <w:tcPr>
            <w:tcW w:w="2410" w:type="dxa"/>
          </w:tcPr>
          <w:p w14:paraId="05CDEB34">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中国林业科学院森林生态环境与自然保护研究所</w:t>
            </w:r>
          </w:p>
        </w:tc>
        <w:tc>
          <w:tcPr>
            <w:tcW w:w="2410" w:type="dxa"/>
          </w:tcPr>
          <w:p w14:paraId="47C4D772">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全面指导调研和论证</w:t>
            </w:r>
          </w:p>
        </w:tc>
      </w:tr>
      <w:tr w14:paraId="13DC4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14:paraId="7E3C1450">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4</w:t>
            </w:r>
          </w:p>
        </w:tc>
        <w:tc>
          <w:tcPr>
            <w:tcW w:w="851" w:type="dxa"/>
          </w:tcPr>
          <w:p w14:paraId="5B03A770">
            <w:pPr>
              <w:widowControl w:val="0"/>
              <w:jc w:val="center"/>
              <w:rPr>
                <w:rFonts w:hint="eastAsia" w:ascii="宋体" w:hAnsi="宋体" w:eastAsia="宋体"/>
                <w:kern w:val="2"/>
                <w:sz w:val="18"/>
                <w:szCs w:val="18"/>
                <w:lang w:eastAsia="zh-CN"/>
              </w:rPr>
            </w:pPr>
            <w:r>
              <w:rPr>
                <w:rFonts w:ascii="宋体" w:hAnsi="宋体" w:eastAsia="宋体"/>
                <w:kern w:val="2"/>
                <w:sz w:val="18"/>
                <w:szCs w:val="18"/>
                <w:lang w:eastAsia="zh-CN"/>
              </w:rPr>
              <w:t>栾军伟</w:t>
            </w:r>
          </w:p>
        </w:tc>
        <w:tc>
          <w:tcPr>
            <w:tcW w:w="708" w:type="dxa"/>
          </w:tcPr>
          <w:p w14:paraId="61E43E6A">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男</w:t>
            </w:r>
          </w:p>
        </w:tc>
        <w:tc>
          <w:tcPr>
            <w:tcW w:w="1134" w:type="dxa"/>
          </w:tcPr>
          <w:p w14:paraId="0C3B645E">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研究员</w:t>
            </w:r>
          </w:p>
        </w:tc>
        <w:tc>
          <w:tcPr>
            <w:tcW w:w="2410" w:type="dxa"/>
          </w:tcPr>
          <w:p w14:paraId="5D86274A">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国际竹藤中心三亚研究基地</w:t>
            </w:r>
          </w:p>
        </w:tc>
        <w:tc>
          <w:tcPr>
            <w:tcW w:w="2410" w:type="dxa"/>
          </w:tcPr>
          <w:p w14:paraId="7E9E241C">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调研、实验论证、文本撰写</w:t>
            </w:r>
          </w:p>
        </w:tc>
      </w:tr>
      <w:tr w14:paraId="6C9EB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14:paraId="05453A09">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5</w:t>
            </w:r>
          </w:p>
        </w:tc>
        <w:tc>
          <w:tcPr>
            <w:tcW w:w="851" w:type="dxa"/>
          </w:tcPr>
          <w:p w14:paraId="6E8AA7FE">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祁栋灵</w:t>
            </w:r>
          </w:p>
        </w:tc>
        <w:tc>
          <w:tcPr>
            <w:tcW w:w="708" w:type="dxa"/>
          </w:tcPr>
          <w:p w14:paraId="4BD024AA">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男</w:t>
            </w:r>
          </w:p>
        </w:tc>
        <w:tc>
          <w:tcPr>
            <w:tcW w:w="1134" w:type="dxa"/>
          </w:tcPr>
          <w:p w14:paraId="0B1B6CD8">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副研究员</w:t>
            </w:r>
          </w:p>
        </w:tc>
        <w:tc>
          <w:tcPr>
            <w:tcW w:w="2410" w:type="dxa"/>
          </w:tcPr>
          <w:p w14:paraId="362B6134">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中国热带农业科学院橡胶研究所</w:t>
            </w:r>
          </w:p>
        </w:tc>
        <w:tc>
          <w:tcPr>
            <w:tcW w:w="2410" w:type="dxa"/>
          </w:tcPr>
          <w:p w14:paraId="393CCD5A">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调研、实验论证、文本撰写</w:t>
            </w:r>
          </w:p>
        </w:tc>
      </w:tr>
      <w:tr w14:paraId="6C136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14:paraId="1FFD5571">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6</w:t>
            </w:r>
          </w:p>
        </w:tc>
        <w:tc>
          <w:tcPr>
            <w:tcW w:w="851" w:type="dxa"/>
          </w:tcPr>
          <w:p w14:paraId="0DC4727B">
            <w:pPr>
              <w:widowControl w:val="0"/>
              <w:jc w:val="center"/>
              <w:rPr>
                <w:rFonts w:hint="eastAsia" w:ascii="宋体" w:hAnsi="宋体" w:eastAsia="宋体"/>
                <w:kern w:val="2"/>
                <w:sz w:val="18"/>
                <w:szCs w:val="18"/>
                <w:lang w:eastAsia="zh-CN"/>
              </w:rPr>
            </w:pPr>
            <w:r>
              <w:rPr>
                <w:rFonts w:ascii="宋体" w:hAnsi="宋体" w:eastAsia="宋体"/>
                <w:kern w:val="2"/>
                <w:sz w:val="18"/>
                <w:szCs w:val="18"/>
                <w:lang w:eastAsia="zh-CN"/>
              </w:rPr>
              <w:t>王旭</w:t>
            </w:r>
          </w:p>
        </w:tc>
        <w:tc>
          <w:tcPr>
            <w:tcW w:w="708" w:type="dxa"/>
          </w:tcPr>
          <w:p w14:paraId="54C3852D">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男</w:t>
            </w:r>
          </w:p>
        </w:tc>
        <w:tc>
          <w:tcPr>
            <w:tcW w:w="1134" w:type="dxa"/>
          </w:tcPr>
          <w:p w14:paraId="6BD8E0DE">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副研究员</w:t>
            </w:r>
          </w:p>
        </w:tc>
        <w:tc>
          <w:tcPr>
            <w:tcW w:w="2410" w:type="dxa"/>
          </w:tcPr>
          <w:p w14:paraId="7A379676">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海南大学</w:t>
            </w:r>
          </w:p>
        </w:tc>
        <w:tc>
          <w:tcPr>
            <w:tcW w:w="2410" w:type="dxa"/>
          </w:tcPr>
          <w:p w14:paraId="419429C6">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调研、实验论证、文本撰写</w:t>
            </w:r>
          </w:p>
        </w:tc>
      </w:tr>
      <w:tr w14:paraId="01A52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14:paraId="3EC8E6B0">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7</w:t>
            </w:r>
          </w:p>
        </w:tc>
        <w:tc>
          <w:tcPr>
            <w:tcW w:w="851" w:type="dxa"/>
          </w:tcPr>
          <w:p w14:paraId="1A052CA1">
            <w:pPr>
              <w:widowControl w:val="0"/>
              <w:jc w:val="center"/>
              <w:rPr>
                <w:rFonts w:hint="eastAsia" w:ascii="宋体" w:hAnsi="宋体" w:eastAsia="宋体"/>
                <w:kern w:val="2"/>
                <w:sz w:val="18"/>
                <w:szCs w:val="18"/>
                <w:lang w:eastAsia="zh-CN"/>
              </w:rPr>
            </w:pPr>
            <w:r>
              <w:rPr>
                <w:rFonts w:ascii="宋体" w:hAnsi="宋体" w:eastAsia="宋体"/>
                <w:kern w:val="2"/>
                <w:sz w:val="18"/>
                <w:szCs w:val="18"/>
                <w:lang w:eastAsia="zh-CN"/>
              </w:rPr>
              <w:t>杨秋</w:t>
            </w:r>
          </w:p>
        </w:tc>
        <w:tc>
          <w:tcPr>
            <w:tcW w:w="708" w:type="dxa"/>
          </w:tcPr>
          <w:p w14:paraId="3C46CE12">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女</w:t>
            </w:r>
          </w:p>
        </w:tc>
        <w:tc>
          <w:tcPr>
            <w:tcW w:w="1134" w:type="dxa"/>
          </w:tcPr>
          <w:p w14:paraId="035C641B">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副研究员</w:t>
            </w:r>
          </w:p>
        </w:tc>
        <w:tc>
          <w:tcPr>
            <w:tcW w:w="2410" w:type="dxa"/>
          </w:tcPr>
          <w:p w14:paraId="0A7911F0">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海南大学</w:t>
            </w:r>
          </w:p>
        </w:tc>
        <w:tc>
          <w:tcPr>
            <w:tcW w:w="2410" w:type="dxa"/>
          </w:tcPr>
          <w:p w14:paraId="61B1EB84">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调研、实验论证、文本撰写</w:t>
            </w:r>
          </w:p>
        </w:tc>
      </w:tr>
      <w:tr w14:paraId="79EA4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14:paraId="37690061">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8</w:t>
            </w:r>
          </w:p>
        </w:tc>
        <w:tc>
          <w:tcPr>
            <w:tcW w:w="851" w:type="dxa"/>
          </w:tcPr>
          <w:p w14:paraId="2AEF0AE1">
            <w:pPr>
              <w:widowControl w:val="0"/>
              <w:jc w:val="center"/>
              <w:rPr>
                <w:rFonts w:hint="eastAsia" w:ascii="宋体" w:hAnsi="宋体" w:eastAsia="宋体"/>
                <w:kern w:val="2"/>
                <w:sz w:val="18"/>
                <w:szCs w:val="18"/>
                <w:lang w:eastAsia="zh-CN"/>
              </w:rPr>
            </w:pPr>
            <w:r>
              <w:rPr>
                <w:rFonts w:ascii="宋体" w:hAnsi="宋体" w:eastAsia="宋体"/>
                <w:kern w:val="2"/>
                <w:sz w:val="18"/>
                <w:szCs w:val="18"/>
                <w:lang w:eastAsia="zh-CN"/>
              </w:rPr>
              <w:t>王一</w:t>
            </w:r>
          </w:p>
        </w:tc>
        <w:tc>
          <w:tcPr>
            <w:tcW w:w="708" w:type="dxa"/>
          </w:tcPr>
          <w:p w14:paraId="524047A7">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男</w:t>
            </w:r>
          </w:p>
        </w:tc>
        <w:tc>
          <w:tcPr>
            <w:tcW w:w="1134" w:type="dxa"/>
          </w:tcPr>
          <w:p w14:paraId="0709C2BD">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副研究员</w:t>
            </w:r>
          </w:p>
        </w:tc>
        <w:tc>
          <w:tcPr>
            <w:tcW w:w="2410" w:type="dxa"/>
          </w:tcPr>
          <w:p w14:paraId="1C8083CF">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国际竹藤中心三亚研究基地</w:t>
            </w:r>
          </w:p>
        </w:tc>
        <w:tc>
          <w:tcPr>
            <w:tcW w:w="2410" w:type="dxa"/>
          </w:tcPr>
          <w:p w14:paraId="094D6A0E">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调研、实验论证、文本撰写</w:t>
            </w:r>
          </w:p>
        </w:tc>
      </w:tr>
      <w:tr w14:paraId="4B6BC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14:paraId="67FF371B">
            <w:pPr>
              <w:widowControl w:val="0"/>
              <w:jc w:val="center"/>
              <w:rPr>
                <w:rFonts w:hint="eastAsia" w:ascii="宋体" w:hAnsi="宋体" w:eastAsia="宋体"/>
                <w:kern w:val="2"/>
                <w:sz w:val="18"/>
                <w:szCs w:val="18"/>
                <w:lang w:eastAsia="zh-CN"/>
              </w:rPr>
            </w:pPr>
            <w:bookmarkStart w:id="3" w:name="_Hlk196062514"/>
            <w:r>
              <w:rPr>
                <w:rFonts w:hint="eastAsia" w:ascii="宋体" w:hAnsi="宋体" w:eastAsia="宋体"/>
                <w:kern w:val="2"/>
                <w:sz w:val="18"/>
                <w:szCs w:val="18"/>
                <w:lang w:eastAsia="zh-CN"/>
              </w:rPr>
              <w:t>9</w:t>
            </w:r>
          </w:p>
        </w:tc>
        <w:tc>
          <w:tcPr>
            <w:tcW w:w="851" w:type="dxa"/>
          </w:tcPr>
          <w:p w14:paraId="44F1EA17">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薛荟</w:t>
            </w:r>
          </w:p>
        </w:tc>
        <w:tc>
          <w:tcPr>
            <w:tcW w:w="708" w:type="dxa"/>
          </w:tcPr>
          <w:p w14:paraId="0FAE41AF">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男</w:t>
            </w:r>
          </w:p>
        </w:tc>
        <w:tc>
          <w:tcPr>
            <w:tcW w:w="1134" w:type="dxa"/>
          </w:tcPr>
          <w:p w14:paraId="2B1A9B6F">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高级工程师</w:t>
            </w:r>
          </w:p>
        </w:tc>
        <w:tc>
          <w:tcPr>
            <w:tcW w:w="2410" w:type="dxa"/>
          </w:tcPr>
          <w:p w14:paraId="36C9C864">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海南省林业局</w:t>
            </w:r>
          </w:p>
        </w:tc>
        <w:tc>
          <w:tcPr>
            <w:tcW w:w="2410" w:type="dxa"/>
          </w:tcPr>
          <w:p w14:paraId="761980B6">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调研和论证</w:t>
            </w:r>
          </w:p>
        </w:tc>
      </w:tr>
      <w:tr w14:paraId="7DBB0E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14:paraId="31C08FA4">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10</w:t>
            </w:r>
          </w:p>
        </w:tc>
        <w:tc>
          <w:tcPr>
            <w:tcW w:w="851" w:type="dxa"/>
          </w:tcPr>
          <w:p w14:paraId="4353484A">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邓利和</w:t>
            </w:r>
          </w:p>
        </w:tc>
        <w:tc>
          <w:tcPr>
            <w:tcW w:w="708" w:type="dxa"/>
          </w:tcPr>
          <w:p w14:paraId="6D09242F">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男</w:t>
            </w:r>
          </w:p>
        </w:tc>
        <w:tc>
          <w:tcPr>
            <w:tcW w:w="1134" w:type="dxa"/>
          </w:tcPr>
          <w:p w14:paraId="12BE0F18">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高级工程师</w:t>
            </w:r>
          </w:p>
        </w:tc>
        <w:tc>
          <w:tcPr>
            <w:tcW w:w="2410" w:type="dxa"/>
          </w:tcPr>
          <w:p w14:paraId="2055D47A">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海南省林业局</w:t>
            </w:r>
          </w:p>
        </w:tc>
        <w:tc>
          <w:tcPr>
            <w:tcW w:w="2410" w:type="dxa"/>
          </w:tcPr>
          <w:p w14:paraId="17C50E1C">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调研和论证</w:t>
            </w:r>
          </w:p>
        </w:tc>
      </w:tr>
      <w:bookmarkEnd w:id="3"/>
      <w:tr w14:paraId="408F9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4" w:type="dxa"/>
          </w:tcPr>
          <w:p w14:paraId="2B3F6E39">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11</w:t>
            </w:r>
          </w:p>
        </w:tc>
        <w:tc>
          <w:tcPr>
            <w:tcW w:w="851" w:type="dxa"/>
          </w:tcPr>
          <w:p w14:paraId="44A43BCF">
            <w:pPr>
              <w:widowControl w:val="0"/>
              <w:jc w:val="center"/>
              <w:rPr>
                <w:rFonts w:hint="eastAsia" w:ascii="宋体" w:hAnsi="宋体" w:eastAsia="宋体"/>
                <w:kern w:val="2"/>
                <w:sz w:val="18"/>
                <w:szCs w:val="18"/>
                <w:lang w:eastAsia="zh-CN"/>
              </w:rPr>
            </w:pPr>
            <w:r>
              <w:rPr>
                <w:rFonts w:ascii="宋体" w:hAnsi="宋体" w:eastAsia="宋体"/>
                <w:kern w:val="2"/>
                <w:sz w:val="18"/>
                <w:szCs w:val="18"/>
                <w:lang w:eastAsia="zh-CN"/>
              </w:rPr>
              <w:t>于磊</w:t>
            </w:r>
          </w:p>
        </w:tc>
        <w:tc>
          <w:tcPr>
            <w:tcW w:w="708" w:type="dxa"/>
          </w:tcPr>
          <w:p w14:paraId="3B74396E">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男</w:t>
            </w:r>
          </w:p>
        </w:tc>
        <w:tc>
          <w:tcPr>
            <w:tcW w:w="1134" w:type="dxa"/>
          </w:tcPr>
          <w:p w14:paraId="74CBF7B1">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助理研究员</w:t>
            </w:r>
          </w:p>
        </w:tc>
        <w:tc>
          <w:tcPr>
            <w:tcW w:w="2410" w:type="dxa"/>
          </w:tcPr>
          <w:p w14:paraId="4FEA2D1F">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海南大学</w:t>
            </w:r>
          </w:p>
        </w:tc>
        <w:tc>
          <w:tcPr>
            <w:tcW w:w="2410" w:type="dxa"/>
          </w:tcPr>
          <w:p w14:paraId="65D1E6C9">
            <w:pPr>
              <w:widowControl w:val="0"/>
              <w:jc w:val="center"/>
              <w:rPr>
                <w:rFonts w:hint="eastAsia" w:ascii="宋体" w:hAnsi="宋体" w:eastAsia="宋体"/>
                <w:kern w:val="2"/>
                <w:sz w:val="18"/>
                <w:szCs w:val="18"/>
                <w:lang w:eastAsia="zh-CN"/>
              </w:rPr>
            </w:pPr>
            <w:r>
              <w:rPr>
                <w:rFonts w:hint="eastAsia" w:ascii="宋体" w:hAnsi="宋体" w:eastAsia="宋体"/>
                <w:kern w:val="2"/>
                <w:sz w:val="18"/>
                <w:szCs w:val="18"/>
                <w:lang w:eastAsia="zh-CN"/>
              </w:rPr>
              <w:t>调研、实验论证、文本撰写</w:t>
            </w:r>
          </w:p>
        </w:tc>
      </w:tr>
    </w:tbl>
    <w:p w14:paraId="4C15DE5A">
      <w:pPr>
        <w:spacing w:before="156" w:beforeLines="50" w:line="360" w:lineRule="auto"/>
        <w:rPr>
          <w:rFonts w:hint="eastAsia" w:ascii="黑体" w:hAnsi="黑体" w:eastAsia="黑体"/>
          <w:b/>
          <w:lang w:eastAsia="zh-CN"/>
        </w:rPr>
      </w:pPr>
      <w:r>
        <w:rPr>
          <w:rFonts w:hint="eastAsia" w:ascii="黑体" w:hAnsi="黑体" w:eastAsia="黑体"/>
          <w:b/>
          <w:lang w:eastAsia="zh-CN"/>
        </w:rPr>
        <w:t>二、编制情况</w:t>
      </w:r>
    </w:p>
    <w:p w14:paraId="7DFFF45D">
      <w:pPr>
        <w:spacing w:before="156" w:beforeLines="50" w:line="360" w:lineRule="auto"/>
        <w:rPr>
          <w:rFonts w:hint="eastAsia" w:ascii="黑体" w:hAnsi="黑体" w:eastAsia="黑体"/>
          <w:b/>
          <w:bCs/>
          <w:lang w:eastAsia="zh-CN"/>
        </w:rPr>
      </w:pPr>
      <w:r>
        <w:rPr>
          <w:rFonts w:hint="eastAsia" w:ascii="黑体" w:hAnsi="黑体" w:eastAsia="黑体"/>
          <w:b/>
          <w:bCs/>
          <w:lang w:eastAsia="zh-CN"/>
        </w:rPr>
        <w:t>（一）编制标准的必要性及政策依据</w:t>
      </w:r>
    </w:p>
    <w:p w14:paraId="5F4E9389">
      <w:pPr>
        <w:spacing w:before="156" w:beforeLines="50" w:line="360" w:lineRule="auto"/>
        <w:rPr>
          <w:rFonts w:hint="eastAsia" w:ascii="宋体" w:hAnsi="宋体" w:eastAsia="宋体"/>
          <w:b/>
          <w:lang w:eastAsia="zh-CN"/>
        </w:rPr>
      </w:pPr>
      <w:r>
        <w:rPr>
          <w:rFonts w:hint="eastAsia" w:ascii="宋体" w:hAnsi="宋体" w:eastAsia="宋体"/>
          <w:b/>
          <w:lang w:eastAsia="zh-CN"/>
        </w:rPr>
        <w:t>1.制标的必要性</w:t>
      </w:r>
    </w:p>
    <w:p w14:paraId="2280EE1A">
      <w:pPr>
        <w:spacing w:line="360" w:lineRule="auto"/>
        <w:ind w:firstLine="480" w:firstLineChars="200"/>
        <w:rPr>
          <w:rFonts w:eastAsia="宋体"/>
          <w:color w:val="000000"/>
          <w:lang w:eastAsia="zh-CN"/>
        </w:rPr>
      </w:pPr>
      <w:r>
        <w:rPr>
          <w:rFonts w:eastAsia="宋体"/>
          <w:color w:val="000000"/>
          <w:lang w:eastAsia="zh-CN"/>
        </w:rPr>
        <w:t>响应习近平总书记在第七十五届联合国大会中首次提出的“中国将提高国家自主贡献力度，力争于2030年前达到峰值，努力争取2060年前实现碳中和”的号召。随之，中共中央、国务院、海南省人民政府和海口市均提出指出实现碳达峰、碳中和，是以习近平同志为核心的党中央统筹国内国际两个大局做出的重大战略决策，是着力解决资源环境约束的突出问题，重点在于增加森林碳储量；改造低质低效老残林，提高林地生产力和森林碳汇；建立健全森林生态系统碳汇监测体系。</w:t>
      </w:r>
    </w:p>
    <w:p w14:paraId="473B210E">
      <w:pPr>
        <w:spacing w:line="360" w:lineRule="auto"/>
        <w:ind w:firstLine="480" w:firstLineChars="200"/>
        <w:rPr>
          <w:rFonts w:eastAsia="宋体"/>
          <w:color w:val="000000"/>
          <w:lang w:eastAsia="zh-CN"/>
        </w:rPr>
      </w:pPr>
      <w:r>
        <w:rPr>
          <w:rFonts w:eastAsia="宋体"/>
          <w:color w:val="000000"/>
          <w:lang w:eastAsia="zh-CN"/>
        </w:rPr>
        <w:t>随着全球气候变暖，提高生态系统的固碳能力成为了一个重要的研究课题。近年来，许多研究者致力于探索如何提高生态系统的固碳能力，其中混交是最有效的一种途径，普遍认为混交可以提高生态系统的生产力和碳储量。</w:t>
      </w:r>
      <w:r>
        <w:rPr>
          <w:rFonts w:hint="eastAsia" w:eastAsia="宋体"/>
          <w:color w:val="000000"/>
          <w:lang w:eastAsia="zh-CN"/>
        </w:rPr>
        <w:t>但</w:t>
      </w:r>
      <w:r>
        <w:rPr>
          <w:rFonts w:eastAsia="宋体"/>
          <w:color w:val="000000"/>
          <w:lang w:eastAsia="zh-CN"/>
        </w:rPr>
        <w:t>混交主要存在的瓶颈问题：橡胶人工林混种的树种、混种的树龄和混种密度等均比较混乱，没有规范化的混种技术标准及模式体系，这给橡胶人工林改培提升固碳能力带来了不确定性。针对混交林的瓶颈问题，我们利用珍贵树种和中草药与橡胶人工林混交，提升生态系统固碳能力，不但提高橡胶人工林的碳储量，同时还培育火力楠、降香黄檀和坡垒等珍贵树种，促进海南省生态建设和产业发展。目前尚无针对橡胶人工林混交改培提升固碳能力方面的国家标准、行业标准、地方标准，因此，通过本技术规程的制定和应用，进行高水平、标准化、专业化的橡胶人工林改培，提升橡胶林的固碳能力，并兼顾经济价值。为海南岛橡胶人工林的混交改培提供示范作用，助力实现海南“双碳”战略目标。因此，制定改培橡胶人工林提升固碳能力技术规程的地方标准市非常必要和迫在眉睫的。</w:t>
      </w:r>
    </w:p>
    <w:p w14:paraId="426FE61C">
      <w:pPr>
        <w:spacing w:line="360" w:lineRule="auto"/>
        <w:ind w:firstLine="480" w:firstLineChars="200"/>
        <w:rPr>
          <w:rFonts w:eastAsia="宋体"/>
          <w:lang w:eastAsia="zh-CN"/>
        </w:rPr>
      </w:pPr>
      <w:r>
        <w:rPr>
          <w:rFonts w:eastAsia="宋体"/>
          <w:color w:val="000000"/>
          <w:lang w:eastAsia="zh-CN"/>
        </w:rPr>
        <w:t>本规范的制定实施有以下几点重要意义。一是经济效益方面，改培橡胶人工林的珍贵树种和中草药的经济价值较高，培育火力楠、降香黄檀和坡垒等珍贵树种，提高林分的质量和生物量；二是社会效益方面，有利于规范橡胶人工林的混交改培技术，为批量培养改培橡胶人工林的技术工人提供标准参照，助力缓解改培橡胶人工林的用工荒问题，增加本地农民就业机会；三是生态效益方面，改培橡胶人工林，提升生态系统固碳能力，助力实现“双碳”战略目标。该标准出台对增强海南省橡胶产业竞争力，增加胶农经济收入，促进乡村振兴，保护热带天然林资源具有重要的意义。</w:t>
      </w:r>
    </w:p>
    <w:p w14:paraId="2F1154D9">
      <w:pPr>
        <w:spacing w:before="156" w:beforeLines="50" w:line="360" w:lineRule="auto"/>
        <w:rPr>
          <w:rFonts w:hint="eastAsia" w:ascii="宋体" w:hAnsi="宋体" w:eastAsia="宋体"/>
          <w:b/>
          <w:lang w:eastAsia="zh-CN"/>
        </w:rPr>
      </w:pPr>
      <w:r>
        <w:rPr>
          <w:rFonts w:hint="eastAsia" w:ascii="宋体" w:hAnsi="宋体" w:eastAsia="宋体"/>
          <w:b/>
          <w:lang w:eastAsia="zh-CN"/>
        </w:rPr>
        <w:t>2.政策依据</w:t>
      </w:r>
    </w:p>
    <w:p w14:paraId="36DECB65">
      <w:pPr>
        <w:spacing w:line="360" w:lineRule="auto"/>
        <w:ind w:firstLine="480" w:firstLineChars="200"/>
        <w:jc w:val="both"/>
        <w:rPr>
          <w:rFonts w:eastAsia="宋体"/>
          <w:color w:val="000000"/>
          <w:lang w:eastAsia="zh-CN"/>
        </w:rPr>
      </w:pPr>
      <w:r>
        <w:rPr>
          <w:rFonts w:eastAsia="宋体"/>
          <w:color w:val="000000"/>
          <w:lang w:eastAsia="zh-CN"/>
        </w:rPr>
        <w:t>2020年9月，习近平总书记在第七十五届联合国大会中首次提出，“中国将提高国家自主贡献力度，力争于2030年前达到峰值，努力争取2060年前实现碳中和”。党的二十大报告明确提出，实现“双碳”战略是一场广泛而深刻的经济社会系统性变革。这一科学论断蕴含了中国式现代化的独特生态观，把我国的“双碳”战略提升到了全局层面，成为习近平生态文明思想的重要组成部分。首先，中共中央和国务院随之印发的《关于完整准确全面贯彻新发展理念做好碳达峰碳中和工作的意见》中发〔2021〕36号，指出实现碳达峰、碳中和，是以习近平同志为核心的党中央统筹国内国际两个大局做出的重大战略决策，是着力解决资源环境约束突出问题、实现中华民族永续发展的必然选择，是构建人类命运共同体的庄严承诺。紧接着，国务院印发的《2030年前碳达峰行动方案》国发〔2021〕23号，指出推进山水林田湖草沙一体化保护和修复，强化森林资源保护，巩固生态系统固碳作用；实施森林质量精准提升工程，提升生态系统固碳能力。其次，海南省人民政府印发《海南省碳达峰实施方案》琼府〔2022〕27号，指出通过加强森林资源培育，着力增加森林碳储量；改造低质低效老残林，提高林地生产力和森林碳汇。最后，海口市人民政府印发《海口市碳达峰实施方案》海府〔2023〕15号，指出推进造林增汇，开展森林质量精准提升，增加森林生态系统碳储量；开展林业碳汇计量监测体系建设，建立健全森林生态系统碳汇监测体系。</w:t>
      </w:r>
      <w:r>
        <w:rPr>
          <w:rFonts w:eastAsia="宋体"/>
          <w:lang w:eastAsia="zh-CN"/>
        </w:rPr>
        <w:t>以此为目标，我们承担了“十四五”重点研发计划子课题“热带次生林生态恢复与碳汇提升技术研究”，主要研究提升和稳定热带次生林和人工林碳汇技术，</w:t>
      </w:r>
      <w:r>
        <w:rPr>
          <w:rFonts w:eastAsia="宋体"/>
          <w:color w:val="000000"/>
          <w:lang w:eastAsia="zh-CN"/>
        </w:rPr>
        <w:t>关于森林碳汇功能的研究已成为生态学领域关注的焦点。已有研究表明，混交林由于物种多样性和复杂的生物关系，具有较高的生产力、土壤固碳能力。因此，利用混交林提升低质低效人工林生态系统固碳能力成为重要议题。混交林是指由两个或两个以上树种组成的林分，分为异龄混交林、同龄混交林和常绿落叶混交林等。混交林在固碳方面具有巨大的潜力，有以下策略：（1）合理选择混交树种，通过优化树种组合提高混交林的固碳能力；（2）适度调整林分密度，避免过密或过稀的林分对固碳能力的影响；（3）考虑土壤和气候条件，因地制宜地选择适合当地生长的混交树种。</w:t>
      </w:r>
    </w:p>
    <w:p w14:paraId="1C2DA055">
      <w:pPr>
        <w:spacing w:line="360" w:lineRule="auto"/>
        <w:ind w:firstLine="480" w:firstLineChars="200"/>
        <w:jc w:val="both"/>
        <w:rPr>
          <w:rFonts w:eastAsia="宋体"/>
          <w:color w:val="000000"/>
          <w:lang w:eastAsia="zh-CN"/>
        </w:rPr>
      </w:pPr>
      <w:r>
        <w:rPr>
          <w:rFonts w:eastAsia="宋体"/>
          <w:color w:val="000000"/>
          <w:lang w:eastAsia="zh-CN"/>
        </w:rPr>
        <w:t>海南岛作为岛屿省份，其独特的地理位置和气候条件，使得其森林资源在碳汇功能方面具有特殊意义。近年来，开展了海南岛混交林固碳能力的研究，主要有：（1）系统研究了不同混交比例和树种配置对混交林碳汇功能的影响，为优化混交林配置提供科学依据；（2）揭示了混交林在不同气候和环境条件下的碳汇功能变化规律，为碳汇功能评估和气候变化应对提供参考；（3）提出混交林碳汇功能的潜在提升策略，为碳汇功能提升和林业管理提供科学指导。另外，橡胶林是海南岛最重要的人工林之一，也是重要的经济作物，面积已经达到了56万公顷，由于目前橡胶价格下降，改培橡胶人工林的趋势越来越明显，但纯林容易遭受病虫害的侵扰。因此，采用火力楠、降香黄檀和沉香等珍贵树种与橡胶人工林混交的改培模式，不仅提高橡胶人工林的生态稳定性，还可以提升橡胶人工林的固碳能力，为海南岛橡胶林人工林近自然改培多功能经营提供示范模式。因此，项目建设单位组织了海南天然橡胶产业集团股份有限公司和热带农业科学院等多家单位进行了调研和考察，主要存在的瓶颈问题：橡胶人工林混种的树种、混种的树龄、混种密度、土壤改良、病虫害防治和施肥管理等均比较混乱，没有规范化的混种技术标准及模式体系，导致有些混种的整体效益还不如橡胶人工林，这给橡胶人工林改培提升固碳能力带来了不确定性。同时混种种苗的质量、育苗条件和混种的种植技术等关系着混种的成败和效果。针对以上的瓶颈问题，本规范将充分考虑橡胶人工林现状，围绕改培橡胶人工林的基本规程、技术要求、档案管理、固碳能力评估、验收检查等开展研究，全面梳理改培橡胶人工林的科学流程，对橡胶人工林进行分级和针对性的混交改培。因此提出编制《改培橡胶人工林提升固碳能力技术规程》。</w:t>
      </w:r>
    </w:p>
    <w:p w14:paraId="1D6CB107">
      <w:pPr>
        <w:spacing w:line="360" w:lineRule="auto"/>
        <w:ind w:firstLine="480" w:firstLineChars="200"/>
        <w:jc w:val="both"/>
        <w:rPr>
          <w:rFonts w:eastAsia="宋体"/>
          <w:color w:val="000000"/>
          <w:lang w:eastAsia="zh-CN"/>
        </w:rPr>
      </w:pPr>
      <w:r>
        <w:rPr>
          <w:rFonts w:eastAsia="宋体"/>
          <w:color w:val="000000"/>
          <w:lang w:eastAsia="zh-CN"/>
        </w:rPr>
        <w:t>2024年4月，国际竹藤中心三亚研究基地提交了《改培橡胶人工林提升固碳能力技术规程》立项申请书。</w:t>
      </w:r>
      <w:bookmarkStart w:id="4" w:name="_Hlk196061635"/>
      <w:r>
        <w:rPr>
          <w:rFonts w:eastAsia="宋体"/>
          <w:color w:val="000000"/>
          <w:lang w:eastAsia="zh-CN"/>
        </w:rPr>
        <w:t>2024年7月，海南市市场监督管理局审核通过，予以立项，将《改培橡胶人工林提升固碳能力技术规程》（项目编号：2024-Z030）已列入海南省2024年第二批地方标准制修订项目计划予以公示后下达计划。</w:t>
      </w:r>
      <w:bookmarkEnd w:id="4"/>
      <w:r>
        <w:rPr>
          <w:rFonts w:eastAsia="宋体"/>
          <w:color w:val="000000"/>
          <w:lang w:eastAsia="zh-CN"/>
        </w:rPr>
        <w:t>目标是通过本技术规程的制定和应用，进行高水平、标准化、专业化的橡胶人工林改培，提升橡胶林的固碳能力，并兼顾经济价值。为海南岛橡胶人工林的混交改培提供示范作用，助力实现海南“双碳”战略目标。该标准由海南省林业局提出和归口管理。</w:t>
      </w:r>
    </w:p>
    <w:p w14:paraId="70038C7A">
      <w:pPr>
        <w:spacing w:before="156" w:beforeLines="50" w:line="360" w:lineRule="auto"/>
        <w:rPr>
          <w:rFonts w:hint="default" w:eastAsia="宋体"/>
          <w:color w:val="000000"/>
          <w:lang w:val="en-US" w:eastAsia="zh-CN"/>
        </w:rPr>
      </w:pPr>
      <w:bookmarkStart w:id="5" w:name="OLE_LINK1"/>
      <w:r>
        <w:rPr>
          <w:rFonts w:hint="eastAsia" w:ascii="黑体" w:hAnsi="黑体" w:eastAsia="黑体"/>
          <w:b/>
          <w:bCs/>
          <w:lang w:eastAsia="zh-CN"/>
        </w:rPr>
        <w:t>（二）编制</w:t>
      </w:r>
      <w:r>
        <w:rPr>
          <w:rFonts w:hint="eastAsia" w:ascii="黑体" w:hAnsi="黑体" w:eastAsia="黑体"/>
          <w:b/>
          <w:bCs/>
          <w:lang w:val="en-US" w:eastAsia="zh-CN"/>
        </w:rPr>
        <w:t>过程简介</w:t>
      </w:r>
    </w:p>
    <w:bookmarkEnd w:id="5"/>
    <w:p w14:paraId="4C74EF4E">
      <w:pPr>
        <w:spacing w:before="50" w:line="360" w:lineRule="auto"/>
        <w:rPr>
          <w:rFonts w:hint="eastAsia" w:ascii="宋体" w:hAnsi="宋体" w:eastAsia="宋体"/>
          <w:b/>
          <w:lang w:eastAsia="zh-CN"/>
        </w:rPr>
      </w:pPr>
      <w:r>
        <w:rPr>
          <w:rFonts w:hint="eastAsia" w:ascii="宋体" w:hAnsi="宋体" w:eastAsia="宋体"/>
          <w:b/>
          <w:lang w:eastAsia="zh-CN"/>
        </w:rPr>
        <w:t>1.成立起草小组</w:t>
      </w:r>
    </w:p>
    <w:p w14:paraId="6245331A">
      <w:pPr>
        <w:spacing w:before="156" w:beforeLines="50" w:line="360" w:lineRule="auto"/>
        <w:ind w:firstLine="480" w:firstLineChars="200"/>
        <w:rPr>
          <w:rFonts w:hint="eastAsia" w:ascii="宋体" w:hAnsi="宋体" w:eastAsia="宋体"/>
          <w:lang w:eastAsia="zh-CN"/>
        </w:rPr>
      </w:pPr>
      <w:r>
        <w:rPr>
          <w:rFonts w:hint="eastAsia" w:ascii="宋体" w:hAnsi="宋体" w:eastAsia="宋体"/>
          <w:lang w:eastAsia="zh-CN"/>
        </w:rPr>
        <w:t>2024年7月16日，收到海南省市场监督管理局《关于下达2024年第二批海南省地方标准制修订计划的通知》后，由国际竹藤中心三亚研究基地组织有关单位、相关专业技术人员成立标准编制小组，成员有杨怀、吴志祥、刘世荣、栾军伟、祁栋灵、王旭、杨秋、王一、薛荟、邓利和、于磊，并召开了工作组会议，会议明确了标准主要起草单位、进度安排、任务分工，确定了编制标准的工作计划。</w:t>
      </w:r>
    </w:p>
    <w:p w14:paraId="465486A8">
      <w:pPr>
        <w:spacing w:before="50" w:line="360" w:lineRule="auto"/>
        <w:rPr>
          <w:rFonts w:hint="eastAsia" w:ascii="宋体" w:hAnsi="宋体" w:eastAsia="宋体"/>
          <w:b/>
          <w:lang w:eastAsia="zh-CN"/>
        </w:rPr>
      </w:pPr>
      <w:r>
        <w:rPr>
          <w:rFonts w:hint="eastAsia" w:ascii="宋体" w:hAnsi="宋体" w:eastAsia="宋体"/>
          <w:b/>
          <w:lang w:eastAsia="zh-CN"/>
        </w:rPr>
        <w:t>2.起草阶段情况</w:t>
      </w:r>
    </w:p>
    <w:p w14:paraId="33BEAAAE">
      <w:pPr>
        <w:spacing w:before="50" w:line="360" w:lineRule="auto"/>
        <w:rPr>
          <w:rFonts w:hint="eastAsia" w:ascii="宋体" w:hAnsi="宋体" w:eastAsia="宋体"/>
          <w:b/>
          <w:lang w:eastAsia="zh-CN"/>
        </w:rPr>
      </w:pPr>
      <w:r>
        <w:rPr>
          <w:rFonts w:hint="eastAsia" w:ascii="宋体" w:hAnsi="宋体" w:eastAsia="宋体"/>
          <w:b/>
          <w:lang w:eastAsia="zh-CN"/>
        </w:rPr>
        <w:t>2.1标准及法规</w:t>
      </w:r>
    </w:p>
    <w:p w14:paraId="34A6B246">
      <w:pPr>
        <w:spacing w:before="50" w:line="360" w:lineRule="auto"/>
        <w:ind w:firstLine="480" w:firstLineChars="200"/>
        <w:rPr>
          <w:rFonts w:hint="eastAsia" w:ascii="宋体" w:hAnsi="宋体" w:eastAsia="宋体"/>
          <w:bCs/>
          <w:lang w:eastAsia="zh-CN"/>
        </w:rPr>
      </w:pPr>
      <w:r>
        <w:rPr>
          <w:rFonts w:hint="eastAsia" w:ascii="宋体" w:hAnsi="宋体" w:eastAsia="宋体"/>
          <w:bCs/>
          <w:lang w:eastAsia="zh-CN"/>
        </w:rPr>
        <w:t>编制组首先认真学习了《</w:t>
      </w:r>
      <w:r>
        <w:rPr>
          <w:rFonts w:hint="eastAsia" w:ascii="宋体" w:hAnsi="宋体" w:eastAsia="宋体"/>
          <w:bCs/>
          <w:lang w:val="en-US" w:eastAsia="zh-CN"/>
        </w:rPr>
        <w:t>海南省地方标准管理办法</w:t>
      </w:r>
      <w:r>
        <w:rPr>
          <w:rFonts w:hint="eastAsia" w:ascii="宋体" w:hAnsi="宋体" w:eastAsia="宋体"/>
          <w:bCs/>
          <w:lang w:eastAsia="zh-CN"/>
        </w:rPr>
        <w:t>》和海南省《地方标准制修订工作规范》（DB46/T 74—2021）等法律法规及有关文件，确定了需参考的现有标准。</w:t>
      </w:r>
    </w:p>
    <w:p w14:paraId="7A11F1D5">
      <w:pPr>
        <w:spacing w:before="50" w:line="360" w:lineRule="auto"/>
        <w:rPr>
          <w:rFonts w:hint="eastAsia" w:ascii="宋体" w:hAnsi="宋体" w:eastAsia="宋体"/>
          <w:b/>
          <w:lang w:eastAsia="zh-CN"/>
        </w:rPr>
      </w:pPr>
      <w:r>
        <w:rPr>
          <w:rFonts w:hint="eastAsia" w:ascii="宋体" w:hAnsi="宋体" w:eastAsia="宋体"/>
          <w:b/>
          <w:lang w:eastAsia="zh-CN"/>
        </w:rPr>
        <w:t>2.2查阅相关标准</w:t>
      </w:r>
    </w:p>
    <w:p w14:paraId="1D776062">
      <w:pPr>
        <w:spacing w:line="360" w:lineRule="auto"/>
        <w:ind w:firstLine="480" w:firstLineChars="200"/>
        <w:rPr>
          <w:rFonts w:hint="eastAsia" w:ascii="宋体" w:hAnsi="宋体" w:eastAsia="宋体"/>
          <w:lang w:eastAsia="zh-CN"/>
        </w:rPr>
      </w:pPr>
      <w:r>
        <w:rPr>
          <w:rFonts w:hint="eastAsia" w:ascii="宋体" w:hAnsi="宋体" w:eastAsia="宋体"/>
          <w:lang w:eastAsia="zh-CN"/>
        </w:rPr>
        <w:t>通过查阅，</w:t>
      </w:r>
      <w:r>
        <w:rPr>
          <w:rFonts w:ascii="宋体" w:hAnsi="宋体" w:eastAsia="宋体"/>
          <w:lang w:eastAsia="zh-CN"/>
        </w:rPr>
        <w:t>发布</w:t>
      </w:r>
      <w:r>
        <w:rPr>
          <w:rFonts w:hint="eastAsia" w:ascii="宋体" w:hAnsi="宋体" w:eastAsia="宋体"/>
          <w:lang w:eastAsia="zh-CN"/>
        </w:rPr>
        <w:t>与橡胶林改培和森林固碳增汇相关的标准有</w:t>
      </w:r>
      <w:r>
        <w:rPr>
          <w:rFonts w:ascii="宋体" w:hAnsi="宋体" w:eastAsia="宋体"/>
          <w:szCs w:val="21"/>
          <w:lang w:eastAsia="zh-CN"/>
        </w:rPr>
        <w:t xml:space="preserve">DB 46/T 564 </w:t>
      </w:r>
      <w:r>
        <w:rPr>
          <w:rFonts w:hint="eastAsia" w:ascii="宋体" w:hAnsi="宋体" w:eastAsia="宋体"/>
          <w:lang w:eastAsia="zh-CN"/>
        </w:rPr>
        <w:t>《</w:t>
      </w:r>
      <w:r>
        <w:rPr>
          <w:rFonts w:ascii="宋体" w:hAnsi="宋体" w:eastAsia="宋体"/>
          <w:szCs w:val="21"/>
          <w:lang w:eastAsia="zh-CN"/>
        </w:rPr>
        <w:t>橡胶林改培技术规程</w:t>
      </w:r>
      <w:r>
        <w:rPr>
          <w:rFonts w:hint="eastAsia" w:ascii="宋体" w:hAnsi="宋体" w:eastAsia="宋体"/>
          <w:lang w:eastAsia="zh-CN"/>
        </w:rPr>
        <w:t>》</w:t>
      </w:r>
      <w:r>
        <w:rPr>
          <w:rFonts w:ascii="宋体" w:hAnsi="宋体" w:eastAsia="宋体"/>
          <w:lang w:eastAsia="zh-CN"/>
        </w:rPr>
        <w:t>（</w:t>
      </w:r>
      <w:r>
        <w:rPr>
          <w:rFonts w:ascii="宋体" w:hAnsi="宋体" w:eastAsia="宋体"/>
          <w:szCs w:val="21"/>
          <w:lang w:eastAsia="zh-CN"/>
        </w:rPr>
        <w:t>DB 46/T 564</w:t>
      </w:r>
      <w:r>
        <w:rPr>
          <w:rFonts w:ascii="宋体" w:hAnsi="宋体" w:eastAsia="宋体"/>
          <w:lang w:eastAsia="zh-CN"/>
        </w:rPr>
        <w:t>）</w:t>
      </w:r>
      <w:r>
        <w:rPr>
          <w:rFonts w:hint="eastAsia" w:ascii="宋体" w:hAnsi="宋体" w:eastAsia="宋体"/>
          <w:szCs w:val="21"/>
          <w:lang w:eastAsia="zh-CN"/>
        </w:rPr>
        <w:t>、《</w:t>
      </w:r>
      <w:r>
        <w:rPr>
          <w:rFonts w:ascii="宋体" w:hAnsi="宋体" w:eastAsia="宋体"/>
          <w:szCs w:val="21"/>
          <w:lang w:eastAsia="zh-CN"/>
        </w:rPr>
        <w:t>森林固碳增汇经营技术规程</w:t>
      </w:r>
      <w:r>
        <w:rPr>
          <w:rFonts w:hint="eastAsia" w:ascii="宋体" w:hAnsi="宋体" w:eastAsia="宋体"/>
          <w:szCs w:val="21"/>
          <w:lang w:eastAsia="zh-CN"/>
        </w:rPr>
        <w:t>》（</w:t>
      </w:r>
      <w:r>
        <w:rPr>
          <w:rFonts w:ascii="宋体" w:hAnsi="宋体" w:eastAsia="宋体"/>
          <w:szCs w:val="21"/>
          <w:lang w:eastAsia="zh-CN"/>
        </w:rPr>
        <w:t>DB11/T 1437</w:t>
      </w:r>
      <w:r>
        <w:rPr>
          <w:rFonts w:hint="eastAsia" w:ascii="宋体" w:hAnsi="宋体" w:eastAsia="宋体"/>
          <w:szCs w:val="21"/>
          <w:lang w:eastAsia="zh-CN"/>
        </w:rPr>
        <w:t>）、碳汇造林技术规程（LY/T 2252）</w:t>
      </w:r>
      <w:r>
        <w:rPr>
          <w:rFonts w:hint="eastAsia" w:ascii="宋体" w:hAnsi="宋体" w:eastAsia="宋体"/>
          <w:lang w:eastAsia="zh-CN"/>
        </w:rPr>
        <w:t>等，详见表2。</w:t>
      </w:r>
    </w:p>
    <w:p w14:paraId="07B94794">
      <w:pPr>
        <w:spacing w:before="156" w:beforeLines="50" w:after="156" w:afterLines="50"/>
        <w:jc w:val="center"/>
        <w:rPr>
          <w:rFonts w:hint="eastAsia" w:ascii="黑体" w:hAnsi="黑体" w:eastAsia="黑体" w:cs="宋体"/>
          <w:color w:val="000000"/>
          <w:lang w:eastAsia="zh-CN"/>
        </w:rPr>
      </w:pPr>
      <w:r>
        <w:rPr>
          <w:rFonts w:hint="eastAsia" w:ascii="黑体" w:hAnsi="黑体" w:eastAsia="黑体" w:cs="宋体"/>
          <w:lang w:eastAsia="zh-CN"/>
        </w:rPr>
        <w:t>表2</w:t>
      </w:r>
      <w:r>
        <w:rPr>
          <w:rFonts w:ascii="黑体" w:hAnsi="黑体" w:eastAsia="黑体" w:cs="宋体"/>
          <w:lang w:eastAsia="zh-CN"/>
        </w:rPr>
        <w:t xml:space="preserve"> </w:t>
      </w:r>
      <w:r>
        <w:rPr>
          <w:rFonts w:hint="eastAsia" w:ascii="黑体" w:hAnsi="黑体" w:eastAsia="黑体" w:cs="宋体"/>
          <w:lang w:eastAsia="zh-CN"/>
        </w:rPr>
        <w:t xml:space="preserve"> 有关橡胶林改培和森林固碳增汇的相关标准</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9"/>
        <w:gridCol w:w="2082"/>
        <w:gridCol w:w="4049"/>
        <w:gridCol w:w="1466"/>
      </w:tblGrid>
      <w:tr w14:paraId="34B16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699" w:type="dxa"/>
            <w:shd w:val="clear" w:color="auto" w:fill="auto"/>
          </w:tcPr>
          <w:p w14:paraId="69FBA02D">
            <w:pPr>
              <w:spacing w:before="50"/>
              <w:jc w:val="center"/>
              <w:rPr>
                <w:rFonts w:hint="eastAsia" w:asciiTheme="minorEastAsia" w:hAnsiTheme="minorEastAsia"/>
                <w:sz w:val="18"/>
                <w:szCs w:val="18"/>
              </w:rPr>
            </w:pPr>
            <w:r>
              <w:rPr>
                <w:rFonts w:asciiTheme="minorEastAsia" w:hAnsiTheme="minorEastAsia"/>
                <w:sz w:val="18"/>
                <w:szCs w:val="18"/>
              </w:rPr>
              <w:t>序号</w:t>
            </w:r>
          </w:p>
        </w:tc>
        <w:tc>
          <w:tcPr>
            <w:tcW w:w="2082" w:type="dxa"/>
            <w:shd w:val="clear" w:color="auto" w:fill="auto"/>
          </w:tcPr>
          <w:p w14:paraId="753CCD04">
            <w:pPr>
              <w:autoSpaceDE w:val="0"/>
              <w:autoSpaceDN w:val="0"/>
              <w:adjustRightInd w:val="0"/>
              <w:spacing w:before="50"/>
              <w:jc w:val="center"/>
              <w:rPr>
                <w:rFonts w:hint="eastAsia" w:asciiTheme="minorEastAsia" w:hAnsiTheme="minorEastAsia"/>
                <w:sz w:val="18"/>
                <w:szCs w:val="18"/>
              </w:rPr>
            </w:pPr>
            <w:r>
              <w:rPr>
                <w:rFonts w:asciiTheme="minorEastAsia" w:hAnsiTheme="minorEastAsia"/>
                <w:sz w:val="18"/>
                <w:szCs w:val="18"/>
              </w:rPr>
              <w:t>标准编号</w:t>
            </w:r>
          </w:p>
        </w:tc>
        <w:tc>
          <w:tcPr>
            <w:tcW w:w="4049" w:type="dxa"/>
            <w:shd w:val="clear" w:color="auto" w:fill="auto"/>
          </w:tcPr>
          <w:p w14:paraId="3891F728">
            <w:pPr>
              <w:spacing w:before="50"/>
              <w:jc w:val="center"/>
              <w:rPr>
                <w:rFonts w:hint="eastAsia" w:asciiTheme="minorEastAsia" w:hAnsiTheme="minorEastAsia"/>
                <w:sz w:val="18"/>
                <w:szCs w:val="18"/>
              </w:rPr>
            </w:pPr>
            <w:r>
              <w:rPr>
                <w:rFonts w:asciiTheme="minorEastAsia" w:hAnsiTheme="minorEastAsia"/>
                <w:sz w:val="18"/>
                <w:szCs w:val="18"/>
              </w:rPr>
              <w:t>标准名称</w:t>
            </w:r>
          </w:p>
        </w:tc>
        <w:tc>
          <w:tcPr>
            <w:tcW w:w="1466" w:type="dxa"/>
            <w:shd w:val="clear" w:color="auto" w:fill="auto"/>
          </w:tcPr>
          <w:p w14:paraId="52C3982A">
            <w:pPr>
              <w:spacing w:before="50"/>
              <w:jc w:val="center"/>
              <w:rPr>
                <w:rFonts w:hint="eastAsia" w:asciiTheme="minorEastAsia" w:hAnsiTheme="minorEastAsia"/>
                <w:sz w:val="18"/>
                <w:szCs w:val="18"/>
              </w:rPr>
            </w:pPr>
            <w:r>
              <w:rPr>
                <w:rFonts w:asciiTheme="minorEastAsia" w:hAnsiTheme="minorEastAsia"/>
                <w:sz w:val="18"/>
                <w:szCs w:val="18"/>
              </w:rPr>
              <w:t>标准类型</w:t>
            </w:r>
          </w:p>
        </w:tc>
      </w:tr>
      <w:tr w14:paraId="32378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9" w:type="dxa"/>
            <w:shd w:val="clear" w:color="auto" w:fill="auto"/>
          </w:tcPr>
          <w:p w14:paraId="15ABDE78">
            <w:pPr>
              <w:spacing w:before="50"/>
              <w:jc w:val="center"/>
              <w:rPr>
                <w:rFonts w:hint="eastAsia" w:asciiTheme="minorEastAsia" w:hAnsiTheme="minorEastAsia"/>
                <w:sz w:val="18"/>
                <w:szCs w:val="18"/>
              </w:rPr>
            </w:pPr>
            <w:r>
              <w:rPr>
                <w:rFonts w:asciiTheme="minorEastAsia" w:hAnsiTheme="minorEastAsia"/>
                <w:sz w:val="18"/>
                <w:szCs w:val="18"/>
              </w:rPr>
              <w:t>1</w:t>
            </w:r>
          </w:p>
        </w:tc>
        <w:tc>
          <w:tcPr>
            <w:tcW w:w="2082" w:type="dxa"/>
            <w:shd w:val="clear" w:color="auto" w:fill="auto"/>
            <w:vAlign w:val="center"/>
          </w:tcPr>
          <w:p w14:paraId="7D82616E">
            <w:pPr>
              <w:autoSpaceDE w:val="0"/>
              <w:autoSpaceDN w:val="0"/>
              <w:adjustRightInd w:val="0"/>
              <w:spacing w:before="50"/>
              <w:jc w:val="center"/>
              <w:rPr>
                <w:rFonts w:hint="eastAsia" w:asciiTheme="minorEastAsia" w:hAnsiTheme="minorEastAsia"/>
                <w:sz w:val="18"/>
                <w:szCs w:val="18"/>
              </w:rPr>
            </w:pPr>
            <w:r>
              <w:rPr>
                <w:rFonts w:asciiTheme="minorEastAsia" w:hAnsiTheme="minorEastAsia"/>
                <w:sz w:val="18"/>
                <w:szCs w:val="18"/>
              </w:rPr>
              <w:t>GB/T 15776</w:t>
            </w:r>
            <w:r>
              <w:rPr>
                <w:rFonts w:hint="eastAsia" w:asciiTheme="minorEastAsia" w:hAnsiTheme="minorEastAsia"/>
                <w:sz w:val="18"/>
                <w:szCs w:val="18"/>
              </w:rPr>
              <w:t>-2023</w:t>
            </w:r>
          </w:p>
        </w:tc>
        <w:tc>
          <w:tcPr>
            <w:tcW w:w="4049" w:type="dxa"/>
            <w:shd w:val="clear" w:color="auto" w:fill="auto"/>
            <w:vAlign w:val="center"/>
          </w:tcPr>
          <w:p w14:paraId="0DE0AFE0">
            <w:pPr>
              <w:spacing w:before="50"/>
              <w:rPr>
                <w:rFonts w:hint="eastAsia" w:asciiTheme="minorEastAsia" w:hAnsiTheme="minorEastAsia"/>
                <w:sz w:val="18"/>
                <w:szCs w:val="18"/>
                <w:lang w:eastAsia="zh-CN"/>
              </w:rPr>
            </w:pPr>
            <w:r>
              <w:rPr>
                <w:rFonts w:hint="eastAsia" w:asciiTheme="minorEastAsia" w:hAnsiTheme="minorEastAsia"/>
                <w:sz w:val="18"/>
                <w:szCs w:val="18"/>
                <w:lang w:eastAsia="zh-CN"/>
              </w:rPr>
              <w:t>造林技术规程</w:t>
            </w:r>
          </w:p>
        </w:tc>
        <w:tc>
          <w:tcPr>
            <w:tcW w:w="1466" w:type="dxa"/>
            <w:shd w:val="clear" w:color="auto" w:fill="auto"/>
          </w:tcPr>
          <w:p w14:paraId="7FC7E20A">
            <w:pPr>
              <w:spacing w:before="50"/>
              <w:jc w:val="center"/>
              <w:rPr>
                <w:rFonts w:hint="eastAsia" w:asciiTheme="minorEastAsia" w:hAnsiTheme="minorEastAsia"/>
                <w:sz w:val="18"/>
                <w:szCs w:val="18"/>
              </w:rPr>
            </w:pPr>
            <w:r>
              <w:rPr>
                <w:rFonts w:asciiTheme="minorEastAsia" w:hAnsiTheme="minorEastAsia"/>
                <w:sz w:val="18"/>
                <w:szCs w:val="18"/>
              </w:rPr>
              <w:t>国家标准</w:t>
            </w:r>
          </w:p>
        </w:tc>
      </w:tr>
      <w:tr w14:paraId="5242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699" w:type="dxa"/>
            <w:shd w:val="clear" w:color="auto" w:fill="auto"/>
          </w:tcPr>
          <w:p w14:paraId="17273A52">
            <w:pPr>
              <w:spacing w:before="50"/>
              <w:jc w:val="center"/>
              <w:rPr>
                <w:rFonts w:hint="eastAsia" w:asciiTheme="minorEastAsia" w:hAnsiTheme="minorEastAsia"/>
                <w:sz w:val="18"/>
                <w:szCs w:val="18"/>
              </w:rPr>
            </w:pPr>
            <w:r>
              <w:rPr>
                <w:rFonts w:asciiTheme="minorEastAsia" w:hAnsiTheme="minorEastAsia"/>
                <w:sz w:val="18"/>
                <w:szCs w:val="18"/>
              </w:rPr>
              <w:t>2</w:t>
            </w:r>
          </w:p>
        </w:tc>
        <w:tc>
          <w:tcPr>
            <w:tcW w:w="2082" w:type="dxa"/>
            <w:shd w:val="clear" w:color="auto" w:fill="auto"/>
            <w:vAlign w:val="center"/>
          </w:tcPr>
          <w:p w14:paraId="56F51E2D">
            <w:pPr>
              <w:autoSpaceDE w:val="0"/>
              <w:autoSpaceDN w:val="0"/>
              <w:adjustRightInd w:val="0"/>
              <w:spacing w:before="50"/>
              <w:jc w:val="center"/>
              <w:rPr>
                <w:rFonts w:hint="eastAsia" w:asciiTheme="minorEastAsia" w:hAnsiTheme="minorEastAsia"/>
                <w:sz w:val="18"/>
                <w:szCs w:val="18"/>
              </w:rPr>
            </w:pPr>
            <w:r>
              <w:rPr>
                <w:rFonts w:asciiTheme="minorEastAsia" w:hAnsiTheme="minorEastAsia"/>
                <w:sz w:val="18"/>
                <w:szCs w:val="18"/>
              </w:rPr>
              <w:t>GB/T 157</w:t>
            </w:r>
            <w:r>
              <w:rPr>
                <w:rFonts w:hint="eastAsia" w:asciiTheme="minorEastAsia" w:hAnsiTheme="minorEastAsia"/>
                <w:sz w:val="18"/>
                <w:szCs w:val="18"/>
              </w:rPr>
              <w:t>81-2023</w:t>
            </w:r>
          </w:p>
        </w:tc>
        <w:tc>
          <w:tcPr>
            <w:tcW w:w="4049" w:type="dxa"/>
            <w:shd w:val="clear" w:color="auto" w:fill="auto"/>
            <w:vAlign w:val="center"/>
          </w:tcPr>
          <w:p w14:paraId="14937BA4">
            <w:pPr>
              <w:spacing w:before="50"/>
              <w:rPr>
                <w:rFonts w:hint="eastAsia" w:asciiTheme="minorEastAsia" w:hAnsiTheme="minorEastAsia"/>
                <w:bCs/>
                <w:sz w:val="18"/>
                <w:szCs w:val="18"/>
                <w:lang w:eastAsia="zh-CN"/>
              </w:rPr>
            </w:pPr>
            <w:r>
              <w:rPr>
                <w:rFonts w:hint="eastAsia" w:asciiTheme="minorEastAsia" w:hAnsiTheme="minorEastAsia"/>
                <w:bCs/>
                <w:sz w:val="18"/>
                <w:szCs w:val="18"/>
                <w:lang w:eastAsia="zh-CN"/>
              </w:rPr>
              <w:t>森林抚育规程</w:t>
            </w:r>
          </w:p>
        </w:tc>
        <w:tc>
          <w:tcPr>
            <w:tcW w:w="1466" w:type="dxa"/>
            <w:shd w:val="clear" w:color="auto" w:fill="auto"/>
          </w:tcPr>
          <w:p w14:paraId="78FB0D81">
            <w:pPr>
              <w:spacing w:before="50"/>
              <w:jc w:val="center"/>
              <w:rPr>
                <w:rFonts w:hint="eastAsia" w:asciiTheme="minorEastAsia" w:hAnsiTheme="minorEastAsia"/>
                <w:sz w:val="18"/>
                <w:szCs w:val="18"/>
              </w:rPr>
            </w:pPr>
            <w:r>
              <w:rPr>
                <w:rFonts w:asciiTheme="minorEastAsia" w:hAnsiTheme="minorEastAsia"/>
                <w:sz w:val="18"/>
                <w:szCs w:val="18"/>
              </w:rPr>
              <w:t>国际标准</w:t>
            </w:r>
          </w:p>
        </w:tc>
      </w:tr>
      <w:tr w14:paraId="64863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9" w:type="dxa"/>
            <w:shd w:val="clear" w:color="auto" w:fill="auto"/>
          </w:tcPr>
          <w:p w14:paraId="49118BB8">
            <w:pPr>
              <w:spacing w:before="50"/>
              <w:jc w:val="center"/>
              <w:rPr>
                <w:rFonts w:hint="eastAsia" w:asciiTheme="minorEastAsia" w:hAnsiTheme="minorEastAsia"/>
                <w:sz w:val="18"/>
                <w:szCs w:val="18"/>
              </w:rPr>
            </w:pPr>
            <w:r>
              <w:rPr>
                <w:rFonts w:asciiTheme="minorEastAsia" w:hAnsiTheme="minorEastAsia"/>
                <w:sz w:val="18"/>
                <w:szCs w:val="18"/>
              </w:rPr>
              <w:t>3</w:t>
            </w:r>
          </w:p>
        </w:tc>
        <w:tc>
          <w:tcPr>
            <w:tcW w:w="2082" w:type="dxa"/>
            <w:shd w:val="clear" w:color="auto" w:fill="auto"/>
            <w:vAlign w:val="center"/>
          </w:tcPr>
          <w:p w14:paraId="4129E936">
            <w:pPr>
              <w:spacing w:before="50"/>
              <w:jc w:val="center"/>
              <w:rPr>
                <w:rFonts w:hint="eastAsia" w:asciiTheme="minorEastAsia" w:hAnsiTheme="minorEastAsia"/>
                <w:sz w:val="18"/>
                <w:szCs w:val="18"/>
              </w:rPr>
            </w:pPr>
            <w:r>
              <w:rPr>
                <w:rFonts w:asciiTheme="minorEastAsia" w:hAnsiTheme="minorEastAsia"/>
                <w:sz w:val="18"/>
                <w:szCs w:val="18"/>
              </w:rPr>
              <w:t>DB 46/T 564</w:t>
            </w:r>
            <w:r>
              <w:rPr>
                <w:rFonts w:hint="eastAsia" w:asciiTheme="minorEastAsia" w:hAnsiTheme="minorEastAsia"/>
                <w:sz w:val="18"/>
                <w:szCs w:val="18"/>
              </w:rPr>
              <w:t>-2021</w:t>
            </w:r>
          </w:p>
        </w:tc>
        <w:tc>
          <w:tcPr>
            <w:tcW w:w="4049" w:type="dxa"/>
            <w:shd w:val="clear" w:color="auto" w:fill="auto"/>
            <w:vAlign w:val="center"/>
          </w:tcPr>
          <w:p w14:paraId="7FE48E83">
            <w:pPr>
              <w:spacing w:before="50"/>
              <w:rPr>
                <w:rFonts w:hint="eastAsia" w:asciiTheme="minorEastAsia" w:hAnsiTheme="minorEastAsia"/>
                <w:sz w:val="18"/>
                <w:szCs w:val="18"/>
                <w:lang w:eastAsia="zh-CN"/>
              </w:rPr>
            </w:pPr>
            <w:r>
              <w:rPr>
                <w:rFonts w:hint="eastAsia" w:asciiTheme="minorEastAsia" w:hAnsiTheme="minorEastAsia"/>
                <w:sz w:val="18"/>
                <w:szCs w:val="18"/>
                <w:lang w:eastAsia="zh-CN"/>
              </w:rPr>
              <w:t>橡胶林改培技术规程</w:t>
            </w:r>
          </w:p>
        </w:tc>
        <w:tc>
          <w:tcPr>
            <w:tcW w:w="1466" w:type="dxa"/>
            <w:shd w:val="clear" w:color="auto" w:fill="auto"/>
          </w:tcPr>
          <w:p w14:paraId="7E3C25E1">
            <w:pPr>
              <w:spacing w:before="50"/>
              <w:jc w:val="center"/>
              <w:rPr>
                <w:rFonts w:hint="eastAsia" w:asciiTheme="minorEastAsia" w:hAnsiTheme="minorEastAsia"/>
                <w:sz w:val="18"/>
                <w:szCs w:val="18"/>
              </w:rPr>
            </w:pPr>
            <w:r>
              <w:rPr>
                <w:rFonts w:hint="eastAsia" w:asciiTheme="minorEastAsia" w:hAnsiTheme="minorEastAsia"/>
                <w:sz w:val="18"/>
                <w:szCs w:val="18"/>
                <w:lang w:eastAsia="zh-CN"/>
              </w:rPr>
              <w:t>地方</w:t>
            </w:r>
            <w:r>
              <w:rPr>
                <w:rFonts w:asciiTheme="minorEastAsia" w:hAnsiTheme="minorEastAsia"/>
                <w:sz w:val="18"/>
                <w:szCs w:val="18"/>
              </w:rPr>
              <w:t>标准</w:t>
            </w:r>
          </w:p>
        </w:tc>
      </w:tr>
      <w:tr w14:paraId="4BC1D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699" w:type="dxa"/>
            <w:shd w:val="clear" w:color="auto" w:fill="auto"/>
          </w:tcPr>
          <w:p w14:paraId="0C055E78">
            <w:pPr>
              <w:spacing w:before="50"/>
              <w:jc w:val="center"/>
              <w:rPr>
                <w:rFonts w:hint="eastAsia" w:asciiTheme="minorEastAsia" w:hAnsiTheme="minorEastAsia"/>
                <w:sz w:val="18"/>
                <w:szCs w:val="18"/>
              </w:rPr>
            </w:pPr>
            <w:r>
              <w:rPr>
                <w:rFonts w:asciiTheme="minorEastAsia" w:hAnsiTheme="minorEastAsia"/>
                <w:sz w:val="18"/>
                <w:szCs w:val="18"/>
              </w:rPr>
              <w:t>4</w:t>
            </w:r>
          </w:p>
        </w:tc>
        <w:tc>
          <w:tcPr>
            <w:tcW w:w="2082" w:type="dxa"/>
            <w:shd w:val="clear" w:color="auto" w:fill="auto"/>
            <w:vAlign w:val="center"/>
          </w:tcPr>
          <w:p w14:paraId="4505E9F9">
            <w:pPr>
              <w:spacing w:before="50"/>
              <w:jc w:val="center"/>
              <w:rPr>
                <w:rFonts w:hint="eastAsia" w:asciiTheme="minorEastAsia" w:hAnsiTheme="minorEastAsia"/>
                <w:sz w:val="18"/>
                <w:szCs w:val="18"/>
              </w:rPr>
            </w:pPr>
            <w:r>
              <w:rPr>
                <w:rFonts w:asciiTheme="minorEastAsia" w:hAnsiTheme="minorEastAsia"/>
                <w:sz w:val="18"/>
                <w:szCs w:val="18"/>
              </w:rPr>
              <w:t>DB 46/T 324</w:t>
            </w:r>
            <w:r>
              <w:rPr>
                <w:rFonts w:hint="eastAsia" w:asciiTheme="minorEastAsia" w:hAnsiTheme="minorEastAsia"/>
                <w:sz w:val="18"/>
                <w:szCs w:val="18"/>
              </w:rPr>
              <w:t>-2015</w:t>
            </w:r>
          </w:p>
        </w:tc>
        <w:tc>
          <w:tcPr>
            <w:tcW w:w="4049" w:type="dxa"/>
            <w:shd w:val="clear" w:color="auto" w:fill="auto"/>
            <w:vAlign w:val="center"/>
          </w:tcPr>
          <w:p w14:paraId="0EEDE122">
            <w:pPr>
              <w:spacing w:before="50"/>
              <w:rPr>
                <w:rFonts w:hint="eastAsia" w:asciiTheme="minorEastAsia" w:hAnsiTheme="minorEastAsia"/>
                <w:sz w:val="18"/>
                <w:szCs w:val="18"/>
                <w:lang w:eastAsia="zh-CN"/>
              </w:rPr>
            </w:pPr>
            <w:r>
              <w:rPr>
                <w:rFonts w:hint="eastAsia" w:asciiTheme="minorEastAsia" w:hAnsiTheme="minorEastAsia"/>
                <w:sz w:val="18"/>
                <w:szCs w:val="18"/>
                <w:lang w:eastAsia="zh-CN"/>
              </w:rPr>
              <w:t>益智林下栽培技术规程</w:t>
            </w:r>
          </w:p>
        </w:tc>
        <w:tc>
          <w:tcPr>
            <w:tcW w:w="1466" w:type="dxa"/>
            <w:shd w:val="clear" w:color="auto" w:fill="auto"/>
          </w:tcPr>
          <w:p w14:paraId="56E28980">
            <w:pPr>
              <w:spacing w:before="50"/>
              <w:jc w:val="center"/>
              <w:rPr>
                <w:rFonts w:hint="eastAsia" w:asciiTheme="minorEastAsia" w:hAnsiTheme="minorEastAsia"/>
                <w:sz w:val="18"/>
                <w:szCs w:val="18"/>
              </w:rPr>
            </w:pPr>
            <w:r>
              <w:rPr>
                <w:rFonts w:hint="eastAsia" w:asciiTheme="minorEastAsia" w:hAnsiTheme="minorEastAsia"/>
                <w:sz w:val="18"/>
                <w:szCs w:val="18"/>
                <w:lang w:eastAsia="zh-CN"/>
              </w:rPr>
              <w:t>地方</w:t>
            </w:r>
            <w:r>
              <w:rPr>
                <w:rFonts w:asciiTheme="minorEastAsia" w:hAnsiTheme="minorEastAsia"/>
                <w:sz w:val="18"/>
                <w:szCs w:val="18"/>
              </w:rPr>
              <w:t>标准</w:t>
            </w:r>
          </w:p>
        </w:tc>
      </w:tr>
      <w:tr w14:paraId="10FD6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9" w:type="dxa"/>
            <w:shd w:val="clear" w:color="auto" w:fill="auto"/>
          </w:tcPr>
          <w:p w14:paraId="675C3857">
            <w:pPr>
              <w:spacing w:before="50"/>
              <w:jc w:val="center"/>
              <w:rPr>
                <w:rFonts w:hint="eastAsia" w:asciiTheme="minorEastAsia" w:hAnsiTheme="minorEastAsia"/>
                <w:sz w:val="18"/>
                <w:szCs w:val="18"/>
              </w:rPr>
            </w:pPr>
            <w:r>
              <w:rPr>
                <w:rFonts w:asciiTheme="minorEastAsia" w:hAnsiTheme="minorEastAsia"/>
                <w:sz w:val="18"/>
                <w:szCs w:val="18"/>
              </w:rPr>
              <w:t>5</w:t>
            </w:r>
          </w:p>
        </w:tc>
        <w:tc>
          <w:tcPr>
            <w:tcW w:w="2082" w:type="dxa"/>
            <w:shd w:val="clear" w:color="auto" w:fill="auto"/>
          </w:tcPr>
          <w:p w14:paraId="57EA5991">
            <w:pPr>
              <w:autoSpaceDE w:val="0"/>
              <w:autoSpaceDN w:val="0"/>
              <w:adjustRightInd w:val="0"/>
              <w:spacing w:before="50"/>
              <w:jc w:val="center"/>
              <w:rPr>
                <w:rFonts w:hint="eastAsia" w:asciiTheme="minorEastAsia" w:hAnsiTheme="minorEastAsia"/>
                <w:sz w:val="18"/>
                <w:szCs w:val="18"/>
              </w:rPr>
            </w:pPr>
            <w:r>
              <w:rPr>
                <w:rFonts w:asciiTheme="minorEastAsia" w:hAnsiTheme="minorEastAsia"/>
                <w:sz w:val="18"/>
                <w:szCs w:val="18"/>
              </w:rPr>
              <w:t>DB 63/T 821</w:t>
            </w:r>
            <w:r>
              <w:rPr>
                <w:rFonts w:hint="eastAsia" w:asciiTheme="minorEastAsia" w:hAnsiTheme="minorEastAsia"/>
                <w:sz w:val="18"/>
                <w:szCs w:val="18"/>
              </w:rPr>
              <w:t>-2023</w:t>
            </w:r>
          </w:p>
        </w:tc>
        <w:tc>
          <w:tcPr>
            <w:tcW w:w="4049" w:type="dxa"/>
            <w:shd w:val="clear" w:color="auto" w:fill="auto"/>
          </w:tcPr>
          <w:p w14:paraId="547AE219">
            <w:pPr>
              <w:spacing w:before="50"/>
              <w:rPr>
                <w:rFonts w:hint="eastAsia" w:asciiTheme="minorEastAsia" w:hAnsiTheme="minorEastAsia"/>
                <w:sz w:val="18"/>
                <w:szCs w:val="18"/>
                <w:lang w:eastAsia="zh-CN"/>
              </w:rPr>
            </w:pPr>
            <w:r>
              <w:rPr>
                <w:rFonts w:hint="eastAsia" w:asciiTheme="minorEastAsia" w:hAnsiTheme="minorEastAsia"/>
                <w:sz w:val="18"/>
                <w:szCs w:val="18"/>
                <w:lang w:eastAsia="zh-CN"/>
              </w:rPr>
              <w:t>紫花苜蓿生产技术规程</w:t>
            </w:r>
          </w:p>
        </w:tc>
        <w:tc>
          <w:tcPr>
            <w:tcW w:w="1466" w:type="dxa"/>
            <w:shd w:val="clear" w:color="auto" w:fill="auto"/>
          </w:tcPr>
          <w:p w14:paraId="0940AB6F">
            <w:pPr>
              <w:spacing w:before="50"/>
              <w:jc w:val="center"/>
              <w:rPr>
                <w:rFonts w:hint="eastAsia" w:asciiTheme="minorEastAsia" w:hAnsiTheme="minorEastAsia"/>
                <w:sz w:val="18"/>
                <w:szCs w:val="18"/>
              </w:rPr>
            </w:pPr>
            <w:r>
              <w:rPr>
                <w:rFonts w:hint="eastAsia" w:asciiTheme="minorEastAsia" w:hAnsiTheme="minorEastAsia"/>
                <w:sz w:val="18"/>
                <w:szCs w:val="18"/>
                <w:lang w:eastAsia="zh-CN"/>
              </w:rPr>
              <w:t>地方</w:t>
            </w:r>
            <w:r>
              <w:rPr>
                <w:rFonts w:asciiTheme="minorEastAsia" w:hAnsiTheme="minorEastAsia"/>
                <w:sz w:val="18"/>
                <w:szCs w:val="18"/>
              </w:rPr>
              <w:t>标准</w:t>
            </w:r>
          </w:p>
        </w:tc>
      </w:tr>
      <w:tr w14:paraId="15053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699" w:type="dxa"/>
            <w:shd w:val="clear" w:color="auto" w:fill="auto"/>
          </w:tcPr>
          <w:p w14:paraId="644BE71A">
            <w:pPr>
              <w:spacing w:before="50"/>
              <w:jc w:val="center"/>
              <w:rPr>
                <w:rFonts w:hint="eastAsia" w:asciiTheme="minorEastAsia" w:hAnsiTheme="minorEastAsia"/>
                <w:sz w:val="18"/>
                <w:szCs w:val="18"/>
              </w:rPr>
            </w:pPr>
            <w:r>
              <w:rPr>
                <w:rFonts w:asciiTheme="minorEastAsia" w:hAnsiTheme="minorEastAsia"/>
                <w:sz w:val="18"/>
                <w:szCs w:val="18"/>
              </w:rPr>
              <w:t>6</w:t>
            </w:r>
          </w:p>
        </w:tc>
        <w:tc>
          <w:tcPr>
            <w:tcW w:w="2082" w:type="dxa"/>
            <w:shd w:val="clear" w:color="auto" w:fill="auto"/>
          </w:tcPr>
          <w:p w14:paraId="4EEDC5EF">
            <w:pPr>
              <w:autoSpaceDE w:val="0"/>
              <w:autoSpaceDN w:val="0"/>
              <w:adjustRightInd w:val="0"/>
              <w:spacing w:before="50"/>
              <w:jc w:val="center"/>
              <w:rPr>
                <w:rFonts w:hint="eastAsia" w:asciiTheme="minorEastAsia" w:hAnsiTheme="minorEastAsia"/>
                <w:sz w:val="18"/>
                <w:szCs w:val="18"/>
              </w:rPr>
            </w:pPr>
            <w:r>
              <w:rPr>
                <w:rFonts w:asciiTheme="minorEastAsia" w:hAnsiTheme="minorEastAsia"/>
                <w:sz w:val="18"/>
                <w:szCs w:val="18"/>
              </w:rPr>
              <w:t>DB11/T 1437</w:t>
            </w:r>
            <w:r>
              <w:rPr>
                <w:rFonts w:hint="eastAsia" w:asciiTheme="minorEastAsia" w:hAnsiTheme="minorEastAsia"/>
                <w:sz w:val="18"/>
                <w:szCs w:val="18"/>
              </w:rPr>
              <w:t>-2017</w:t>
            </w:r>
          </w:p>
        </w:tc>
        <w:tc>
          <w:tcPr>
            <w:tcW w:w="4049" w:type="dxa"/>
            <w:shd w:val="clear" w:color="auto" w:fill="auto"/>
          </w:tcPr>
          <w:p w14:paraId="12CF3479">
            <w:pPr>
              <w:autoSpaceDE w:val="0"/>
              <w:autoSpaceDN w:val="0"/>
              <w:adjustRightInd w:val="0"/>
              <w:spacing w:before="50"/>
              <w:rPr>
                <w:rFonts w:hint="eastAsia" w:asciiTheme="minorEastAsia" w:hAnsiTheme="minorEastAsia"/>
                <w:sz w:val="18"/>
                <w:szCs w:val="18"/>
                <w:lang w:eastAsia="zh-CN"/>
              </w:rPr>
            </w:pPr>
            <w:r>
              <w:rPr>
                <w:rFonts w:hint="eastAsia" w:asciiTheme="minorEastAsia" w:hAnsiTheme="minorEastAsia"/>
                <w:sz w:val="18"/>
                <w:szCs w:val="18"/>
                <w:lang w:eastAsia="zh-CN"/>
              </w:rPr>
              <w:t>森林固碳增汇经营技术规程</w:t>
            </w:r>
          </w:p>
        </w:tc>
        <w:tc>
          <w:tcPr>
            <w:tcW w:w="1466" w:type="dxa"/>
            <w:shd w:val="clear" w:color="auto" w:fill="auto"/>
          </w:tcPr>
          <w:p w14:paraId="321CC6D9">
            <w:pPr>
              <w:spacing w:before="50"/>
              <w:jc w:val="center"/>
              <w:rPr>
                <w:rFonts w:hint="eastAsia" w:asciiTheme="minorEastAsia" w:hAnsiTheme="minorEastAsia"/>
                <w:sz w:val="18"/>
                <w:szCs w:val="18"/>
              </w:rPr>
            </w:pPr>
            <w:r>
              <w:rPr>
                <w:rFonts w:hint="eastAsia" w:asciiTheme="minorEastAsia" w:hAnsiTheme="minorEastAsia"/>
                <w:sz w:val="18"/>
                <w:szCs w:val="18"/>
                <w:lang w:eastAsia="zh-CN"/>
              </w:rPr>
              <w:t>地方</w:t>
            </w:r>
            <w:r>
              <w:rPr>
                <w:rFonts w:asciiTheme="minorEastAsia" w:hAnsiTheme="minorEastAsia"/>
                <w:sz w:val="18"/>
                <w:szCs w:val="18"/>
              </w:rPr>
              <w:t>标准</w:t>
            </w:r>
          </w:p>
        </w:tc>
      </w:tr>
      <w:tr w14:paraId="4178A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jc w:val="center"/>
        </w:trPr>
        <w:tc>
          <w:tcPr>
            <w:tcW w:w="699" w:type="dxa"/>
            <w:shd w:val="clear" w:color="auto" w:fill="auto"/>
          </w:tcPr>
          <w:p w14:paraId="03562275">
            <w:pPr>
              <w:spacing w:before="50"/>
              <w:jc w:val="center"/>
              <w:rPr>
                <w:rFonts w:hint="eastAsia" w:asciiTheme="minorEastAsia" w:hAnsiTheme="minorEastAsia"/>
                <w:sz w:val="18"/>
                <w:szCs w:val="18"/>
              </w:rPr>
            </w:pPr>
            <w:r>
              <w:rPr>
                <w:rFonts w:asciiTheme="minorEastAsia" w:hAnsiTheme="minorEastAsia"/>
                <w:sz w:val="18"/>
                <w:szCs w:val="18"/>
              </w:rPr>
              <w:t>7</w:t>
            </w:r>
          </w:p>
        </w:tc>
        <w:tc>
          <w:tcPr>
            <w:tcW w:w="2082" w:type="dxa"/>
            <w:shd w:val="clear" w:color="auto" w:fill="auto"/>
            <w:vAlign w:val="center"/>
          </w:tcPr>
          <w:p w14:paraId="1A74A711">
            <w:pPr>
              <w:spacing w:before="50"/>
              <w:jc w:val="center"/>
              <w:rPr>
                <w:rFonts w:hint="eastAsia" w:asciiTheme="minorEastAsia" w:hAnsiTheme="minorEastAsia"/>
                <w:sz w:val="18"/>
                <w:szCs w:val="18"/>
              </w:rPr>
            </w:pPr>
            <w:r>
              <w:rPr>
                <w:rFonts w:asciiTheme="minorEastAsia" w:hAnsiTheme="minorEastAsia"/>
                <w:sz w:val="18"/>
                <w:szCs w:val="18"/>
              </w:rPr>
              <w:t>DB11/T 953</w:t>
            </w:r>
            <w:r>
              <w:rPr>
                <w:rFonts w:hint="eastAsia" w:asciiTheme="minorEastAsia" w:hAnsiTheme="minorEastAsia"/>
                <w:sz w:val="18"/>
                <w:szCs w:val="18"/>
              </w:rPr>
              <w:t>-2013</w:t>
            </w:r>
          </w:p>
        </w:tc>
        <w:tc>
          <w:tcPr>
            <w:tcW w:w="4049" w:type="dxa"/>
            <w:shd w:val="clear" w:color="auto" w:fill="auto"/>
            <w:vAlign w:val="center"/>
          </w:tcPr>
          <w:p w14:paraId="0839F25F">
            <w:pPr>
              <w:spacing w:before="50"/>
              <w:rPr>
                <w:rFonts w:hint="eastAsia" w:asciiTheme="minorEastAsia" w:hAnsiTheme="minorEastAsia"/>
                <w:sz w:val="18"/>
                <w:szCs w:val="18"/>
                <w:lang w:eastAsia="zh-CN"/>
              </w:rPr>
            </w:pPr>
            <w:r>
              <w:rPr>
                <w:rFonts w:hint="eastAsia" w:asciiTheme="minorEastAsia" w:hAnsiTheme="minorEastAsia"/>
                <w:sz w:val="18"/>
                <w:szCs w:val="18"/>
                <w:lang w:eastAsia="zh-CN"/>
              </w:rPr>
              <w:t>林业碳汇计量监测技术规程</w:t>
            </w:r>
          </w:p>
        </w:tc>
        <w:tc>
          <w:tcPr>
            <w:tcW w:w="1466" w:type="dxa"/>
            <w:shd w:val="clear" w:color="auto" w:fill="auto"/>
          </w:tcPr>
          <w:p w14:paraId="3213ED05">
            <w:pPr>
              <w:spacing w:before="50"/>
              <w:jc w:val="center"/>
              <w:rPr>
                <w:rFonts w:hint="eastAsia" w:asciiTheme="minorEastAsia" w:hAnsiTheme="minorEastAsia"/>
                <w:sz w:val="18"/>
                <w:szCs w:val="18"/>
              </w:rPr>
            </w:pPr>
            <w:r>
              <w:rPr>
                <w:rFonts w:hint="eastAsia" w:asciiTheme="minorEastAsia" w:hAnsiTheme="minorEastAsia"/>
                <w:sz w:val="18"/>
                <w:szCs w:val="18"/>
                <w:lang w:eastAsia="zh-CN"/>
              </w:rPr>
              <w:t>地方</w:t>
            </w:r>
            <w:r>
              <w:rPr>
                <w:rFonts w:asciiTheme="minorEastAsia" w:hAnsiTheme="minorEastAsia"/>
                <w:sz w:val="18"/>
                <w:szCs w:val="18"/>
              </w:rPr>
              <w:t>标准</w:t>
            </w:r>
          </w:p>
        </w:tc>
      </w:tr>
      <w:tr w14:paraId="2BE88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699" w:type="dxa"/>
            <w:shd w:val="clear" w:color="auto" w:fill="auto"/>
          </w:tcPr>
          <w:p w14:paraId="4DFA8DBF">
            <w:pPr>
              <w:spacing w:before="50"/>
              <w:jc w:val="center"/>
              <w:rPr>
                <w:rFonts w:hint="eastAsia" w:asciiTheme="minorEastAsia" w:hAnsiTheme="minorEastAsia"/>
                <w:sz w:val="18"/>
                <w:szCs w:val="18"/>
              </w:rPr>
            </w:pPr>
            <w:r>
              <w:rPr>
                <w:rFonts w:hint="eastAsia" w:asciiTheme="minorEastAsia" w:hAnsiTheme="minorEastAsia"/>
                <w:sz w:val="18"/>
                <w:szCs w:val="18"/>
              </w:rPr>
              <w:t>8</w:t>
            </w:r>
          </w:p>
        </w:tc>
        <w:tc>
          <w:tcPr>
            <w:tcW w:w="2082" w:type="dxa"/>
            <w:shd w:val="clear" w:color="auto" w:fill="auto"/>
            <w:vAlign w:val="center"/>
          </w:tcPr>
          <w:p w14:paraId="201CB90C">
            <w:pPr>
              <w:spacing w:before="50"/>
              <w:jc w:val="center"/>
              <w:rPr>
                <w:rFonts w:hint="eastAsia" w:asciiTheme="minorEastAsia" w:hAnsiTheme="minorEastAsia"/>
                <w:sz w:val="18"/>
                <w:szCs w:val="18"/>
              </w:rPr>
            </w:pPr>
            <w:r>
              <w:rPr>
                <w:rFonts w:asciiTheme="minorEastAsia" w:hAnsiTheme="minorEastAsia"/>
                <w:sz w:val="18"/>
                <w:szCs w:val="18"/>
              </w:rPr>
              <w:t>DB 1502/T 022</w:t>
            </w:r>
            <w:r>
              <w:rPr>
                <w:rFonts w:hint="eastAsia" w:asciiTheme="minorEastAsia" w:hAnsiTheme="minorEastAsia"/>
                <w:sz w:val="18"/>
                <w:szCs w:val="18"/>
              </w:rPr>
              <w:t>-2024</w:t>
            </w:r>
          </w:p>
        </w:tc>
        <w:tc>
          <w:tcPr>
            <w:tcW w:w="4049" w:type="dxa"/>
            <w:shd w:val="clear" w:color="auto" w:fill="auto"/>
            <w:vAlign w:val="center"/>
          </w:tcPr>
          <w:p w14:paraId="08F3C0FA">
            <w:pPr>
              <w:spacing w:before="50"/>
              <w:rPr>
                <w:rFonts w:hint="eastAsia" w:asciiTheme="minorEastAsia" w:hAnsiTheme="minorEastAsia"/>
                <w:sz w:val="18"/>
                <w:szCs w:val="18"/>
                <w:lang w:eastAsia="zh-CN"/>
              </w:rPr>
            </w:pPr>
            <w:r>
              <w:rPr>
                <w:rFonts w:hint="eastAsia" w:asciiTheme="minorEastAsia" w:hAnsiTheme="minorEastAsia"/>
                <w:sz w:val="18"/>
                <w:szCs w:val="18"/>
                <w:lang w:eastAsia="zh-CN"/>
              </w:rPr>
              <w:t>森林碳汇调查与监测技术规程</w:t>
            </w:r>
          </w:p>
        </w:tc>
        <w:tc>
          <w:tcPr>
            <w:tcW w:w="1466" w:type="dxa"/>
            <w:shd w:val="clear" w:color="auto" w:fill="auto"/>
          </w:tcPr>
          <w:p w14:paraId="0A3EF278">
            <w:pPr>
              <w:spacing w:before="50"/>
              <w:jc w:val="center"/>
              <w:rPr>
                <w:rFonts w:hint="eastAsia" w:asciiTheme="minorEastAsia" w:hAnsiTheme="minorEastAsia"/>
                <w:sz w:val="18"/>
                <w:szCs w:val="18"/>
              </w:rPr>
            </w:pPr>
            <w:r>
              <w:rPr>
                <w:rFonts w:hint="eastAsia" w:asciiTheme="minorEastAsia" w:hAnsiTheme="minorEastAsia"/>
                <w:sz w:val="18"/>
                <w:szCs w:val="18"/>
                <w:lang w:eastAsia="zh-CN"/>
              </w:rPr>
              <w:t>地方</w:t>
            </w:r>
            <w:r>
              <w:rPr>
                <w:rFonts w:asciiTheme="minorEastAsia" w:hAnsiTheme="minorEastAsia"/>
                <w:sz w:val="18"/>
                <w:szCs w:val="18"/>
              </w:rPr>
              <w:t>标准</w:t>
            </w:r>
          </w:p>
        </w:tc>
      </w:tr>
      <w:tr w14:paraId="7BA77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699" w:type="dxa"/>
            <w:shd w:val="clear" w:color="auto" w:fill="auto"/>
          </w:tcPr>
          <w:p w14:paraId="12E3B4A2">
            <w:pPr>
              <w:spacing w:before="50"/>
              <w:jc w:val="center"/>
              <w:rPr>
                <w:rFonts w:hint="eastAsia" w:asciiTheme="minorEastAsia" w:hAnsiTheme="minorEastAsia"/>
                <w:sz w:val="18"/>
                <w:szCs w:val="18"/>
              </w:rPr>
            </w:pPr>
            <w:r>
              <w:rPr>
                <w:rFonts w:hint="eastAsia" w:asciiTheme="minorEastAsia" w:hAnsiTheme="minorEastAsia"/>
                <w:sz w:val="18"/>
                <w:szCs w:val="18"/>
              </w:rPr>
              <w:t>9</w:t>
            </w:r>
          </w:p>
        </w:tc>
        <w:tc>
          <w:tcPr>
            <w:tcW w:w="2082" w:type="dxa"/>
            <w:shd w:val="clear" w:color="auto" w:fill="auto"/>
            <w:vAlign w:val="center"/>
          </w:tcPr>
          <w:p w14:paraId="44955530">
            <w:pPr>
              <w:spacing w:before="50"/>
              <w:jc w:val="center"/>
              <w:rPr>
                <w:rFonts w:hint="eastAsia" w:asciiTheme="minorEastAsia" w:hAnsiTheme="minorEastAsia"/>
                <w:sz w:val="18"/>
                <w:szCs w:val="18"/>
              </w:rPr>
            </w:pPr>
            <w:r>
              <w:rPr>
                <w:rFonts w:asciiTheme="minorEastAsia" w:hAnsiTheme="minorEastAsia"/>
                <w:sz w:val="18"/>
                <w:szCs w:val="18"/>
              </w:rPr>
              <w:t>LY/T 2252</w:t>
            </w:r>
            <w:r>
              <w:rPr>
                <w:rFonts w:hint="eastAsia" w:asciiTheme="minorEastAsia" w:hAnsiTheme="minorEastAsia"/>
                <w:sz w:val="18"/>
                <w:szCs w:val="18"/>
              </w:rPr>
              <w:t>-2014</w:t>
            </w:r>
          </w:p>
        </w:tc>
        <w:tc>
          <w:tcPr>
            <w:tcW w:w="4049" w:type="dxa"/>
            <w:shd w:val="clear" w:color="auto" w:fill="auto"/>
            <w:vAlign w:val="center"/>
          </w:tcPr>
          <w:p w14:paraId="2FF1DDF7">
            <w:pPr>
              <w:spacing w:before="50"/>
              <w:rPr>
                <w:rFonts w:hint="eastAsia" w:asciiTheme="minorEastAsia" w:hAnsiTheme="minorEastAsia"/>
                <w:sz w:val="18"/>
                <w:szCs w:val="18"/>
                <w:lang w:eastAsia="zh-CN"/>
              </w:rPr>
            </w:pPr>
            <w:r>
              <w:rPr>
                <w:rFonts w:hint="eastAsia" w:asciiTheme="minorEastAsia" w:hAnsiTheme="minorEastAsia"/>
                <w:sz w:val="18"/>
                <w:szCs w:val="18"/>
                <w:lang w:eastAsia="zh-CN"/>
              </w:rPr>
              <w:t>碳汇造林技术规程</w:t>
            </w:r>
          </w:p>
        </w:tc>
        <w:tc>
          <w:tcPr>
            <w:tcW w:w="1466" w:type="dxa"/>
            <w:shd w:val="clear" w:color="auto" w:fill="auto"/>
          </w:tcPr>
          <w:p w14:paraId="6CDD2A2A">
            <w:pPr>
              <w:spacing w:before="50"/>
              <w:jc w:val="center"/>
              <w:rPr>
                <w:rFonts w:hint="eastAsia" w:asciiTheme="minorEastAsia" w:hAnsiTheme="minorEastAsia"/>
                <w:sz w:val="18"/>
                <w:szCs w:val="18"/>
              </w:rPr>
            </w:pPr>
            <w:r>
              <w:rPr>
                <w:rFonts w:asciiTheme="minorEastAsia" w:hAnsiTheme="minorEastAsia"/>
                <w:sz w:val="18"/>
                <w:szCs w:val="18"/>
              </w:rPr>
              <w:t>行业标准</w:t>
            </w:r>
          </w:p>
        </w:tc>
      </w:tr>
    </w:tbl>
    <w:p w14:paraId="38E602A8">
      <w:pPr>
        <w:spacing w:before="50" w:line="360" w:lineRule="auto"/>
        <w:rPr>
          <w:rFonts w:hint="eastAsia" w:ascii="宋体" w:hAnsi="宋体" w:eastAsia="宋体"/>
          <w:b/>
        </w:rPr>
      </w:pPr>
      <w:r>
        <w:rPr>
          <w:rFonts w:hint="eastAsia" w:ascii="宋体" w:hAnsi="宋体" w:eastAsia="宋体"/>
          <w:b/>
        </w:rPr>
        <w:t>2.查阅相关文献</w:t>
      </w:r>
    </w:p>
    <w:p w14:paraId="278DF47A">
      <w:pPr>
        <w:spacing w:before="50" w:line="360" w:lineRule="auto"/>
        <w:ind w:firstLine="480" w:firstLineChars="200"/>
        <w:rPr>
          <w:rFonts w:hint="eastAsia" w:ascii="宋体" w:hAnsi="宋体" w:eastAsia="宋体"/>
          <w:bCs/>
          <w:lang w:eastAsia="zh-CN"/>
        </w:rPr>
      </w:pPr>
      <w:r>
        <w:rPr>
          <w:rFonts w:hint="eastAsia" w:ascii="宋体" w:hAnsi="宋体" w:eastAsia="宋体"/>
          <w:lang w:eastAsia="zh-CN"/>
        </w:rPr>
        <w:t>2024年7月至2024年11月进行了相关专著和文献的收集、整理，主要内容涉及到橡胶林改培的栽培技术、生态效益、固碳增汇效益等方面，查阅了</w:t>
      </w:r>
      <w:r>
        <w:rPr>
          <w:rFonts w:hint="eastAsia" w:ascii="宋体" w:hAnsi="宋体" w:eastAsia="宋体"/>
          <w:bCs/>
          <w:lang w:eastAsia="zh-CN"/>
        </w:rPr>
        <w:t>《国家森林资源连续清查主要技术规定》、《森林经营方案编制与实施刚要》、《森林抚育作业设计规定》、《森林抚育检查验收办法》等专著。</w:t>
      </w:r>
      <w:r>
        <w:rPr>
          <w:rFonts w:hint="eastAsia" w:ascii="宋体" w:hAnsi="宋体" w:eastAsia="宋体"/>
          <w:lang w:eastAsia="zh-CN"/>
        </w:rPr>
        <w:t>了解了橡胶林改培的现状、发展目标和规划，为标准的修订奠定了基础。</w:t>
      </w:r>
    </w:p>
    <w:p w14:paraId="5DC0A648">
      <w:pPr>
        <w:spacing w:before="50" w:line="360" w:lineRule="auto"/>
        <w:rPr>
          <w:rFonts w:hint="eastAsia" w:ascii="宋体" w:hAnsi="宋体" w:eastAsia="宋体"/>
          <w:b/>
          <w:lang w:eastAsia="zh-CN"/>
        </w:rPr>
      </w:pPr>
      <w:r>
        <w:rPr>
          <w:rFonts w:hint="eastAsia" w:ascii="宋体" w:hAnsi="宋体" w:eastAsia="宋体"/>
          <w:b/>
          <w:lang w:eastAsia="zh-CN"/>
        </w:rPr>
        <w:t>3.调研情况</w:t>
      </w:r>
    </w:p>
    <w:p w14:paraId="42B7F345">
      <w:pPr>
        <w:spacing w:before="50" w:line="360" w:lineRule="auto"/>
        <w:ind w:firstLine="480" w:firstLineChars="200"/>
        <w:rPr>
          <w:rFonts w:hint="eastAsia" w:ascii="宋体" w:hAnsi="宋体" w:eastAsia="宋体"/>
          <w:lang w:eastAsia="zh-CN"/>
        </w:rPr>
      </w:pPr>
      <w:r>
        <w:rPr>
          <w:rFonts w:hint="eastAsia" w:ascii="宋体" w:hAnsi="宋体" w:eastAsia="宋体"/>
          <w:lang w:eastAsia="zh-CN"/>
        </w:rPr>
        <w:t>在标准制定过程中，通过电话或现场咨询向中国热带农业科学院橡胶研究所生态研究室、海胶集团</w:t>
      </w:r>
      <w:r>
        <w:rPr>
          <w:rFonts w:hint="eastAsia" w:ascii="宋体" w:hAnsi="宋体" w:eastAsia="宋体" w:cs="宋体"/>
          <w:bCs/>
          <w:lang w:eastAsia="zh-CN"/>
        </w:rPr>
        <w:t>等相关单位</w:t>
      </w:r>
      <w:r>
        <w:rPr>
          <w:rFonts w:hint="eastAsia" w:ascii="宋体" w:hAnsi="宋体" w:eastAsia="宋体"/>
          <w:lang w:eastAsia="zh-CN"/>
        </w:rPr>
        <w:t>了解橡胶林改培的现状、技术和生态效应及相关情况。通过邮件、电话等多种途径向其它相关部门专家进行咨询。</w:t>
      </w:r>
    </w:p>
    <w:p w14:paraId="32ECC628">
      <w:pPr>
        <w:spacing w:before="50" w:line="360" w:lineRule="auto"/>
        <w:rPr>
          <w:rFonts w:hint="eastAsia" w:ascii="宋体" w:hAnsi="宋体" w:eastAsia="宋体"/>
          <w:b/>
          <w:lang w:eastAsia="zh-CN"/>
        </w:rPr>
      </w:pPr>
      <w:r>
        <w:rPr>
          <w:rFonts w:hint="eastAsia" w:ascii="宋体" w:hAnsi="宋体" w:eastAsia="宋体"/>
          <w:b/>
          <w:lang w:eastAsia="zh-CN"/>
        </w:rPr>
        <w:t>4.试验验证情况</w:t>
      </w:r>
    </w:p>
    <w:p w14:paraId="3E579811">
      <w:pPr>
        <w:spacing w:before="50" w:line="360" w:lineRule="auto"/>
        <w:ind w:firstLine="480" w:firstLineChars="200"/>
        <w:rPr>
          <w:rFonts w:eastAsia="宋体"/>
          <w:lang w:eastAsia="zh-CN"/>
        </w:rPr>
      </w:pPr>
      <w:r>
        <w:rPr>
          <w:rFonts w:eastAsia="宋体"/>
          <w:lang w:eastAsia="zh-CN"/>
        </w:rPr>
        <w:t>为了提高生态系统固碳增汇效应，在儋州市那大镇的中国热带农业科学院橡胶研究所的实验样地，采用乔木、灌木和草本改培橡胶林的关键技术，改造培育了6种典型橡胶林复合经营模式：橡胶+益智（Alpinia oxyphylla）、橡胶+草豆蔻（Alpinia katsumadai）、橡胶+斑斓（Pandanus amaryllifolius）、橡胶+可可（Theobroma cacao）、橡胶+咖啡（Coffea arabica）、橡胶+肉桂（Cinnamomum cassia）等。通过调查6种典型橡胶林复合经营模式的植被、凋落物和土壤碳密度，并对橡胶林不同复合经营模式生态系统碳密度和增汇潜力进行了估算，总结生态系统增汇的最优方案。研究结果表明，生态系统碳密度从高到低分别为：橡胶+肉桂模式（213.3±9.45 t·hm-</w:t>
      </w:r>
      <w:r>
        <w:rPr>
          <w:rFonts w:eastAsia="宋体"/>
          <w:vertAlign w:val="superscript"/>
          <w:lang w:eastAsia="zh-CN"/>
        </w:rPr>
        <w:t>2</w:t>
      </w:r>
      <w:r>
        <w:rPr>
          <w:rFonts w:eastAsia="宋体"/>
          <w:lang w:eastAsia="zh-CN"/>
        </w:rPr>
        <w:t>，固碳潜力为19.73 t·hm-2）；橡胶+益智模式（201.51±15.29 t·hm</w:t>
      </w:r>
      <w:r>
        <w:rPr>
          <w:rFonts w:eastAsia="宋体"/>
          <w:vertAlign w:val="superscript"/>
          <w:lang w:eastAsia="zh-CN"/>
        </w:rPr>
        <w:t>-2</w:t>
      </w:r>
      <w:r>
        <w:rPr>
          <w:rFonts w:eastAsia="宋体"/>
          <w:lang w:eastAsia="zh-CN"/>
        </w:rPr>
        <w:t>，固碳潜力为7.94 t·hm</w:t>
      </w:r>
      <w:r>
        <w:rPr>
          <w:rFonts w:eastAsia="宋体"/>
          <w:vertAlign w:val="superscript"/>
          <w:lang w:eastAsia="zh-CN"/>
        </w:rPr>
        <w:t>-2</w:t>
      </w:r>
      <w:r>
        <w:rPr>
          <w:rFonts w:eastAsia="宋体"/>
          <w:lang w:eastAsia="zh-CN"/>
        </w:rPr>
        <w:t>）、橡胶+斑斓模式（200.37±9.6 t·hm</w:t>
      </w:r>
      <w:r>
        <w:rPr>
          <w:rFonts w:eastAsia="宋体"/>
          <w:vertAlign w:val="superscript"/>
          <w:lang w:eastAsia="zh-CN"/>
        </w:rPr>
        <w:t>-2</w:t>
      </w:r>
      <w:r>
        <w:rPr>
          <w:rFonts w:eastAsia="宋体"/>
          <w:lang w:eastAsia="zh-CN"/>
        </w:rPr>
        <w:t>，固碳潜力为6.80 t·hm</w:t>
      </w:r>
      <w:r>
        <w:rPr>
          <w:rFonts w:eastAsia="宋体"/>
          <w:vertAlign w:val="superscript"/>
          <w:lang w:eastAsia="zh-CN"/>
        </w:rPr>
        <w:t>-2</w:t>
      </w:r>
      <w:r>
        <w:rPr>
          <w:rFonts w:eastAsia="宋体"/>
          <w:lang w:eastAsia="zh-CN"/>
        </w:rPr>
        <w:t>）和橡胶+咖啡模式（199.23±8.46 t·hm</w:t>
      </w:r>
      <w:r>
        <w:rPr>
          <w:rFonts w:eastAsia="宋体"/>
          <w:vertAlign w:val="superscript"/>
          <w:lang w:eastAsia="zh-CN"/>
        </w:rPr>
        <w:t>-2</w:t>
      </w:r>
      <w:r>
        <w:rPr>
          <w:rFonts w:eastAsia="宋体"/>
          <w:lang w:eastAsia="zh-CN"/>
        </w:rPr>
        <w:t>，固碳潜力为5.66 t·hm</w:t>
      </w:r>
      <w:r>
        <w:rPr>
          <w:rFonts w:eastAsia="宋体"/>
          <w:vertAlign w:val="superscript"/>
          <w:lang w:eastAsia="zh-CN"/>
        </w:rPr>
        <w:t>-2</w:t>
      </w:r>
      <w:r>
        <w:rPr>
          <w:rFonts w:eastAsia="宋体"/>
          <w:lang w:eastAsia="zh-CN"/>
        </w:rPr>
        <w:t>）。</w:t>
      </w:r>
    </w:p>
    <w:p w14:paraId="407AB37D">
      <w:pPr>
        <w:spacing w:before="50" w:line="360" w:lineRule="auto"/>
        <w:ind w:firstLine="480" w:firstLineChars="200"/>
        <w:rPr>
          <w:rFonts w:eastAsia="宋体"/>
          <w:lang w:eastAsia="zh-CN"/>
        </w:rPr>
      </w:pPr>
      <w:r>
        <w:rPr>
          <w:rFonts w:eastAsia="宋体"/>
          <w:lang w:eastAsia="zh-CN"/>
        </w:rPr>
        <w:t>“橡胶+肉桂”模式土壤碳密度增加了8.77±2.32 t·hm</w:t>
      </w:r>
      <w:r>
        <w:rPr>
          <w:rFonts w:eastAsia="宋体"/>
          <w:vertAlign w:val="superscript"/>
          <w:lang w:eastAsia="zh-CN"/>
        </w:rPr>
        <w:t>-2</w:t>
      </w:r>
      <w:r>
        <w:rPr>
          <w:rFonts w:eastAsia="宋体"/>
          <w:lang w:eastAsia="zh-CN"/>
        </w:rPr>
        <w:t>。“橡胶+益智”模式增加了17.88±5.27 t·hm</w:t>
      </w:r>
      <w:r>
        <w:rPr>
          <w:rFonts w:eastAsia="宋体"/>
          <w:vertAlign w:val="superscript"/>
          <w:lang w:eastAsia="zh-CN"/>
        </w:rPr>
        <w:t>-2</w:t>
      </w:r>
      <w:r>
        <w:rPr>
          <w:rFonts w:eastAsia="宋体"/>
          <w:lang w:eastAsia="zh-CN"/>
        </w:rPr>
        <w:t>，且土壤有机碳与土壤容重极显著负相关（P</w:t>
      </w:r>
      <w:r>
        <w:rPr>
          <w:rFonts w:hint="eastAsia" w:eastAsia="宋体"/>
          <w:lang w:eastAsia="zh-CN"/>
        </w:rPr>
        <w:t xml:space="preserve"> </w:t>
      </w:r>
      <w:r>
        <w:rPr>
          <w:rFonts w:eastAsia="宋体"/>
          <w:lang w:eastAsia="zh-CN"/>
        </w:rPr>
        <w:t>&lt;</w:t>
      </w:r>
      <w:r>
        <w:rPr>
          <w:rFonts w:hint="eastAsia" w:eastAsia="宋体"/>
          <w:lang w:eastAsia="zh-CN"/>
        </w:rPr>
        <w:t xml:space="preserve"> </w:t>
      </w:r>
      <w:r>
        <w:rPr>
          <w:rFonts w:eastAsia="宋体"/>
          <w:lang w:eastAsia="zh-CN"/>
        </w:rPr>
        <w:t>0.01），与pH和孔隙度极显著正相关</w:t>
      </w:r>
      <w:r>
        <w:rPr>
          <w:rFonts w:hint="eastAsia" w:eastAsia="宋体"/>
          <w:lang w:eastAsia="zh-CN"/>
        </w:rPr>
        <w:t>（图2）</w:t>
      </w:r>
      <w:r>
        <w:rPr>
          <w:rFonts w:eastAsia="宋体"/>
          <w:lang w:eastAsia="zh-CN"/>
        </w:rPr>
        <w:t>。这为提升橡胶复合经营模式固碳能力提供了技术支撑，同时为热带地区进行橡胶林改培提供了借鉴和参考。经过综合调研和田间试验数据统计分析，制标小组对部分技术内容进行了讨论和修改，完成了《</w:t>
      </w:r>
      <w:r>
        <w:rPr>
          <w:rFonts w:hint="eastAsia" w:eastAsia="宋体"/>
          <w:lang w:eastAsia="zh-CN"/>
        </w:rPr>
        <w:t>改培橡胶人工林提升固碳能力技术规程</w:t>
      </w:r>
      <w:r>
        <w:rPr>
          <w:rFonts w:eastAsia="宋体"/>
          <w:lang w:eastAsia="zh-CN"/>
        </w:rPr>
        <w:t>》标准文本及编制说明的征求意见稿。</w:t>
      </w:r>
    </w:p>
    <w:p w14:paraId="530E0BF4">
      <w:pPr>
        <w:spacing w:before="50" w:line="360" w:lineRule="auto"/>
        <w:ind w:firstLine="480" w:firstLineChars="200"/>
        <w:rPr>
          <w:rFonts w:eastAsia="宋体"/>
          <w:lang w:eastAsia="zh-CN"/>
        </w:rPr>
      </w:pPr>
      <w:r>
        <w:rPr>
          <w:rFonts w:eastAsia="宋体"/>
          <w:color w:val="FF0000"/>
          <w:lang w:eastAsia="zh-CN"/>
          <w14:ligatures w14:val="standardContextual"/>
        </w:rPr>
        <w:drawing>
          <wp:anchor distT="0" distB="0" distL="114300" distR="114300" simplePos="0" relativeHeight="251659264" behindDoc="0" locked="0" layoutInCell="1" allowOverlap="1">
            <wp:simplePos x="0" y="0"/>
            <wp:positionH relativeFrom="margin">
              <wp:posOffset>6350</wp:posOffset>
            </wp:positionH>
            <wp:positionV relativeFrom="paragraph">
              <wp:posOffset>66040</wp:posOffset>
            </wp:positionV>
            <wp:extent cx="2520315" cy="1889125"/>
            <wp:effectExtent l="0" t="0" r="0" b="0"/>
            <wp:wrapNone/>
            <wp:docPr id="128407273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4072737" name="图片 1"/>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520000" cy="1889241"/>
                    </a:xfrm>
                    <a:prstGeom prst="rect">
                      <a:avLst/>
                    </a:prstGeom>
                  </pic:spPr>
                </pic:pic>
              </a:graphicData>
            </a:graphic>
          </wp:anchor>
        </w:drawing>
      </w:r>
      <w:r>
        <w:rPr>
          <w:rFonts w:eastAsia="宋体"/>
          <w:lang w:eastAsia="zh-CN"/>
          <w14:ligatures w14:val="standardContextual"/>
        </w:rPr>
        <w:drawing>
          <wp:anchor distT="0" distB="0" distL="114300" distR="114300" simplePos="0" relativeHeight="251660288" behindDoc="0" locked="0" layoutInCell="1" allowOverlap="1">
            <wp:simplePos x="0" y="0"/>
            <wp:positionH relativeFrom="column">
              <wp:posOffset>2692400</wp:posOffset>
            </wp:positionH>
            <wp:positionV relativeFrom="paragraph">
              <wp:posOffset>61595</wp:posOffset>
            </wp:positionV>
            <wp:extent cx="2519680" cy="1888490"/>
            <wp:effectExtent l="0" t="0" r="0" b="0"/>
            <wp:wrapNone/>
            <wp:docPr id="187307183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3071831" name="图片 2"/>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19680" cy="1888490"/>
                    </a:xfrm>
                    <a:prstGeom prst="rect">
                      <a:avLst/>
                    </a:prstGeom>
                  </pic:spPr>
                </pic:pic>
              </a:graphicData>
            </a:graphic>
          </wp:anchor>
        </w:drawing>
      </w:r>
    </w:p>
    <w:p w14:paraId="6BE24994">
      <w:pPr>
        <w:spacing w:before="50" w:line="360" w:lineRule="auto"/>
        <w:ind w:firstLine="480" w:firstLineChars="200"/>
        <w:rPr>
          <w:rFonts w:eastAsia="宋体"/>
          <w:lang w:eastAsia="zh-CN"/>
        </w:rPr>
      </w:pPr>
    </w:p>
    <w:p w14:paraId="6B46051E">
      <w:pPr>
        <w:spacing w:before="50" w:line="360" w:lineRule="auto"/>
        <w:ind w:firstLine="480" w:firstLineChars="200"/>
        <w:rPr>
          <w:rFonts w:eastAsia="宋体"/>
          <w:lang w:eastAsia="zh-CN"/>
        </w:rPr>
      </w:pPr>
    </w:p>
    <w:p w14:paraId="2CC90B9C">
      <w:pPr>
        <w:spacing w:before="50" w:line="360" w:lineRule="auto"/>
        <w:ind w:firstLine="480" w:firstLineChars="200"/>
        <w:rPr>
          <w:rFonts w:eastAsia="宋体"/>
          <w:lang w:eastAsia="zh-CN"/>
        </w:rPr>
      </w:pPr>
    </w:p>
    <w:p w14:paraId="2137C6C9">
      <w:pPr>
        <w:spacing w:before="50" w:line="360" w:lineRule="auto"/>
        <w:ind w:firstLine="480" w:firstLineChars="200"/>
        <w:rPr>
          <w:rFonts w:eastAsia="宋体"/>
          <w:lang w:eastAsia="zh-CN"/>
        </w:rPr>
      </w:pPr>
    </w:p>
    <w:p w14:paraId="693F3404">
      <w:pPr>
        <w:spacing w:before="50" w:line="360" w:lineRule="auto"/>
        <w:rPr>
          <w:rFonts w:eastAsia="宋体"/>
          <w:lang w:eastAsia="zh-CN"/>
        </w:rPr>
      </w:pPr>
      <w:r>
        <w:rPr>
          <w:rFonts w:eastAsia="宋体"/>
          <w:color w:val="FF0000"/>
          <w:lang w:eastAsia="zh-CN"/>
        </w:rPr>
        <w:t xml:space="preserve"> </w:t>
      </w:r>
    </w:p>
    <w:p w14:paraId="38BB605C">
      <w:pPr>
        <w:spacing w:before="120"/>
        <w:jc w:val="center"/>
        <w:rPr>
          <w:rFonts w:eastAsia="黑体"/>
          <w:lang w:eastAsia="zh-CN"/>
        </w:rPr>
      </w:pPr>
      <w:r>
        <w:rPr>
          <w:rFonts w:eastAsia="黑体"/>
          <w:lang w:eastAsia="zh-CN"/>
        </w:rPr>
        <w:t xml:space="preserve">图2  </w:t>
      </w:r>
      <w:r>
        <w:rPr>
          <w:rFonts w:hint="eastAsia" w:eastAsia="黑体"/>
          <w:lang w:eastAsia="zh-CN"/>
        </w:rPr>
        <w:t>改培橡胶林前后的对比试验</w:t>
      </w:r>
    </w:p>
    <w:p w14:paraId="1F2A961A">
      <w:pPr>
        <w:spacing w:line="360" w:lineRule="auto"/>
        <w:rPr>
          <w:rFonts w:eastAsia="宋体"/>
          <w:color w:val="000000"/>
          <w:lang w:eastAsia="zh-CN"/>
        </w:rPr>
      </w:pPr>
      <w:r>
        <w:rPr>
          <w:rFonts w:hint="eastAsia" w:eastAsia="宋体"/>
          <w:color w:val="000000"/>
          <w:lang w:eastAsia="zh-CN"/>
        </w:rPr>
        <w:t>5</w:t>
      </w:r>
      <w:r>
        <w:rPr>
          <w:rFonts w:eastAsia="宋体"/>
          <w:color w:val="000000"/>
          <w:lang w:eastAsia="zh-CN"/>
        </w:rPr>
        <w:t>.</w:t>
      </w:r>
      <w:r>
        <w:rPr>
          <w:rFonts w:hint="eastAsia" w:eastAsia="宋体"/>
          <w:b/>
          <w:bCs/>
          <w:color w:val="000000"/>
          <w:lang w:eastAsia="zh-CN"/>
        </w:rPr>
        <w:t>初稿编制阶段</w:t>
      </w:r>
    </w:p>
    <w:p w14:paraId="3FCD2741">
      <w:pPr>
        <w:spacing w:line="360" w:lineRule="auto"/>
        <w:ind w:firstLine="480" w:firstLineChars="200"/>
        <w:rPr>
          <w:rFonts w:eastAsia="宋体"/>
          <w:color w:val="000000"/>
          <w:lang w:eastAsia="zh-CN"/>
        </w:rPr>
      </w:pPr>
      <w:r>
        <w:rPr>
          <w:rFonts w:eastAsia="宋体"/>
          <w:color w:val="000000"/>
          <w:lang w:eastAsia="zh-CN"/>
        </w:rPr>
        <w:t>202</w:t>
      </w:r>
      <w:r>
        <w:rPr>
          <w:rFonts w:hint="eastAsia" w:eastAsia="宋体"/>
          <w:color w:val="000000"/>
          <w:lang w:eastAsia="zh-CN"/>
        </w:rPr>
        <w:t>4年8月，国际竹藤中心三亚研究基地组织成立标准工作组，确定由国际竹藤中心三亚研究基地、中国热带科学院橡胶研究所和海南大学共同开展《</w:t>
      </w:r>
      <w:r>
        <w:rPr>
          <w:rFonts w:eastAsia="宋体"/>
          <w:color w:val="000000"/>
          <w:lang w:eastAsia="zh-CN"/>
        </w:rPr>
        <w:t>改培橡胶人工林提升固碳能力</w:t>
      </w:r>
      <w:r>
        <w:rPr>
          <w:rFonts w:hint="eastAsia" w:eastAsia="宋体"/>
          <w:color w:val="000000"/>
          <w:lang w:eastAsia="zh-CN"/>
        </w:rPr>
        <w:t>技术规程》标准起草工作。技术要求编制组在前期项目研究、文献资料分析和国内外相关研究成果调研的基础上召开了研讨会，讨论并确定了开展技术要求编制工作的原则、程序、步骤和方法。通过总结前期</w:t>
      </w:r>
      <w:r>
        <w:rPr>
          <w:rFonts w:eastAsia="宋体"/>
          <w:color w:val="000000"/>
          <w:lang w:eastAsia="zh-CN"/>
        </w:rPr>
        <w:t>改培橡胶人工林提升固碳能力</w:t>
      </w:r>
      <w:r>
        <w:rPr>
          <w:rFonts w:hint="eastAsia" w:eastAsia="宋体"/>
          <w:color w:val="000000"/>
          <w:lang w:eastAsia="zh-CN"/>
        </w:rPr>
        <w:t>工作开展经验，研究讨论了标准的主要内容和编制要求，形成标准编写提纲，12月，完成了初稿编写。</w:t>
      </w:r>
    </w:p>
    <w:p w14:paraId="3C67D137">
      <w:pPr>
        <w:numPr>
          <w:ilvl w:val="0"/>
          <w:numId w:val="1"/>
        </w:numPr>
        <w:spacing w:line="360" w:lineRule="auto"/>
        <w:rPr>
          <w:rFonts w:hint="eastAsia" w:eastAsia="宋体"/>
          <w:b/>
          <w:bCs/>
          <w:color w:val="000000"/>
          <w:lang w:val="en-US" w:eastAsia="zh-CN"/>
        </w:rPr>
      </w:pPr>
      <w:r>
        <w:rPr>
          <w:rFonts w:hint="eastAsia" w:eastAsia="宋体"/>
          <w:b/>
          <w:bCs/>
          <w:color w:val="000000"/>
          <w:lang w:val="en-US" w:eastAsia="zh-CN"/>
        </w:rPr>
        <w:t>征求意见</w:t>
      </w:r>
    </w:p>
    <w:p w14:paraId="481C3FCE">
      <w:pPr>
        <w:numPr>
          <w:numId w:val="0"/>
        </w:numPr>
        <w:spacing w:line="360" w:lineRule="auto"/>
        <w:rPr>
          <w:rFonts w:hint="default" w:eastAsia="宋体"/>
          <w:b/>
          <w:bCs/>
          <w:color w:val="000000"/>
          <w:lang w:val="en-US" w:eastAsia="zh-CN"/>
        </w:rPr>
      </w:pPr>
      <w:r>
        <w:rPr>
          <w:rFonts w:hint="eastAsia" w:eastAsia="宋体"/>
          <w:b/>
          <w:bCs/>
          <w:color w:val="000000"/>
          <w:lang w:val="en-US" w:eastAsia="zh-CN"/>
        </w:rPr>
        <w:t>6.1征求意见会</w:t>
      </w:r>
    </w:p>
    <w:p w14:paraId="75D1F455">
      <w:pPr>
        <w:spacing w:line="360" w:lineRule="auto"/>
        <w:ind w:firstLine="480" w:firstLineChars="200"/>
        <w:rPr>
          <w:rFonts w:eastAsia="宋体"/>
          <w:color w:val="000000"/>
          <w:lang w:eastAsia="zh-CN"/>
        </w:rPr>
      </w:pPr>
      <w:r>
        <w:rPr>
          <w:rFonts w:hint="eastAsia" w:eastAsia="宋体"/>
          <w:color w:val="000000"/>
          <w:lang w:eastAsia="zh-CN"/>
        </w:rPr>
        <w:t>2025年2月5日，国际竹藤中心三亚研究基地组织了“改培橡胶人工林提升固碳能力技术规程”地方标准</w:t>
      </w:r>
      <w:r>
        <w:rPr>
          <w:rFonts w:hint="eastAsia" w:eastAsia="宋体"/>
          <w:color w:val="000000"/>
          <w:lang w:val="en-US" w:eastAsia="zh-CN"/>
        </w:rPr>
        <w:t>征求意见会议</w:t>
      </w:r>
      <w:r>
        <w:rPr>
          <w:rFonts w:hint="eastAsia" w:eastAsia="宋体"/>
          <w:color w:val="000000"/>
          <w:lang w:eastAsia="zh-CN"/>
        </w:rPr>
        <w:t>，参会人员除基地领导、相关专家外，还有中国工程院陈温福院士、尹飞虎院士、刘世荣院士，沈阳农业大学刘长江教授、刘广林教授，海南大学龙文兴教授、起草小组全体成员共计</w:t>
      </w:r>
      <w:r>
        <w:rPr>
          <w:rFonts w:eastAsia="宋体"/>
          <w:color w:val="000000"/>
          <w:lang w:eastAsia="zh-CN"/>
        </w:rPr>
        <w:t>20</w:t>
      </w:r>
      <w:r>
        <w:rPr>
          <w:rFonts w:hint="eastAsia" w:eastAsia="宋体"/>
          <w:color w:val="000000"/>
          <w:lang w:eastAsia="zh-CN"/>
        </w:rPr>
        <w:t>余人，与会人员进行广泛深入交流讨论，共提出意见7条。一是橡胶林里面能否兼种热带经济果树，能提高经济效益，以短期的果树养橡胶。二是橡胶林下套种灌草，固碳功能有限，主要是经济价值。因而建议改为提升生态及经济价值。三是“</w:t>
      </w:r>
      <w:r>
        <w:rPr>
          <w:rFonts w:eastAsia="宋体"/>
          <w:color w:val="000000"/>
          <w:lang w:eastAsia="zh-CN"/>
        </w:rPr>
        <w:t>混种乔木树种Mixed species of tree</w:t>
      </w:r>
      <w:r>
        <w:rPr>
          <w:rFonts w:hint="eastAsia" w:eastAsia="宋体"/>
          <w:color w:val="000000"/>
          <w:lang w:eastAsia="zh-CN"/>
        </w:rPr>
        <w:t>”修改为“</w:t>
      </w:r>
      <w:r>
        <w:rPr>
          <w:rFonts w:eastAsia="宋体"/>
          <w:color w:val="000000"/>
          <w:lang w:eastAsia="zh-CN"/>
        </w:rPr>
        <w:t>混种乔木树种Mixed planting tree species</w:t>
      </w:r>
      <w:r>
        <w:rPr>
          <w:rFonts w:hint="eastAsia" w:eastAsia="宋体"/>
          <w:color w:val="000000"/>
          <w:lang w:eastAsia="zh-CN"/>
        </w:rPr>
        <w:t>”；“</w:t>
      </w:r>
      <w:r>
        <w:rPr>
          <w:rFonts w:eastAsia="宋体"/>
          <w:color w:val="000000"/>
          <w:lang w:eastAsia="zh-CN"/>
        </w:rPr>
        <w:t>混种灌木草本物种Mixed species of shrub and herbaceous</w:t>
      </w:r>
      <w:r>
        <w:rPr>
          <w:rFonts w:hint="eastAsia" w:eastAsia="宋体"/>
          <w:color w:val="000000"/>
          <w:lang w:eastAsia="zh-CN"/>
        </w:rPr>
        <w:t>”修改为“</w:t>
      </w:r>
      <w:r>
        <w:rPr>
          <w:rFonts w:eastAsia="宋体"/>
          <w:color w:val="000000"/>
          <w:lang w:eastAsia="zh-CN"/>
        </w:rPr>
        <w:t>混种灌木草本物种Mixed planting shrub and herbaceous species</w:t>
      </w:r>
      <w:r>
        <w:rPr>
          <w:rFonts w:hint="eastAsia" w:eastAsia="宋体"/>
          <w:color w:val="000000"/>
          <w:lang w:eastAsia="zh-CN"/>
        </w:rPr>
        <w:t>”；“混种密度Mixed density”修改为“混种密度</w:t>
      </w:r>
      <w:r>
        <w:rPr>
          <w:rFonts w:eastAsia="宋体"/>
          <w:color w:val="000000"/>
          <w:lang w:eastAsia="zh-CN"/>
        </w:rPr>
        <w:t>Mixed plantation density</w:t>
      </w:r>
      <w:r>
        <w:rPr>
          <w:rFonts w:hint="eastAsia" w:eastAsia="宋体"/>
          <w:color w:val="000000"/>
          <w:lang w:eastAsia="zh-CN"/>
        </w:rPr>
        <w:t>”；“混种</w:t>
      </w:r>
      <w:r>
        <w:rPr>
          <w:rFonts w:eastAsia="宋体"/>
          <w:color w:val="000000"/>
          <w:lang w:eastAsia="zh-CN"/>
        </w:rPr>
        <w:t>树龄</w:t>
      </w:r>
      <w:r>
        <w:rPr>
          <w:rFonts w:hint="eastAsia" w:eastAsia="宋体"/>
          <w:color w:val="000000"/>
          <w:lang w:eastAsia="zh-CN"/>
        </w:rPr>
        <w:t>密度</w:t>
      </w:r>
      <w:r>
        <w:rPr>
          <w:rFonts w:eastAsia="宋体"/>
          <w:color w:val="000000"/>
          <w:lang w:eastAsia="zh-CN"/>
        </w:rPr>
        <w:t>Mixed tree species of age</w:t>
      </w:r>
      <w:r>
        <w:rPr>
          <w:rFonts w:hint="eastAsia" w:eastAsia="宋体"/>
          <w:color w:val="000000"/>
          <w:lang w:eastAsia="zh-CN"/>
        </w:rPr>
        <w:t>”修改为“混种</w:t>
      </w:r>
      <w:r>
        <w:rPr>
          <w:rFonts w:eastAsia="宋体"/>
          <w:color w:val="000000"/>
          <w:lang w:eastAsia="zh-CN"/>
        </w:rPr>
        <w:t>树龄</w:t>
      </w:r>
      <w:r>
        <w:rPr>
          <w:rFonts w:hint="eastAsia" w:eastAsia="宋体"/>
          <w:color w:val="000000"/>
          <w:lang w:eastAsia="zh-CN"/>
        </w:rPr>
        <w:t>密度</w:t>
      </w:r>
      <w:r>
        <w:rPr>
          <w:rFonts w:eastAsia="宋体"/>
          <w:color w:val="000000"/>
          <w:lang w:eastAsia="zh-CN"/>
        </w:rPr>
        <w:t>Age of Mixed tree species</w:t>
      </w:r>
      <w:r>
        <w:rPr>
          <w:rFonts w:hint="eastAsia" w:eastAsia="宋体"/>
          <w:color w:val="000000"/>
          <w:lang w:eastAsia="zh-CN"/>
        </w:rPr>
        <w:t>”；“混种密度Mixed density”修改为“混种密度</w:t>
      </w:r>
      <w:r>
        <w:rPr>
          <w:rFonts w:eastAsia="宋体"/>
          <w:color w:val="000000"/>
          <w:lang w:eastAsia="zh-CN"/>
        </w:rPr>
        <w:t>Mixed plantation density</w:t>
      </w:r>
      <w:r>
        <w:rPr>
          <w:rFonts w:hint="eastAsia" w:eastAsia="宋体"/>
          <w:color w:val="000000"/>
          <w:lang w:eastAsia="zh-CN"/>
        </w:rPr>
        <w:t>”。四是</w:t>
      </w:r>
      <w:r>
        <w:rPr>
          <w:rFonts w:eastAsia="宋体"/>
          <w:color w:val="000000"/>
          <w:lang w:eastAsia="zh-CN"/>
        </w:rPr>
        <w:t>山地</w:t>
      </w:r>
      <w:r>
        <w:rPr>
          <w:rFonts w:hint="eastAsia" w:eastAsia="宋体"/>
          <w:color w:val="000000"/>
          <w:lang w:eastAsia="zh-CN"/>
        </w:rPr>
        <w:t>上种植橡胶比较少，很难改造，建议删除。五是</w:t>
      </w:r>
      <w:r>
        <w:rPr>
          <w:rFonts w:eastAsia="宋体"/>
          <w:color w:val="000000"/>
          <w:lang w:eastAsia="zh-CN"/>
        </w:rPr>
        <w:t>为何以树龄为对象分类？橡胶林郁闭一般在10年</w:t>
      </w:r>
      <w:r>
        <w:rPr>
          <w:rFonts w:hint="eastAsia" w:eastAsia="宋体"/>
          <w:color w:val="000000"/>
          <w:lang w:eastAsia="zh-CN"/>
        </w:rPr>
        <w:t>，建议以10年来分类。六是</w:t>
      </w:r>
      <w:r>
        <w:rPr>
          <w:rFonts w:eastAsia="宋体"/>
          <w:color w:val="000000"/>
          <w:lang w:eastAsia="zh-CN"/>
        </w:rPr>
        <w:t>郁闭后的橡胶林种植乡土树种也难以长大，需要配套抚育措施。</w:t>
      </w:r>
      <w:r>
        <w:rPr>
          <w:rFonts w:hint="eastAsia" w:eastAsia="宋体"/>
          <w:color w:val="000000"/>
          <w:lang w:eastAsia="zh-CN"/>
        </w:rPr>
        <w:t>七是</w:t>
      </w:r>
      <w:r>
        <w:rPr>
          <w:rFonts w:eastAsia="宋体"/>
          <w:color w:val="000000"/>
          <w:lang w:eastAsia="zh-CN"/>
        </w:rPr>
        <w:t>不建议简单参考其他标准，应根据本规范实际来叙述。</w:t>
      </w:r>
      <w:r>
        <w:rPr>
          <w:rFonts w:hint="eastAsia" w:eastAsia="宋体"/>
          <w:color w:val="000000"/>
          <w:lang w:eastAsia="zh-CN"/>
        </w:rPr>
        <w:t>会后，起草组采纳了7条专家对《</w:t>
      </w:r>
      <w:r>
        <w:rPr>
          <w:rFonts w:eastAsia="宋体"/>
          <w:color w:val="000000"/>
          <w:lang w:eastAsia="zh-CN"/>
        </w:rPr>
        <w:t>改培橡胶人工林提升固碳能力</w:t>
      </w:r>
      <w:r>
        <w:rPr>
          <w:rFonts w:hint="eastAsia" w:eastAsia="宋体"/>
          <w:color w:val="000000"/>
          <w:lang w:eastAsia="zh-CN"/>
        </w:rPr>
        <w:t>技术规程》（初稿） 进行了系统修改，形成了《</w:t>
      </w:r>
      <w:r>
        <w:rPr>
          <w:rFonts w:eastAsia="宋体"/>
          <w:color w:val="000000"/>
          <w:lang w:eastAsia="zh-CN"/>
        </w:rPr>
        <w:t>改培橡胶人工林提升固碳能力</w:t>
      </w:r>
      <w:r>
        <w:rPr>
          <w:rFonts w:hint="eastAsia" w:eastAsia="宋体"/>
          <w:color w:val="000000"/>
          <w:lang w:eastAsia="zh-CN"/>
        </w:rPr>
        <w:t>技术规程》（征求意见稿）。</w:t>
      </w:r>
      <w:bookmarkStart w:id="7" w:name="_GoBack"/>
      <w:bookmarkEnd w:id="7"/>
    </w:p>
    <w:p w14:paraId="5710BE51">
      <w:pPr>
        <w:spacing w:before="156" w:beforeLines="50" w:line="360" w:lineRule="auto"/>
        <w:rPr>
          <w:rFonts w:hint="eastAsia" w:ascii="黑体" w:hAnsi="黑体" w:eastAsia="黑体"/>
          <w:b/>
          <w:bCs/>
          <w:lang w:eastAsia="zh-CN"/>
        </w:rPr>
      </w:pPr>
      <w:r>
        <w:rPr>
          <w:rFonts w:hint="eastAsia" w:ascii="黑体" w:hAnsi="黑体" w:eastAsia="黑体"/>
          <w:b/>
          <w:bCs/>
          <w:lang w:eastAsia="zh-CN"/>
        </w:rPr>
        <w:t>（三）制定标准的原则和依据，与现行法律法规、标准的关系</w:t>
      </w:r>
    </w:p>
    <w:p w14:paraId="38620EF4">
      <w:pPr>
        <w:spacing w:before="50" w:line="360" w:lineRule="auto"/>
        <w:rPr>
          <w:rFonts w:hint="eastAsia" w:ascii="宋体" w:hAnsi="宋体" w:eastAsia="宋体"/>
          <w:b/>
          <w:lang w:eastAsia="zh-CN"/>
        </w:rPr>
      </w:pPr>
      <w:r>
        <w:rPr>
          <w:rFonts w:hint="eastAsia" w:ascii="宋体" w:hAnsi="宋体" w:eastAsia="宋体"/>
          <w:b/>
          <w:lang w:eastAsia="zh-CN"/>
        </w:rPr>
        <w:t>1. 制定标准的原则</w:t>
      </w:r>
    </w:p>
    <w:p w14:paraId="24E48534">
      <w:pPr>
        <w:spacing w:before="156" w:beforeLines="50" w:line="360" w:lineRule="auto"/>
        <w:ind w:firstLine="480" w:firstLineChars="200"/>
        <w:rPr>
          <w:rFonts w:hint="eastAsia" w:ascii="宋体" w:hAnsi="宋体" w:eastAsia="宋体"/>
          <w:bCs/>
          <w:lang w:eastAsia="zh-CN"/>
        </w:rPr>
      </w:pPr>
      <w:r>
        <w:rPr>
          <w:rFonts w:hint="eastAsia" w:ascii="宋体" w:hAnsi="宋体" w:eastAsia="宋体"/>
          <w:bCs/>
          <w:lang w:eastAsia="zh-CN"/>
        </w:rPr>
        <w:t>在标准编制过程中，遵循了“科学性、统一性、协调性、适用性、一致性和规范性”标准制定原则。力求标准文本结构清楚、准确、与现行法律法规及相关标准相互协调，易于理解，具有适用性和可操作性。</w:t>
      </w:r>
    </w:p>
    <w:p w14:paraId="6DD6D835">
      <w:pPr>
        <w:spacing w:before="156" w:beforeLines="50" w:line="360" w:lineRule="auto"/>
        <w:rPr>
          <w:rFonts w:hint="eastAsia" w:ascii="宋体" w:hAnsi="宋体" w:eastAsia="宋体"/>
          <w:bCs/>
          <w:lang w:eastAsia="zh-CN"/>
        </w:rPr>
      </w:pPr>
      <w:r>
        <w:rPr>
          <w:rFonts w:hint="eastAsia" w:ascii="宋体" w:hAnsi="宋体" w:eastAsia="宋体"/>
          <w:b/>
          <w:lang w:eastAsia="zh-CN"/>
        </w:rPr>
        <w:t>1.1 科学性。</w:t>
      </w:r>
      <w:r>
        <w:rPr>
          <w:rFonts w:hint="eastAsia" w:ascii="宋体" w:hAnsi="宋体" w:eastAsia="宋体"/>
          <w:bCs/>
          <w:lang w:eastAsia="zh-CN"/>
        </w:rPr>
        <w:t>对改培橡胶林固碳增汇情况实地调研，收集、记录并实验验证，结合制标小组成员多年在改培橡胶林固碳示范的研究基础，首先确保科学数据可靠，固碳增汇技术力求反映本研究领域的国内外先进技术及标准的发展现状与趋势，既体现目前稳定可靠的最新研究成果，又能为未来技术发展提供框架，使标准中所规定的技术内容有利于指导改培橡胶林固碳增汇。确定了本标准条款、技术参数等，确定本标准文件主要内容与主要指标。</w:t>
      </w:r>
    </w:p>
    <w:p w14:paraId="66314B8F">
      <w:pPr>
        <w:spacing w:before="156" w:beforeLines="50" w:line="360" w:lineRule="auto"/>
        <w:rPr>
          <w:rFonts w:hint="eastAsia" w:ascii="宋体" w:hAnsi="宋体" w:eastAsia="宋体"/>
          <w:bCs/>
          <w:lang w:eastAsia="zh-CN"/>
        </w:rPr>
      </w:pPr>
      <w:r>
        <w:rPr>
          <w:rFonts w:hint="eastAsia" w:ascii="宋体" w:hAnsi="宋体" w:eastAsia="宋体"/>
          <w:b/>
          <w:lang w:eastAsia="zh-CN"/>
        </w:rPr>
        <w:t>1.2适用性。</w:t>
      </w:r>
      <w:r>
        <w:rPr>
          <w:rFonts w:hint="eastAsia" w:ascii="宋体" w:hAnsi="宋体" w:eastAsia="宋体"/>
          <w:bCs/>
          <w:lang w:eastAsia="zh-CN"/>
        </w:rPr>
        <w:t>在标准技术内容、繁育流程方面，始终把经济实用和可操作性作为重要的依据，确保标准的内容便于实施，并且易于被其他标准和文件引用。</w:t>
      </w:r>
    </w:p>
    <w:p w14:paraId="0C2C92C8">
      <w:pPr>
        <w:spacing w:before="156" w:beforeLines="50" w:line="360" w:lineRule="auto"/>
        <w:rPr>
          <w:rFonts w:hint="eastAsia" w:ascii="宋体" w:hAnsi="宋体" w:eastAsia="宋体"/>
          <w:bCs/>
          <w:lang w:eastAsia="zh-CN"/>
        </w:rPr>
      </w:pPr>
      <w:r>
        <w:rPr>
          <w:rFonts w:hint="eastAsia" w:ascii="宋体" w:hAnsi="宋体" w:eastAsia="宋体"/>
          <w:b/>
          <w:lang w:eastAsia="zh-CN"/>
        </w:rPr>
        <w:t>1.3规范性。</w:t>
      </w:r>
      <w:r>
        <w:rPr>
          <w:rFonts w:hint="eastAsia" w:ascii="宋体" w:hAnsi="宋体" w:eastAsia="宋体"/>
          <w:bCs/>
          <w:lang w:eastAsia="zh-CN"/>
        </w:rPr>
        <w:t>本标准严格按照《标准化工作导则第1部分：标准化文件的结构和起草规则》（GB/T 1.1—2020）、《标准编写规则  第6部分：规程标准》（GB/T 20001.6—2017）、《地方标准制修订工作规范》（DB46/T 74—2021）规定及相关标准、文件进行起草，文本格式规范。</w:t>
      </w:r>
    </w:p>
    <w:p w14:paraId="2507B05D">
      <w:pPr>
        <w:spacing w:before="156" w:beforeLines="50" w:line="360" w:lineRule="auto"/>
        <w:rPr>
          <w:rFonts w:hint="eastAsia" w:ascii="宋体" w:hAnsi="宋体" w:eastAsia="宋体"/>
          <w:bCs/>
          <w:lang w:eastAsia="zh-CN"/>
        </w:rPr>
      </w:pPr>
      <w:r>
        <w:rPr>
          <w:rFonts w:hint="eastAsia" w:ascii="宋体" w:hAnsi="宋体" w:eastAsia="宋体"/>
          <w:b/>
          <w:lang w:eastAsia="zh-CN"/>
        </w:rPr>
        <w:t>1.4统一性。</w:t>
      </w:r>
      <w:r>
        <w:rPr>
          <w:rFonts w:hint="eastAsia" w:ascii="宋体" w:hAnsi="宋体" w:eastAsia="宋体"/>
          <w:bCs/>
          <w:lang w:eastAsia="zh-CN"/>
        </w:rPr>
        <w:t>在标准文本编制过程中力求做到技术内容的表述科学准确、清晰易懂，标准结构、文体和形式的统一。</w:t>
      </w:r>
    </w:p>
    <w:p w14:paraId="3305B1FC">
      <w:pPr>
        <w:spacing w:before="156" w:beforeLines="50" w:line="360" w:lineRule="auto"/>
        <w:rPr>
          <w:rFonts w:hint="eastAsia" w:ascii="宋体" w:hAnsi="宋体" w:eastAsia="宋体"/>
          <w:bCs/>
          <w:lang w:eastAsia="zh-CN"/>
        </w:rPr>
      </w:pPr>
      <w:r>
        <w:rPr>
          <w:rFonts w:hint="eastAsia" w:ascii="宋体" w:hAnsi="宋体" w:eastAsia="宋体"/>
          <w:b/>
          <w:lang w:eastAsia="zh-CN"/>
        </w:rPr>
        <w:t>1.5协调性。</w:t>
      </w:r>
      <w:r>
        <w:rPr>
          <w:rFonts w:hint="eastAsia" w:ascii="宋体" w:hAnsi="宋体" w:eastAsia="宋体"/>
          <w:bCs/>
          <w:lang w:eastAsia="zh-CN"/>
        </w:rPr>
        <w:t>本标准内容符合国家法律、法规，与现行相关标准相协调。</w:t>
      </w:r>
    </w:p>
    <w:p w14:paraId="7C89CDFC">
      <w:pPr>
        <w:spacing w:before="156" w:beforeLines="50" w:line="360" w:lineRule="auto"/>
        <w:rPr>
          <w:rFonts w:hint="eastAsia" w:ascii="宋体" w:hAnsi="宋体" w:eastAsia="宋体"/>
          <w:bCs/>
          <w:lang w:eastAsia="zh-CN"/>
        </w:rPr>
      </w:pPr>
      <w:r>
        <w:rPr>
          <w:rFonts w:hint="eastAsia" w:ascii="宋体" w:hAnsi="宋体" w:eastAsia="宋体"/>
          <w:b/>
          <w:lang w:eastAsia="zh-CN"/>
        </w:rPr>
        <w:t>1.6一致性。</w:t>
      </w:r>
      <w:r>
        <w:rPr>
          <w:rFonts w:hint="eastAsia" w:ascii="宋体" w:hAnsi="宋体" w:eastAsia="宋体"/>
          <w:bCs/>
          <w:lang w:eastAsia="zh-CN"/>
        </w:rPr>
        <w:t>本标准主要技术内容未采用国家标准或行业标准，相关技术也符合相关国家或行业标准的要求。</w:t>
      </w:r>
    </w:p>
    <w:p w14:paraId="4DB03AA7">
      <w:pPr>
        <w:spacing w:before="156" w:beforeLines="50" w:line="360" w:lineRule="auto"/>
        <w:rPr>
          <w:rFonts w:hint="eastAsia" w:ascii="宋体" w:hAnsi="宋体" w:eastAsia="宋体"/>
          <w:b/>
          <w:lang w:eastAsia="zh-CN"/>
        </w:rPr>
      </w:pPr>
      <w:r>
        <w:rPr>
          <w:rFonts w:hint="eastAsia" w:ascii="宋体" w:hAnsi="宋体" w:eastAsia="宋体"/>
          <w:b/>
          <w:lang w:eastAsia="zh-CN"/>
        </w:rPr>
        <w:t>2. 制定依据</w:t>
      </w:r>
    </w:p>
    <w:p w14:paraId="7CC6E71D">
      <w:pPr>
        <w:spacing w:before="156" w:beforeLines="50" w:line="360" w:lineRule="auto"/>
        <w:ind w:firstLine="480" w:firstLineChars="200"/>
        <w:rPr>
          <w:rFonts w:hint="eastAsia" w:ascii="宋体" w:hAnsi="宋体" w:eastAsia="宋体"/>
          <w:bCs/>
          <w:lang w:eastAsia="zh-CN"/>
        </w:rPr>
      </w:pPr>
      <w:r>
        <w:rPr>
          <w:rFonts w:hint="eastAsia" w:ascii="宋体" w:hAnsi="宋体" w:eastAsia="宋体"/>
          <w:bCs/>
          <w:lang w:eastAsia="zh-CN"/>
        </w:rPr>
        <w:t>本标准依据国家有关法律、法规和国家标准化管理办法，严格按《标准化工作导则第1部分：标准化文件的结构和起草规则》（GB/T 1.1—2020）、《标准编写规则  第6部分：规程标准》（GB/T 20001.6—2017）、《地方标准制修订工作规范》（DB46/T 74—2021）规定进行编写。</w:t>
      </w:r>
    </w:p>
    <w:p w14:paraId="759D4A8E">
      <w:pPr>
        <w:spacing w:before="156" w:beforeLines="50" w:line="360" w:lineRule="auto"/>
        <w:ind w:firstLine="480" w:firstLineChars="200"/>
        <w:rPr>
          <w:rFonts w:hint="eastAsia" w:ascii="宋体" w:hAnsi="宋体" w:eastAsia="宋体"/>
          <w:bCs/>
          <w:lang w:eastAsia="zh-CN"/>
        </w:rPr>
      </w:pPr>
      <w:r>
        <w:rPr>
          <w:rFonts w:hint="eastAsia" w:ascii="宋体" w:hAnsi="宋体" w:eastAsia="宋体"/>
          <w:bCs/>
          <w:lang w:eastAsia="zh-CN"/>
        </w:rPr>
        <w:t>本标准编制的主要法律法规、政策依据及相关的条款内容有：</w:t>
      </w:r>
    </w:p>
    <w:p w14:paraId="2FED1EB1">
      <w:pPr>
        <w:spacing w:before="156" w:beforeLines="50" w:line="360" w:lineRule="auto"/>
        <w:ind w:firstLine="480" w:firstLineChars="200"/>
        <w:rPr>
          <w:rFonts w:eastAsia="宋体"/>
          <w:color w:val="000000"/>
          <w:lang w:eastAsia="zh-CN"/>
        </w:rPr>
      </w:pPr>
      <w:bookmarkStart w:id="6" w:name="OLE_LINK4"/>
      <w:r>
        <w:rPr>
          <w:rFonts w:eastAsia="宋体"/>
          <w:color w:val="000000"/>
          <w:lang w:eastAsia="zh-CN"/>
        </w:rPr>
        <w:t>《关于完整准确全面贯彻新发展理念做好碳达峰碳中和工作的意见》</w:t>
      </w:r>
      <w:r>
        <w:rPr>
          <w:rFonts w:hint="eastAsia" w:eastAsia="宋体"/>
          <w:color w:val="000000"/>
          <w:lang w:eastAsia="zh-CN"/>
        </w:rPr>
        <w:t>，</w:t>
      </w:r>
      <w:bookmarkEnd w:id="6"/>
      <w:r>
        <w:rPr>
          <w:rFonts w:hint="eastAsia" w:eastAsia="宋体"/>
          <w:color w:val="000000"/>
          <w:lang w:eastAsia="zh-CN"/>
        </w:rPr>
        <w:t>2021年10月24日实施。</w:t>
      </w:r>
    </w:p>
    <w:p w14:paraId="630132B4">
      <w:pPr>
        <w:spacing w:before="156" w:beforeLines="50" w:line="360" w:lineRule="auto"/>
        <w:ind w:firstLine="480" w:firstLineChars="200"/>
        <w:rPr>
          <w:rFonts w:eastAsia="宋体"/>
          <w:color w:val="000000"/>
          <w:lang w:eastAsia="zh-CN"/>
        </w:rPr>
      </w:pPr>
      <w:r>
        <w:rPr>
          <w:rFonts w:eastAsia="宋体"/>
          <w:color w:val="000000"/>
          <w:lang w:eastAsia="zh-CN"/>
        </w:rPr>
        <w:t>《2030年前碳达峰行动方案》</w:t>
      </w:r>
      <w:r>
        <w:rPr>
          <w:rFonts w:hint="eastAsia" w:eastAsia="宋体"/>
          <w:color w:val="000000"/>
          <w:lang w:eastAsia="zh-CN"/>
        </w:rPr>
        <w:t>，2021年10月26日实施。</w:t>
      </w:r>
    </w:p>
    <w:p w14:paraId="087BC5F3">
      <w:pPr>
        <w:spacing w:before="156" w:beforeLines="50" w:line="360" w:lineRule="auto"/>
        <w:ind w:firstLine="480" w:firstLineChars="200"/>
        <w:rPr>
          <w:rFonts w:eastAsia="宋体"/>
          <w:color w:val="000000"/>
          <w:lang w:eastAsia="zh-CN"/>
        </w:rPr>
      </w:pPr>
      <w:r>
        <w:rPr>
          <w:rFonts w:eastAsia="宋体"/>
          <w:color w:val="000000"/>
          <w:lang w:eastAsia="zh-CN"/>
        </w:rPr>
        <w:t>《海南省碳达峰实施方案》</w:t>
      </w:r>
      <w:r>
        <w:rPr>
          <w:rFonts w:hint="eastAsia" w:eastAsia="宋体"/>
          <w:color w:val="000000"/>
          <w:lang w:eastAsia="zh-CN"/>
        </w:rPr>
        <w:t>，2023年9月21日实施。</w:t>
      </w:r>
    </w:p>
    <w:p w14:paraId="4A253FE0">
      <w:pPr>
        <w:spacing w:before="156" w:beforeLines="50" w:line="360" w:lineRule="auto"/>
        <w:rPr>
          <w:rFonts w:hint="eastAsia" w:ascii="宋体" w:hAnsi="宋体" w:eastAsia="宋体"/>
          <w:b/>
          <w:lang w:eastAsia="zh-CN"/>
        </w:rPr>
      </w:pPr>
      <w:r>
        <w:rPr>
          <w:rFonts w:hint="eastAsia" w:ascii="宋体" w:hAnsi="宋体" w:eastAsia="宋体"/>
          <w:b/>
          <w:lang w:eastAsia="zh-CN"/>
        </w:rPr>
        <w:t>3.本标准的技术文件</w:t>
      </w:r>
    </w:p>
    <w:p w14:paraId="12103E68">
      <w:pPr>
        <w:spacing w:before="156" w:beforeLines="50" w:line="360" w:lineRule="auto"/>
        <w:ind w:firstLine="480" w:firstLineChars="200"/>
        <w:rPr>
          <w:rFonts w:hint="eastAsia" w:ascii="宋体" w:hAnsi="宋体" w:eastAsia="宋体"/>
          <w:bCs/>
          <w:lang w:eastAsia="zh-CN"/>
        </w:rPr>
      </w:pPr>
      <w:r>
        <w:rPr>
          <w:rFonts w:hint="eastAsia" w:ascii="宋体" w:hAnsi="宋体" w:eastAsia="宋体"/>
          <w:bCs/>
          <w:lang w:eastAsia="zh-CN"/>
        </w:rPr>
        <w:t>本标准的条款主要围绕改培橡胶林后的管理、固碳、增汇、生态效益等技术要求展开。对于相关技术流程要求，以参考现行的国家标准、行业标准和地方标准为主，主要参考以下标准：</w:t>
      </w:r>
    </w:p>
    <w:p w14:paraId="6D185F29">
      <w:pPr>
        <w:spacing w:line="360" w:lineRule="auto"/>
        <w:ind w:firstLine="480" w:firstLineChars="200"/>
        <w:rPr>
          <w:rFonts w:eastAsia="宋体"/>
          <w:lang w:eastAsia="zh-CN"/>
        </w:rPr>
      </w:pPr>
      <w:r>
        <w:rPr>
          <w:rFonts w:eastAsia="宋体"/>
          <w:lang w:eastAsia="zh-CN"/>
        </w:rPr>
        <w:t>GB/T 15776 造林技术规程</w:t>
      </w:r>
    </w:p>
    <w:p w14:paraId="5B078B53">
      <w:pPr>
        <w:spacing w:line="360" w:lineRule="auto"/>
        <w:ind w:firstLine="480" w:firstLineChars="200"/>
        <w:rPr>
          <w:rFonts w:eastAsia="宋体"/>
          <w:lang w:eastAsia="zh-CN"/>
        </w:rPr>
      </w:pPr>
      <w:r>
        <w:rPr>
          <w:rFonts w:eastAsia="宋体"/>
          <w:lang w:eastAsia="zh-CN"/>
        </w:rPr>
        <w:t>GB/T 15781 森林抚育规程</w:t>
      </w:r>
    </w:p>
    <w:p w14:paraId="4B78CA7D">
      <w:pPr>
        <w:spacing w:line="360" w:lineRule="auto"/>
        <w:ind w:firstLine="480" w:firstLineChars="200"/>
        <w:rPr>
          <w:rFonts w:eastAsia="宋体"/>
          <w:lang w:eastAsia="zh-CN"/>
        </w:rPr>
      </w:pPr>
      <w:r>
        <w:rPr>
          <w:rFonts w:eastAsia="宋体"/>
          <w:lang w:eastAsia="zh-CN"/>
        </w:rPr>
        <w:t>DB 46/T 564 橡胶林改培技术规程</w:t>
      </w:r>
    </w:p>
    <w:p w14:paraId="73FD075B">
      <w:pPr>
        <w:spacing w:line="360" w:lineRule="auto"/>
        <w:ind w:firstLine="480" w:firstLineChars="200"/>
        <w:rPr>
          <w:rFonts w:eastAsia="宋体"/>
          <w:lang w:eastAsia="zh-CN"/>
        </w:rPr>
      </w:pPr>
      <w:r>
        <w:rPr>
          <w:rFonts w:eastAsia="宋体"/>
          <w:lang w:eastAsia="zh-CN"/>
        </w:rPr>
        <w:t>DB 46/T 324 益智林下栽培技术规程</w:t>
      </w:r>
    </w:p>
    <w:p w14:paraId="4D10281E">
      <w:pPr>
        <w:spacing w:line="360" w:lineRule="auto"/>
        <w:ind w:firstLine="480" w:firstLineChars="200"/>
        <w:rPr>
          <w:rFonts w:eastAsia="宋体"/>
          <w:lang w:eastAsia="zh-CN"/>
        </w:rPr>
      </w:pPr>
      <w:r>
        <w:rPr>
          <w:rFonts w:eastAsia="宋体"/>
          <w:lang w:eastAsia="zh-CN"/>
        </w:rPr>
        <w:t>DB 63/T 821 紫花苜蓿生产技术规程</w:t>
      </w:r>
    </w:p>
    <w:p w14:paraId="7FDFDCB0">
      <w:pPr>
        <w:spacing w:line="360" w:lineRule="auto"/>
        <w:ind w:firstLine="480" w:firstLineChars="200"/>
        <w:rPr>
          <w:rFonts w:eastAsia="宋体"/>
          <w:lang w:eastAsia="zh-CN"/>
        </w:rPr>
      </w:pPr>
      <w:r>
        <w:rPr>
          <w:rFonts w:eastAsia="宋体"/>
          <w:lang w:eastAsia="zh-CN"/>
        </w:rPr>
        <w:t>DB11/T 1437 森林固碳增汇经营技术规程</w:t>
      </w:r>
    </w:p>
    <w:p w14:paraId="4A224B51">
      <w:pPr>
        <w:spacing w:line="360" w:lineRule="auto"/>
        <w:ind w:firstLine="480" w:firstLineChars="200"/>
        <w:rPr>
          <w:rFonts w:eastAsia="宋体"/>
          <w:lang w:eastAsia="zh-CN"/>
        </w:rPr>
      </w:pPr>
      <w:r>
        <w:rPr>
          <w:rFonts w:eastAsia="宋体"/>
          <w:lang w:eastAsia="zh-CN"/>
        </w:rPr>
        <w:t>DB11/T 953 林业碳汇计量监测技术规程</w:t>
      </w:r>
    </w:p>
    <w:p w14:paraId="20B0342D">
      <w:pPr>
        <w:spacing w:line="360" w:lineRule="auto"/>
        <w:ind w:firstLine="480" w:firstLineChars="200"/>
        <w:rPr>
          <w:rFonts w:eastAsia="宋体"/>
          <w:lang w:eastAsia="zh-CN"/>
        </w:rPr>
      </w:pPr>
      <w:r>
        <w:rPr>
          <w:rFonts w:eastAsia="宋体"/>
          <w:lang w:eastAsia="zh-CN"/>
        </w:rPr>
        <w:t>DB 1502/T 022 森林碳汇调查与监测技术规程</w:t>
      </w:r>
    </w:p>
    <w:p w14:paraId="22CE5C58">
      <w:pPr>
        <w:spacing w:line="360" w:lineRule="auto"/>
        <w:ind w:firstLine="480" w:firstLineChars="200"/>
        <w:rPr>
          <w:rFonts w:eastAsia="宋体"/>
          <w:lang w:eastAsia="zh-CN"/>
        </w:rPr>
      </w:pPr>
      <w:r>
        <w:rPr>
          <w:rFonts w:eastAsia="宋体"/>
          <w:lang w:eastAsia="zh-CN"/>
        </w:rPr>
        <w:t>LY/T 2252 碳汇造林技术规程</w:t>
      </w:r>
    </w:p>
    <w:p w14:paraId="3D10DF7F">
      <w:pPr>
        <w:spacing w:before="156" w:beforeLines="50" w:line="360" w:lineRule="auto"/>
        <w:rPr>
          <w:rFonts w:hint="eastAsia" w:ascii="黑体" w:hAnsi="黑体" w:eastAsia="黑体"/>
          <w:b/>
          <w:lang w:eastAsia="zh-CN"/>
        </w:rPr>
      </w:pPr>
      <w:r>
        <w:rPr>
          <w:rFonts w:hint="eastAsia" w:ascii="黑体" w:hAnsi="黑体" w:eastAsia="黑体"/>
          <w:b/>
          <w:lang w:eastAsia="zh-CN"/>
        </w:rPr>
        <w:t>（四）主要条款的说明，主要技术指标、参数、试验验证的论述</w:t>
      </w:r>
    </w:p>
    <w:p w14:paraId="4B5AE487">
      <w:pPr>
        <w:spacing w:before="156" w:beforeLines="50" w:line="360" w:lineRule="auto"/>
        <w:rPr>
          <w:rFonts w:hint="eastAsia" w:ascii="宋体" w:hAnsi="宋体" w:eastAsia="宋体"/>
          <w:b/>
          <w:lang w:eastAsia="zh-CN"/>
        </w:rPr>
      </w:pPr>
      <w:r>
        <w:rPr>
          <w:rFonts w:hint="eastAsia" w:ascii="宋体" w:hAnsi="宋体" w:eastAsia="宋体"/>
          <w:b/>
          <w:lang w:eastAsia="zh-CN"/>
        </w:rPr>
        <w:t>1.主要条款</w:t>
      </w:r>
    </w:p>
    <w:p w14:paraId="78FDDD44">
      <w:pPr>
        <w:spacing w:line="360" w:lineRule="auto"/>
        <w:ind w:firstLine="480" w:firstLineChars="200"/>
        <w:rPr>
          <w:rFonts w:hint="eastAsia" w:ascii="宋体" w:hAnsi="宋体" w:eastAsia="宋体"/>
          <w:lang w:eastAsia="zh-CN"/>
        </w:rPr>
      </w:pPr>
      <w:r>
        <w:rPr>
          <w:rFonts w:hint="eastAsia" w:ascii="宋体" w:hAnsi="宋体" w:eastAsia="宋体"/>
          <w:lang w:eastAsia="zh-CN"/>
        </w:rPr>
        <w:t>本文件的章节由</w:t>
      </w:r>
      <w:r>
        <w:rPr>
          <w:rFonts w:ascii="宋体" w:hAnsi="宋体" w:eastAsia="宋体"/>
          <w:lang w:eastAsia="zh-CN"/>
        </w:rPr>
        <w:t>常规种植密度</w:t>
      </w:r>
      <w:r>
        <w:rPr>
          <w:rFonts w:hint="eastAsia" w:ascii="宋体" w:hAnsi="宋体" w:eastAsia="宋体"/>
          <w:lang w:eastAsia="zh-CN"/>
        </w:rPr>
        <w:t>改培橡胶林提升固碳能力情况和</w:t>
      </w:r>
      <w:r>
        <w:rPr>
          <w:rFonts w:ascii="宋体" w:hAnsi="宋体" w:eastAsia="宋体"/>
          <w:lang w:eastAsia="zh-CN"/>
        </w:rPr>
        <w:t>宽窄行种植密度</w:t>
      </w:r>
      <w:r>
        <w:rPr>
          <w:rFonts w:hint="eastAsia" w:ascii="宋体" w:hAnsi="宋体" w:eastAsia="宋体"/>
          <w:lang w:eastAsia="zh-CN"/>
        </w:rPr>
        <w:t>改培橡胶林提升固碳能力情况组成。其中改培橡胶林提升固碳增汇是本文件的主要技术内容。</w:t>
      </w:r>
    </w:p>
    <w:p w14:paraId="3E1E6BD2">
      <w:pPr>
        <w:spacing w:before="156" w:beforeLines="50" w:line="360" w:lineRule="auto"/>
        <w:rPr>
          <w:rFonts w:hint="eastAsia" w:ascii="宋体" w:hAnsi="宋体" w:eastAsia="宋体"/>
          <w:b/>
          <w:lang w:eastAsia="zh-CN"/>
        </w:rPr>
      </w:pPr>
      <w:r>
        <w:rPr>
          <w:rFonts w:hint="eastAsia" w:ascii="宋体" w:hAnsi="宋体" w:eastAsia="宋体"/>
          <w:b/>
          <w:lang w:eastAsia="zh-CN"/>
        </w:rPr>
        <w:t>2.主要技术指标、参数</w:t>
      </w:r>
    </w:p>
    <w:p w14:paraId="63C0D0C9">
      <w:pPr>
        <w:spacing w:before="156" w:beforeLines="50" w:line="360" w:lineRule="auto"/>
        <w:ind w:firstLine="480" w:firstLineChars="200"/>
        <w:rPr>
          <w:rFonts w:hint="eastAsia" w:ascii="宋体" w:hAnsi="宋体" w:eastAsia="宋体"/>
          <w:lang w:eastAsia="zh-CN"/>
        </w:rPr>
      </w:pPr>
      <w:r>
        <w:rPr>
          <w:rFonts w:hint="eastAsia" w:ascii="宋体" w:hAnsi="宋体" w:eastAsia="宋体"/>
          <w:lang w:eastAsia="zh-CN"/>
        </w:rPr>
        <w:t>本标准的技术包括</w:t>
      </w:r>
      <w:r>
        <w:rPr>
          <w:rFonts w:ascii="宋体" w:hAnsi="宋体" w:eastAsia="宋体"/>
          <w:lang w:eastAsia="zh-CN"/>
        </w:rPr>
        <w:t>常规种植密度</w:t>
      </w:r>
      <w:r>
        <w:rPr>
          <w:rFonts w:hint="eastAsia" w:ascii="宋体" w:hAnsi="宋体" w:eastAsia="宋体"/>
          <w:lang w:eastAsia="zh-CN"/>
        </w:rPr>
        <w:t>改培橡胶林提升固碳能力情况和</w:t>
      </w:r>
      <w:r>
        <w:rPr>
          <w:rFonts w:ascii="宋体" w:hAnsi="宋体" w:eastAsia="宋体"/>
          <w:lang w:eastAsia="zh-CN"/>
        </w:rPr>
        <w:t>宽窄行种植密度</w:t>
      </w:r>
      <w:r>
        <w:rPr>
          <w:rFonts w:hint="eastAsia" w:ascii="宋体" w:hAnsi="宋体" w:eastAsia="宋体"/>
          <w:lang w:eastAsia="zh-CN"/>
        </w:rPr>
        <w:t>改培橡胶林提升固碳能力情况等。根据调研和实地考察，对以上内容进行了确认。</w:t>
      </w:r>
    </w:p>
    <w:p w14:paraId="6943B482">
      <w:pPr>
        <w:spacing w:before="156" w:beforeLines="50" w:line="360" w:lineRule="auto"/>
        <w:rPr>
          <w:rFonts w:hint="eastAsia" w:ascii="宋体" w:hAnsi="宋体" w:eastAsia="宋体"/>
          <w:lang w:eastAsia="zh-CN"/>
        </w:rPr>
      </w:pPr>
      <w:r>
        <w:rPr>
          <w:rFonts w:hint="eastAsia" w:eastAsia="方正黑体_GBK"/>
          <w:color w:val="000000"/>
          <w:lang w:eastAsia="zh-CN"/>
        </w:rPr>
        <w:t>2.1</w:t>
      </w:r>
      <w:r>
        <w:rPr>
          <w:rFonts w:eastAsia="方正黑体_GBK"/>
          <w:color w:val="000000"/>
          <w:lang w:eastAsia="zh-CN"/>
        </w:rPr>
        <w:t>常规种植密度</w:t>
      </w:r>
      <w:r>
        <w:rPr>
          <w:rFonts w:hint="eastAsia" w:eastAsia="方正黑体_GBK"/>
          <w:color w:val="000000"/>
          <w:lang w:eastAsia="zh-CN"/>
        </w:rPr>
        <w:t>改培橡胶林提升固碳能力情况</w:t>
      </w:r>
    </w:p>
    <w:p w14:paraId="6570D22A">
      <w:pPr>
        <w:spacing w:line="360" w:lineRule="auto"/>
        <w:ind w:firstLine="480" w:firstLineChars="200"/>
        <w:rPr>
          <w:rFonts w:eastAsia="宋体"/>
          <w:color w:val="000000"/>
          <w:lang w:eastAsia="zh-CN"/>
        </w:rPr>
      </w:pPr>
      <w:r>
        <w:rPr>
          <w:rFonts w:eastAsia="宋体"/>
          <w:color w:val="000000"/>
          <w:lang w:eastAsia="zh-CN"/>
        </w:rPr>
        <w:t>橡胶林复合经营模式生态系统的碳密度显著高于橡胶纯林</w:t>
      </w:r>
      <w:r>
        <w:rPr>
          <w:rFonts w:hint="eastAsia" w:eastAsia="宋体"/>
          <w:color w:val="000000"/>
          <w:lang w:eastAsia="zh-CN"/>
        </w:rPr>
        <w:t>，</w:t>
      </w:r>
      <w:r>
        <w:rPr>
          <w:rFonts w:eastAsia="宋体"/>
          <w:color w:val="000000"/>
          <w:lang w:eastAsia="zh-CN"/>
        </w:rPr>
        <w:t>橡胶+火力楠复合经营模式生态系统碳密度是198.07±18.37 t·hm-2，</w:t>
      </w:r>
      <w:r>
        <w:rPr>
          <w:rFonts w:hint="eastAsia" w:eastAsia="宋体"/>
          <w:color w:val="000000"/>
          <w:lang w:eastAsia="zh-CN"/>
        </w:rPr>
        <w:t>与橡胶纯林相比，</w:t>
      </w:r>
      <w:r>
        <w:rPr>
          <w:rFonts w:eastAsia="宋体"/>
          <w:color w:val="000000"/>
          <w:lang w:eastAsia="zh-CN"/>
        </w:rPr>
        <w:t>提高了38.76 t·hm-2</w:t>
      </w:r>
      <w:r>
        <w:rPr>
          <w:rFonts w:hint="eastAsia" w:eastAsia="宋体"/>
          <w:color w:val="000000"/>
          <w:lang w:eastAsia="zh-CN"/>
        </w:rPr>
        <w:t>（表1）</w:t>
      </w:r>
      <w:r>
        <w:rPr>
          <w:rFonts w:eastAsia="宋体"/>
          <w:color w:val="000000"/>
          <w:lang w:eastAsia="zh-CN"/>
        </w:rPr>
        <w:t>。</w:t>
      </w:r>
      <w:r>
        <w:rPr>
          <w:rFonts w:hint="eastAsia" w:eastAsia="宋体"/>
          <w:color w:val="000000"/>
          <w:lang w:eastAsia="zh-CN"/>
        </w:rPr>
        <w:t>与</w:t>
      </w:r>
      <w:r>
        <w:rPr>
          <w:rFonts w:eastAsia="宋体"/>
          <w:color w:val="000000"/>
          <w:lang w:eastAsia="zh-CN"/>
        </w:rPr>
        <w:t>橡胶纯林相比，橡胶复合经营模式土壤层碳密度</w:t>
      </w:r>
      <w:r>
        <w:rPr>
          <w:rFonts w:hint="eastAsia" w:eastAsia="宋体"/>
          <w:color w:val="000000"/>
          <w:lang w:eastAsia="zh-CN"/>
        </w:rPr>
        <w:t>和</w:t>
      </w:r>
      <w:r>
        <w:rPr>
          <w:rFonts w:eastAsia="宋体"/>
          <w:color w:val="000000"/>
          <w:lang w:eastAsia="zh-CN"/>
        </w:rPr>
        <w:t>乔木层碳密度均有所提高。土壤碳密度在生态系统碳密度中占比最高。</w:t>
      </w:r>
    </w:p>
    <w:p w14:paraId="343B8786">
      <w:pPr>
        <w:snapToGrid w:val="0"/>
        <w:ind w:left="361" w:hanging="361"/>
        <w:rPr>
          <w:rFonts w:eastAsia="宋体"/>
          <w:b/>
          <w:bCs/>
          <w:sz w:val="18"/>
          <w:szCs w:val="18"/>
          <w:lang w:eastAsia="zh-CN"/>
        </w:rPr>
      </w:pPr>
      <w:r>
        <w:rPr>
          <w:rFonts w:eastAsia="宋体"/>
          <w:b/>
          <w:bCs/>
          <w:sz w:val="18"/>
          <w:szCs w:val="18"/>
          <w:lang w:eastAsia="zh-CN"/>
        </w:rPr>
        <w:t>表</w:t>
      </w:r>
      <w:r>
        <w:rPr>
          <w:rFonts w:hint="eastAsia" w:eastAsia="宋体"/>
          <w:b/>
          <w:bCs/>
          <w:sz w:val="18"/>
          <w:szCs w:val="18"/>
          <w:lang w:eastAsia="zh-CN"/>
        </w:rPr>
        <w:t>1</w:t>
      </w:r>
      <w:r>
        <w:rPr>
          <w:rFonts w:eastAsia="宋体"/>
          <w:b/>
          <w:bCs/>
          <w:sz w:val="18"/>
          <w:szCs w:val="18"/>
          <w:lang w:eastAsia="zh-CN"/>
        </w:rPr>
        <w:t>生态系统碳密度分布(t·hm</w:t>
      </w:r>
      <w:r>
        <w:rPr>
          <w:rFonts w:eastAsia="宋体"/>
          <w:b/>
          <w:bCs/>
          <w:sz w:val="18"/>
          <w:szCs w:val="18"/>
          <w:vertAlign w:val="superscript"/>
          <w:lang w:eastAsia="zh-CN"/>
        </w:rPr>
        <w:t>-2</w:t>
      </w:r>
      <w:r>
        <w:rPr>
          <w:rFonts w:eastAsia="宋体"/>
          <w:b/>
          <w:bCs/>
          <w:sz w:val="18"/>
          <w:szCs w:val="18"/>
          <w:lang w:eastAsia="zh-CN"/>
        </w:rPr>
        <w:t>)和各部分占比(%)</w:t>
      </w:r>
    </w:p>
    <w:p w14:paraId="6ACAF997">
      <w:pPr>
        <w:snapToGrid w:val="0"/>
        <w:ind w:left="361" w:hanging="361"/>
        <w:rPr>
          <w:rFonts w:eastAsia="宋体"/>
          <w:b/>
          <w:bCs/>
          <w:sz w:val="18"/>
          <w:szCs w:val="18"/>
        </w:rPr>
      </w:pPr>
      <w:r>
        <w:rPr>
          <w:rFonts w:eastAsia="宋体"/>
          <w:b/>
          <w:bCs/>
          <w:sz w:val="18"/>
          <w:szCs w:val="18"/>
        </w:rPr>
        <w:t xml:space="preserve">Table </w:t>
      </w:r>
      <w:r>
        <w:rPr>
          <w:rFonts w:hint="eastAsia" w:eastAsia="宋体"/>
          <w:b/>
          <w:bCs/>
          <w:sz w:val="18"/>
          <w:szCs w:val="18"/>
          <w:lang w:eastAsia="zh-CN"/>
        </w:rPr>
        <w:t>1</w:t>
      </w:r>
      <w:r>
        <w:rPr>
          <w:rFonts w:eastAsia="宋体"/>
          <w:b/>
          <w:bCs/>
          <w:sz w:val="18"/>
          <w:szCs w:val="18"/>
        </w:rPr>
        <w:t xml:space="preserve"> Carbon density distribution (t·hm</w:t>
      </w:r>
      <w:r>
        <w:rPr>
          <w:rFonts w:eastAsia="宋体"/>
          <w:b/>
          <w:bCs/>
          <w:sz w:val="18"/>
          <w:szCs w:val="18"/>
          <w:vertAlign w:val="superscript"/>
        </w:rPr>
        <w:t>-2</w:t>
      </w:r>
      <w:r>
        <w:rPr>
          <w:rFonts w:eastAsia="宋体"/>
          <w:b/>
          <w:bCs/>
          <w:sz w:val="18"/>
          <w:szCs w:val="18"/>
        </w:rPr>
        <w:t xml:space="preserve">) and its proportion (%) from each part of ecosystems </w:t>
      </w:r>
    </w:p>
    <w:tbl>
      <w:tblPr>
        <w:tblStyle w:val="18"/>
        <w:tblW w:w="9281"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838"/>
        <w:gridCol w:w="2086"/>
        <w:gridCol w:w="1276"/>
        <w:gridCol w:w="1275"/>
        <w:gridCol w:w="1672"/>
        <w:gridCol w:w="1134"/>
      </w:tblGrid>
      <w:tr w14:paraId="4F72F2A7">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1838" w:type="dxa"/>
            <w:tcBorders>
              <w:top w:val="single" w:color="auto" w:sz="12" w:space="0"/>
              <w:bottom w:val="single" w:color="auto" w:sz="6" w:space="0"/>
              <w:right w:val="nil"/>
            </w:tcBorders>
            <w:noWrap/>
            <w:vAlign w:val="center"/>
          </w:tcPr>
          <w:p w14:paraId="07D614DD">
            <w:pPr>
              <w:ind w:left="300" w:hanging="300"/>
              <w:jc w:val="center"/>
              <w:rPr>
                <w:sz w:val="15"/>
                <w:szCs w:val="15"/>
              </w:rPr>
            </w:pPr>
            <w:r>
              <w:rPr>
                <w:sz w:val="15"/>
                <w:szCs w:val="15"/>
              </w:rPr>
              <w:t>复合经营模式</w:t>
            </w:r>
          </w:p>
          <w:p w14:paraId="3AEB1144">
            <w:pPr>
              <w:ind w:left="300" w:hanging="300"/>
              <w:jc w:val="center"/>
              <w:rPr>
                <w:sz w:val="15"/>
                <w:szCs w:val="15"/>
              </w:rPr>
            </w:pPr>
            <w:r>
              <w:rPr>
                <w:sz w:val="15"/>
                <w:szCs w:val="15"/>
              </w:rPr>
              <w:t xml:space="preserve">Compound management pattern </w:t>
            </w:r>
          </w:p>
        </w:tc>
        <w:tc>
          <w:tcPr>
            <w:tcW w:w="2086" w:type="dxa"/>
            <w:tcBorders>
              <w:top w:val="single" w:color="auto" w:sz="12" w:space="0"/>
              <w:left w:val="nil"/>
              <w:bottom w:val="single" w:color="auto" w:sz="6" w:space="0"/>
              <w:right w:val="nil"/>
            </w:tcBorders>
            <w:noWrap/>
            <w:vAlign w:val="center"/>
          </w:tcPr>
          <w:p w14:paraId="67023345">
            <w:pPr>
              <w:ind w:left="300" w:hanging="300"/>
              <w:jc w:val="center"/>
              <w:rPr>
                <w:sz w:val="15"/>
                <w:szCs w:val="15"/>
              </w:rPr>
            </w:pPr>
            <w:r>
              <w:rPr>
                <w:sz w:val="15"/>
                <w:szCs w:val="15"/>
              </w:rPr>
              <w:t>乔木层</w:t>
            </w:r>
          </w:p>
          <w:p w14:paraId="5A75C88A">
            <w:pPr>
              <w:ind w:left="300" w:hanging="300"/>
              <w:jc w:val="center"/>
              <w:rPr>
                <w:sz w:val="15"/>
                <w:szCs w:val="15"/>
              </w:rPr>
            </w:pPr>
            <w:r>
              <w:rPr>
                <w:sz w:val="15"/>
                <w:szCs w:val="15"/>
              </w:rPr>
              <w:t>Tree layer</w:t>
            </w:r>
          </w:p>
        </w:tc>
        <w:tc>
          <w:tcPr>
            <w:tcW w:w="1276" w:type="dxa"/>
            <w:tcBorders>
              <w:top w:val="single" w:color="auto" w:sz="12" w:space="0"/>
              <w:left w:val="nil"/>
              <w:bottom w:val="single" w:color="auto" w:sz="6" w:space="0"/>
              <w:right w:val="nil"/>
            </w:tcBorders>
            <w:noWrap/>
            <w:vAlign w:val="center"/>
          </w:tcPr>
          <w:p w14:paraId="739B343D">
            <w:pPr>
              <w:ind w:left="300" w:hanging="300"/>
              <w:jc w:val="center"/>
              <w:rPr>
                <w:sz w:val="15"/>
                <w:szCs w:val="15"/>
              </w:rPr>
            </w:pPr>
            <w:r>
              <w:rPr>
                <w:rFonts w:hint="eastAsia"/>
                <w:sz w:val="15"/>
                <w:szCs w:val="15"/>
              </w:rPr>
              <w:t>草本</w:t>
            </w:r>
          </w:p>
          <w:p w14:paraId="24300DC2">
            <w:pPr>
              <w:ind w:left="300" w:hanging="300"/>
              <w:jc w:val="center"/>
              <w:rPr>
                <w:sz w:val="15"/>
                <w:szCs w:val="15"/>
              </w:rPr>
            </w:pPr>
            <w:r>
              <w:rPr>
                <w:rFonts w:hint="eastAsia"/>
                <w:sz w:val="15"/>
                <w:szCs w:val="15"/>
              </w:rPr>
              <w:t>Herbaceous</w:t>
            </w:r>
          </w:p>
        </w:tc>
        <w:tc>
          <w:tcPr>
            <w:tcW w:w="1275" w:type="dxa"/>
            <w:tcBorders>
              <w:top w:val="single" w:color="auto" w:sz="12" w:space="0"/>
              <w:left w:val="nil"/>
              <w:bottom w:val="single" w:color="auto" w:sz="6" w:space="0"/>
              <w:right w:val="nil"/>
            </w:tcBorders>
            <w:noWrap/>
            <w:vAlign w:val="center"/>
          </w:tcPr>
          <w:p w14:paraId="628CA038">
            <w:pPr>
              <w:ind w:left="300" w:hanging="300"/>
              <w:jc w:val="center"/>
              <w:rPr>
                <w:sz w:val="15"/>
                <w:szCs w:val="15"/>
              </w:rPr>
            </w:pPr>
            <w:r>
              <w:rPr>
                <w:sz w:val="15"/>
                <w:szCs w:val="15"/>
              </w:rPr>
              <w:t>凋落物</w:t>
            </w:r>
          </w:p>
          <w:p w14:paraId="47EB6EE4">
            <w:pPr>
              <w:ind w:left="300" w:hanging="300"/>
              <w:jc w:val="center"/>
              <w:rPr>
                <w:sz w:val="15"/>
                <w:szCs w:val="15"/>
              </w:rPr>
            </w:pPr>
            <w:r>
              <w:rPr>
                <w:sz w:val="15"/>
                <w:szCs w:val="15"/>
              </w:rPr>
              <w:t xml:space="preserve">Litter </w:t>
            </w:r>
          </w:p>
        </w:tc>
        <w:tc>
          <w:tcPr>
            <w:tcW w:w="1672" w:type="dxa"/>
            <w:tcBorders>
              <w:top w:val="single" w:color="auto" w:sz="12" w:space="0"/>
              <w:left w:val="nil"/>
              <w:bottom w:val="single" w:color="auto" w:sz="6" w:space="0"/>
              <w:right w:val="nil"/>
            </w:tcBorders>
            <w:noWrap/>
            <w:vAlign w:val="center"/>
          </w:tcPr>
          <w:p w14:paraId="2E0A05E8">
            <w:pPr>
              <w:ind w:left="300" w:hanging="300"/>
              <w:jc w:val="center"/>
              <w:rPr>
                <w:sz w:val="15"/>
                <w:szCs w:val="15"/>
              </w:rPr>
            </w:pPr>
            <w:r>
              <w:rPr>
                <w:sz w:val="15"/>
                <w:szCs w:val="15"/>
              </w:rPr>
              <w:t>土壤</w:t>
            </w:r>
          </w:p>
          <w:p w14:paraId="51917065">
            <w:pPr>
              <w:ind w:left="300" w:hanging="300"/>
              <w:jc w:val="center"/>
              <w:rPr>
                <w:sz w:val="15"/>
                <w:szCs w:val="15"/>
              </w:rPr>
            </w:pPr>
            <w:r>
              <w:rPr>
                <w:sz w:val="15"/>
                <w:szCs w:val="15"/>
              </w:rPr>
              <w:t>Soil</w:t>
            </w:r>
          </w:p>
        </w:tc>
        <w:tc>
          <w:tcPr>
            <w:tcW w:w="1134" w:type="dxa"/>
            <w:tcBorders>
              <w:top w:val="single" w:color="auto" w:sz="12" w:space="0"/>
              <w:left w:val="nil"/>
              <w:bottom w:val="single" w:color="auto" w:sz="6" w:space="0"/>
              <w:right w:val="nil"/>
            </w:tcBorders>
            <w:noWrap/>
            <w:vAlign w:val="center"/>
          </w:tcPr>
          <w:p w14:paraId="5391A7BC">
            <w:pPr>
              <w:ind w:left="300" w:hanging="300"/>
              <w:jc w:val="center"/>
              <w:rPr>
                <w:sz w:val="15"/>
                <w:szCs w:val="15"/>
              </w:rPr>
            </w:pPr>
            <w:r>
              <w:rPr>
                <w:sz w:val="15"/>
                <w:szCs w:val="15"/>
              </w:rPr>
              <w:t>总计</w:t>
            </w:r>
          </w:p>
          <w:p w14:paraId="15DCB75C">
            <w:pPr>
              <w:ind w:left="300" w:hanging="300"/>
              <w:jc w:val="center"/>
              <w:rPr>
                <w:sz w:val="15"/>
                <w:szCs w:val="15"/>
              </w:rPr>
            </w:pPr>
            <w:r>
              <w:rPr>
                <w:sz w:val="15"/>
                <w:szCs w:val="15"/>
              </w:rPr>
              <w:t>Total</w:t>
            </w:r>
          </w:p>
        </w:tc>
      </w:tr>
      <w:tr w14:paraId="4614C618">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1838" w:type="dxa"/>
            <w:tcBorders>
              <w:top w:val="single" w:color="auto" w:sz="6" w:space="0"/>
              <w:bottom w:val="nil"/>
              <w:right w:val="nil"/>
            </w:tcBorders>
            <w:noWrap/>
            <w:vAlign w:val="center"/>
          </w:tcPr>
          <w:p w14:paraId="07D3CD48">
            <w:pPr>
              <w:ind w:left="300" w:hanging="300"/>
              <w:jc w:val="center"/>
              <w:rPr>
                <w:sz w:val="15"/>
                <w:szCs w:val="15"/>
              </w:rPr>
            </w:pPr>
            <w:r>
              <w:rPr>
                <w:sz w:val="15"/>
                <w:szCs w:val="15"/>
              </w:rPr>
              <w:t>橡胶林</w:t>
            </w:r>
          </w:p>
          <w:p w14:paraId="63770A1D">
            <w:pPr>
              <w:ind w:left="300" w:hanging="300"/>
              <w:jc w:val="center"/>
              <w:rPr>
                <w:sz w:val="15"/>
                <w:szCs w:val="15"/>
              </w:rPr>
            </w:pPr>
            <w:r>
              <w:rPr>
                <w:i/>
                <w:iCs/>
                <w:sz w:val="15"/>
                <w:szCs w:val="15"/>
              </w:rPr>
              <w:t>Hevea brasiliensis</w:t>
            </w:r>
            <w:r>
              <w:rPr>
                <w:sz w:val="15"/>
                <w:szCs w:val="15"/>
              </w:rPr>
              <w:t xml:space="preserve"> </w:t>
            </w:r>
          </w:p>
        </w:tc>
        <w:tc>
          <w:tcPr>
            <w:tcW w:w="2086" w:type="dxa"/>
            <w:tcBorders>
              <w:top w:val="single" w:color="auto" w:sz="6" w:space="0"/>
              <w:left w:val="nil"/>
              <w:bottom w:val="nil"/>
              <w:right w:val="nil"/>
            </w:tcBorders>
            <w:noWrap/>
            <w:vAlign w:val="center"/>
          </w:tcPr>
          <w:p w14:paraId="68CBD4E6">
            <w:pPr>
              <w:ind w:left="300" w:hanging="300"/>
              <w:jc w:val="center"/>
              <w:rPr>
                <w:sz w:val="15"/>
                <w:szCs w:val="15"/>
              </w:rPr>
            </w:pPr>
            <w:r>
              <w:rPr>
                <w:sz w:val="15"/>
                <w:szCs w:val="15"/>
              </w:rPr>
              <w:t>31.24±1.04 (19.61) b</w:t>
            </w:r>
          </w:p>
        </w:tc>
        <w:tc>
          <w:tcPr>
            <w:tcW w:w="1276" w:type="dxa"/>
            <w:tcBorders>
              <w:top w:val="single" w:color="auto" w:sz="6" w:space="0"/>
              <w:left w:val="nil"/>
              <w:bottom w:val="nil"/>
              <w:right w:val="nil"/>
            </w:tcBorders>
            <w:noWrap/>
            <w:vAlign w:val="center"/>
          </w:tcPr>
          <w:p w14:paraId="6EB357A4">
            <w:pPr>
              <w:ind w:left="300" w:hanging="300"/>
              <w:jc w:val="center"/>
              <w:rPr>
                <w:sz w:val="15"/>
                <w:szCs w:val="15"/>
              </w:rPr>
            </w:pPr>
            <w:r>
              <w:rPr>
                <w:sz w:val="15"/>
                <w:szCs w:val="15"/>
              </w:rPr>
              <w:t>0.08(0.05) b</w:t>
            </w:r>
          </w:p>
        </w:tc>
        <w:tc>
          <w:tcPr>
            <w:tcW w:w="1275" w:type="dxa"/>
            <w:tcBorders>
              <w:top w:val="single" w:color="auto" w:sz="6" w:space="0"/>
              <w:left w:val="nil"/>
              <w:bottom w:val="nil"/>
              <w:right w:val="nil"/>
            </w:tcBorders>
            <w:noWrap/>
            <w:vAlign w:val="center"/>
          </w:tcPr>
          <w:p w14:paraId="7136117B">
            <w:pPr>
              <w:ind w:left="300" w:hanging="300"/>
              <w:jc w:val="center"/>
              <w:rPr>
                <w:sz w:val="15"/>
                <w:szCs w:val="15"/>
              </w:rPr>
            </w:pPr>
            <w:r>
              <w:rPr>
                <w:sz w:val="15"/>
                <w:szCs w:val="15"/>
              </w:rPr>
              <w:t>0.56(0.35) b</w:t>
            </w:r>
          </w:p>
        </w:tc>
        <w:tc>
          <w:tcPr>
            <w:tcW w:w="1672" w:type="dxa"/>
            <w:tcBorders>
              <w:top w:val="single" w:color="auto" w:sz="6" w:space="0"/>
              <w:left w:val="nil"/>
              <w:bottom w:val="nil"/>
              <w:right w:val="nil"/>
            </w:tcBorders>
            <w:noWrap/>
            <w:vAlign w:val="center"/>
          </w:tcPr>
          <w:p w14:paraId="424992E5">
            <w:pPr>
              <w:ind w:left="300" w:hanging="300"/>
              <w:jc w:val="center"/>
              <w:rPr>
                <w:sz w:val="15"/>
                <w:szCs w:val="15"/>
              </w:rPr>
            </w:pPr>
            <w:r>
              <w:rPr>
                <w:sz w:val="15"/>
                <w:szCs w:val="15"/>
              </w:rPr>
              <w:t>127.44±7.51(79.99)b</w:t>
            </w:r>
          </w:p>
        </w:tc>
        <w:tc>
          <w:tcPr>
            <w:tcW w:w="1134" w:type="dxa"/>
            <w:tcBorders>
              <w:top w:val="single" w:color="auto" w:sz="6" w:space="0"/>
              <w:left w:val="nil"/>
              <w:bottom w:val="nil"/>
              <w:right w:val="nil"/>
            </w:tcBorders>
            <w:noWrap/>
            <w:vAlign w:val="center"/>
          </w:tcPr>
          <w:p w14:paraId="1B9534BC">
            <w:pPr>
              <w:ind w:left="300" w:hanging="300"/>
              <w:jc w:val="center"/>
              <w:rPr>
                <w:sz w:val="15"/>
                <w:szCs w:val="15"/>
              </w:rPr>
            </w:pPr>
            <w:r>
              <w:rPr>
                <w:sz w:val="15"/>
                <w:szCs w:val="15"/>
              </w:rPr>
              <w:t>159.31±8.55 b</w:t>
            </w:r>
          </w:p>
        </w:tc>
      </w:tr>
      <w:tr w14:paraId="7B925924">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1838" w:type="dxa"/>
            <w:tcBorders>
              <w:top w:val="nil"/>
              <w:bottom w:val="single" w:color="auto" w:sz="12" w:space="0"/>
              <w:right w:val="nil"/>
            </w:tcBorders>
            <w:noWrap/>
            <w:vAlign w:val="center"/>
          </w:tcPr>
          <w:p w14:paraId="26007098">
            <w:pPr>
              <w:ind w:left="300" w:hanging="300"/>
              <w:jc w:val="center"/>
              <w:rPr>
                <w:sz w:val="15"/>
                <w:szCs w:val="15"/>
              </w:rPr>
            </w:pPr>
            <w:r>
              <w:rPr>
                <w:sz w:val="15"/>
                <w:szCs w:val="15"/>
              </w:rPr>
              <w:t>橡胶+火力楠</w:t>
            </w:r>
          </w:p>
          <w:p w14:paraId="79EC43F1">
            <w:pPr>
              <w:ind w:left="300" w:hanging="300"/>
              <w:jc w:val="center"/>
              <w:rPr>
                <w:sz w:val="15"/>
                <w:szCs w:val="15"/>
              </w:rPr>
            </w:pPr>
            <w:r>
              <w:rPr>
                <w:i/>
                <w:iCs/>
                <w:sz w:val="15"/>
                <w:szCs w:val="15"/>
              </w:rPr>
              <w:t>Hevea brasiliensis</w:t>
            </w:r>
            <w:r>
              <w:rPr>
                <w:sz w:val="15"/>
                <w:szCs w:val="15"/>
              </w:rPr>
              <w:t xml:space="preserve"> + </w:t>
            </w:r>
            <w:r>
              <w:rPr>
                <w:i/>
                <w:iCs/>
                <w:sz w:val="15"/>
                <w:szCs w:val="15"/>
              </w:rPr>
              <w:t>Michelia macclurel</w:t>
            </w:r>
          </w:p>
        </w:tc>
        <w:tc>
          <w:tcPr>
            <w:tcW w:w="2086" w:type="dxa"/>
            <w:tcBorders>
              <w:top w:val="nil"/>
              <w:left w:val="nil"/>
              <w:bottom w:val="single" w:color="auto" w:sz="12" w:space="0"/>
              <w:right w:val="nil"/>
            </w:tcBorders>
            <w:noWrap/>
            <w:vAlign w:val="center"/>
          </w:tcPr>
          <w:p w14:paraId="77F774C0">
            <w:pPr>
              <w:ind w:left="300" w:hanging="300"/>
              <w:jc w:val="center"/>
              <w:rPr>
                <w:sz w:val="15"/>
                <w:szCs w:val="15"/>
              </w:rPr>
            </w:pPr>
            <w:r>
              <w:rPr>
                <w:sz w:val="15"/>
                <w:szCs w:val="15"/>
              </w:rPr>
              <w:t>45.84±2.51(20.84) a</w:t>
            </w:r>
          </w:p>
        </w:tc>
        <w:tc>
          <w:tcPr>
            <w:tcW w:w="1276" w:type="dxa"/>
            <w:tcBorders>
              <w:top w:val="nil"/>
              <w:left w:val="nil"/>
              <w:bottom w:val="single" w:color="auto" w:sz="12" w:space="0"/>
              <w:right w:val="nil"/>
            </w:tcBorders>
            <w:noWrap/>
            <w:vAlign w:val="center"/>
          </w:tcPr>
          <w:p w14:paraId="6B46E1DC">
            <w:pPr>
              <w:ind w:left="300" w:hanging="300"/>
              <w:jc w:val="center"/>
              <w:rPr>
                <w:sz w:val="15"/>
                <w:szCs w:val="15"/>
              </w:rPr>
            </w:pPr>
            <w:r>
              <w:rPr>
                <w:sz w:val="15"/>
                <w:szCs w:val="15"/>
              </w:rPr>
              <w:t>0.14(0.07) a</w:t>
            </w:r>
          </w:p>
        </w:tc>
        <w:tc>
          <w:tcPr>
            <w:tcW w:w="1275" w:type="dxa"/>
            <w:tcBorders>
              <w:top w:val="nil"/>
              <w:left w:val="nil"/>
              <w:bottom w:val="single" w:color="auto" w:sz="12" w:space="0"/>
              <w:right w:val="nil"/>
            </w:tcBorders>
            <w:noWrap/>
            <w:vAlign w:val="center"/>
          </w:tcPr>
          <w:p w14:paraId="1953955B">
            <w:pPr>
              <w:ind w:left="300" w:hanging="300"/>
              <w:jc w:val="center"/>
              <w:rPr>
                <w:sz w:val="15"/>
                <w:szCs w:val="15"/>
              </w:rPr>
            </w:pPr>
            <w:r>
              <w:rPr>
                <w:sz w:val="15"/>
                <w:szCs w:val="15"/>
              </w:rPr>
              <w:t>0.98(0.51) a</w:t>
            </w:r>
          </w:p>
        </w:tc>
        <w:tc>
          <w:tcPr>
            <w:tcW w:w="1672" w:type="dxa"/>
            <w:tcBorders>
              <w:top w:val="nil"/>
              <w:left w:val="nil"/>
              <w:bottom w:val="single" w:color="auto" w:sz="12" w:space="0"/>
              <w:right w:val="nil"/>
            </w:tcBorders>
            <w:noWrap/>
            <w:vAlign w:val="center"/>
          </w:tcPr>
          <w:p w14:paraId="36959535">
            <w:pPr>
              <w:ind w:left="300" w:hanging="300"/>
              <w:jc w:val="center"/>
              <w:rPr>
                <w:sz w:val="15"/>
                <w:szCs w:val="15"/>
              </w:rPr>
            </w:pPr>
            <w:r>
              <w:rPr>
                <w:sz w:val="15"/>
                <w:szCs w:val="15"/>
              </w:rPr>
              <w:t>151.11±15.86(78.58)a</w:t>
            </w:r>
          </w:p>
        </w:tc>
        <w:tc>
          <w:tcPr>
            <w:tcW w:w="1134" w:type="dxa"/>
            <w:tcBorders>
              <w:top w:val="nil"/>
              <w:left w:val="nil"/>
              <w:bottom w:val="single" w:color="auto" w:sz="12" w:space="0"/>
              <w:right w:val="nil"/>
            </w:tcBorders>
            <w:noWrap/>
            <w:vAlign w:val="center"/>
          </w:tcPr>
          <w:p w14:paraId="2389E13B">
            <w:pPr>
              <w:ind w:left="300" w:hanging="300"/>
              <w:jc w:val="center"/>
              <w:rPr>
                <w:sz w:val="15"/>
                <w:szCs w:val="15"/>
              </w:rPr>
            </w:pPr>
            <w:r>
              <w:rPr>
                <w:sz w:val="15"/>
                <w:szCs w:val="15"/>
              </w:rPr>
              <w:t>198.07±18.37 a</w:t>
            </w:r>
          </w:p>
        </w:tc>
      </w:tr>
    </w:tbl>
    <w:p w14:paraId="3872A992">
      <w:pPr>
        <w:snapToGrid w:val="0"/>
        <w:rPr>
          <w:rFonts w:eastAsia="宋体"/>
          <w:b/>
          <w:bCs/>
          <w:sz w:val="18"/>
          <w:szCs w:val="18"/>
        </w:rPr>
      </w:pPr>
      <w:r>
        <w:rPr>
          <w:rFonts w:eastAsia="宋体"/>
          <w:sz w:val="18"/>
          <w:szCs w:val="18"/>
          <w:lang w:eastAsia="zh-CN"/>
        </w:rPr>
        <w:t>注：小写字母代表不同复合经营模式差异性显著（</w:t>
      </w:r>
      <w:r>
        <w:rPr>
          <w:rFonts w:eastAsia="宋体"/>
          <w:i/>
          <w:iCs/>
          <w:sz w:val="18"/>
          <w:szCs w:val="18"/>
          <w:lang w:eastAsia="zh-CN"/>
        </w:rPr>
        <w:t>P</w:t>
      </w:r>
      <w:r>
        <w:rPr>
          <w:rFonts w:eastAsia="宋体"/>
          <w:sz w:val="18"/>
          <w:szCs w:val="18"/>
          <w:lang w:eastAsia="zh-CN"/>
        </w:rPr>
        <w:t>&lt;0.05）。括号内的数值为各部分碳密度占比。</w:t>
      </w:r>
      <w:r>
        <w:rPr>
          <w:rFonts w:eastAsia="宋体"/>
          <w:sz w:val="18"/>
          <w:szCs w:val="18"/>
        </w:rPr>
        <w:t>下同。</w:t>
      </w:r>
    </w:p>
    <w:p w14:paraId="21E02AAB">
      <w:pPr>
        <w:snapToGrid w:val="0"/>
        <w:rPr>
          <w:rFonts w:eastAsia="宋体"/>
          <w:sz w:val="18"/>
          <w:szCs w:val="18"/>
          <w:lang w:eastAsia="zh-CN"/>
        </w:rPr>
      </w:pPr>
      <w:r>
        <w:rPr>
          <w:rFonts w:eastAsia="宋体"/>
          <w:sz w:val="18"/>
          <w:szCs w:val="18"/>
        </w:rPr>
        <w:t>Note: Lowercase letters represent significant differences under different compound management patterns (</w:t>
      </w:r>
      <w:r>
        <w:rPr>
          <w:rFonts w:eastAsia="宋体"/>
          <w:i/>
          <w:iCs/>
          <w:sz w:val="18"/>
          <w:szCs w:val="18"/>
        </w:rPr>
        <w:t>P</w:t>
      </w:r>
      <w:r>
        <w:rPr>
          <w:rFonts w:eastAsia="宋体"/>
          <w:sz w:val="18"/>
          <w:szCs w:val="18"/>
        </w:rPr>
        <w:t xml:space="preserve">&lt;0.05). Data in the bracket represent the proportion of carbon density of different parts. </w:t>
      </w:r>
      <w:r>
        <w:rPr>
          <w:rFonts w:eastAsia="宋体"/>
          <w:sz w:val="18"/>
          <w:szCs w:val="18"/>
          <w:lang w:eastAsia="zh-CN"/>
        </w:rPr>
        <w:t>The same below.</w:t>
      </w:r>
    </w:p>
    <w:p w14:paraId="2FD1B9CA">
      <w:pPr>
        <w:spacing w:line="360" w:lineRule="auto"/>
        <w:rPr>
          <w:rFonts w:eastAsia="方正黑体_GBK"/>
          <w:color w:val="000000"/>
          <w:lang w:eastAsia="zh-CN"/>
        </w:rPr>
      </w:pPr>
      <w:r>
        <w:rPr>
          <w:rFonts w:hint="eastAsia" w:eastAsia="方正黑体_GBK"/>
          <w:color w:val="000000"/>
          <w:lang w:eastAsia="zh-CN"/>
        </w:rPr>
        <w:t xml:space="preserve">2.2 </w:t>
      </w:r>
      <w:r>
        <w:rPr>
          <w:rFonts w:eastAsia="方正黑体_GBK"/>
          <w:color w:val="000000"/>
          <w:lang w:eastAsia="zh-CN"/>
        </w:rPr>
        <w:t>宽窄行种植密度</w:t>
      </w:r>
      <w:r>
        <w:rPr>
          <w:rFonts w:hint="eastAsia" w:eastAsia="方正黑体_GBK"/>
          <w:color w:val="000000"/>
          <w:lang w:eastAsia="zh-CN"/>
        </w:rPr>
        <w:t>改培橡胶林提升固碳能力情况</w:t>
      </w:r>
    </w:p>
    <w:p w14:paraId="1BD141CB">
      <w:pPr>
        <w:spacing w:line="360" w:lineRule="auto"/>
        <w:ind w:firstLine="480" w:firstLineChars="200"/>
        <w:rPr>
          <w:rFonts w:eastAsia="宋体"/>
          <w:color w:val="000000"/>
          <w:lang w:eastAsia="zh-CN"/>
        </w:rPr>
      </w:pPr>
      <w:r>
        <w:rPr>
          <w:rFonts w:eastAsia="宋体"/>
          <w:color w:val="000000"/>
          <w:lang w:eastAsia="zh-CN"/>
        </w:rPr>
        <w:t>橡胶林复合经营模式生态系统的碳密度显著高于橡胶纯林</w:t>
      </w:r>
      <w:r>
        <w:rPr>
          <w:rFonts w:hint="eastAsia" w:eastAsia="宋体"/>
          <w:color w:val="000000"/>
          <w:lang w:eastAsia="zh-CN"/>
        </w:rPr>
        <w:t>，乔木改培型</w:t>
      </w:r>
      <w:r>
        <w:rPr>
          <w:rFonts w:eastAsia="宋体"/>
          <w:color w:val="000000"/>
          <w:lang w:eastAsia="zh-CN"/>
        </w:rPr>
        <w:t>提高橡胶林复合经营模式生态系统碳密度最大的模式为橡胶+肉桂（213.3±9.45 t·hm-2，提高了19.73 t·hm-2）</w:t>
      </w:r>
      <w:r>
        <w:rPr>
          <w:rFonts w:hint="eastAsia" w:eastAsia="宋体"/>
          <w:color w:val="000000"/>
          <w:lang w:eastAsia="zh-CN"/>
        </w:rPr>
        <w:t>。灌木草本改培型</w:t>
      </w:r>
      <w:r>
        <w:rPr>
          <w:rFonts w:eastAsia="宋体"/>
          <w:color w:val="000000"/>
          <w:lang w:eastAsia="zh-CN"/>
        </w:rPr>
        <w:t>提高橡胶林复合经营模式生态系统碳密度最大的模式为橡胶+益智（201.51±15.29 t·hm-2，提高了7.94 t·hm-2）</w:t>
      </w:r>
      <w:r>
        <w:rPr>
          <w:rFonts w:hint="eastAsia" w:eastAsia="宋体"/>
          <w:color w:val="000000"/>
          <w:lang w:eastAsia="zh-CN"/>
        </w:rPr>
        <w:t>。与</w:t>
      </w:r>
      <w:r>
        <w:rPr>
          <w:rFonts w:eastAsia="宋体"/>
          <w:color w:val="000000"/>
          <w:lang w:eastAsia="zh-CN"/>
        </w:rPr>
        <w:t>橡胶纯林相比，橡胶复合经营模式土壤层碳密度</w:t>
      </w:r>
      <w:r>
        <w:rPr>
          <w:rFonts w:hint="eastAsia" w:eastAsia="宋体"/>
          <w:color w:val="000000"/>
          <w:lang w:eastAsia="zh-CN"/>
        </w:rPr>
        <w:t>和</w:t>
      </w:r>
      <w:r>
        <w:rPr>
          <w:rFonts w:eastAsia="宋体"/>
          <w:color w:val="000000"/>
          <w:lang w:eastAsia="zh-CN"/>
        </w:rPr>
        <w:t>乔木层碳密度均有所提高。土壤碳密度在生态系统碳密度中占比最高。</w:t>
      </w:r>
    </w:p>
    <w:p w14:paraId="45D5C031">
      <w:pPr>
        <w:snapToGrid w:val="0"/>
        <w:ind w:left="361" w:hanging="361"/>
        <w:rPr>
          <w:rFonts w:eastAsia="宋体"/>
          <w:sz w:val="18"/>
          <w:szCs w:val="18"/>
          <w:lang w:eastAsia="zh-CN"/>
        </w:rPr>
      </w:pPr>
      <w:r>
        <w:rPr>
          <w:rFonts w:eastAsia="宋体"/>
          <w:b/>
          <w:bCs/>
          <w:sz w:val="18"/>
          <w:szCs w:val="18"/>
          <w:lang w:eastAsia="zh-CN"/>
        </w:rPr>
        <w:t>表2  生态系统碳密度分布(t·hm</w:t>
      </w:r>
      <w:r>
        <w:rPr>
          <w:rFonts w:eastAsia="宋体"/>
          <w:b/>
          <w:bCs/>
          <w:sz w:val="18"/>
          <w:szCs w:val="18"/>
          <w:vertAlign w:val="superscript"/>
          <w:lang w:eastAsia="zh-CN"/>
        </w:rPr>
        <w:t>-2</w:t>
      </w:r>
      <w:r>
        <w:rPr>
          <w:rFonts w:eastAsia="宋体"/>
          <w:b/>
          <w:bCs/>
          <w:sz w:val="18"/>
          <w:szCs w:val="18"/>
          <w:lang w:eastAsia="zh-CN"/>
        </w:rPr>
        <w:t>)和各部分占比(%)</w:t>
      </w:r>
    </w:p>
    <w:p w14:paraId="343B0187">
      <w:pPr>
        <w:snapToGrid w:val="0"/>
        <w:ind w:left="361" w:hanging="361"/>
        <w:rPr>
          <w:rFonts w:eastAsia="宋体"/>
          <w:b/>
          <w:bCs/>
          <w:sz w:val="18"/>
          <w:szCs w:val="18"/>
        </w:rPr>
      </w:pPr>
      <w:r>
        <w:rPr>
          <w:rFonts w:eastAsia="宋体"/>
          <w:b/>
          <w:bCs/>
          <w:sz w:val="18"/>
          <w:szCs w:val="18"/>
        </w:rPr>
        <w:t>Table 2 Carbon density distribution (t·hm</w:t>
      </w:r>
      <w:r>
        <w:rPr>
          <w:rFonts w:eastAsia="宋体"/>
          <w:b/>
          <w:bCs/>
          <w:sz w:val="18"/>
          <w:szCs w:val="18"/>
          <w:vertAlign w:val="superscript"/>
        </w:rPr>
        <w:t>-2</w:t>
      </w:r>
      <w:r>
        <w:rPr>
          <w:rFonts w:eastAsia="宋体"/>
          <w:b/>
          <w:bCs/>
          <w:sz w:val="18"/>
          <w:szCs w:val="18"/>
        </w:rPr>
        <w:t>) and its proportion (%) from each part of ecosystems</w:t>
      </w:r>
    </w:p>
    <w:tbl>
      <w:tblPr>
        <w:tblStyle w:val="18"/>
        <w:tblW w:w="9237" w:type="dxa"/>
        <w:jc w:val="center"/>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2093"/>
        <w:gridCol w:w="1831"/>
        <w:gridCol w:w="1276"/>
        <w:gridCol w:w="1275"/>
        <w:gridCol w:w="1628"/>
        <w:gridCol w:w="1134"/>
      </w:tblGrid>
      <w:tr w14:paraId="32EE604E">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2093" w:type="dxa"/>
            <w:tcBorders>
              <w:top w:val="single" w:color="auto" w:sz="12" w:space="0"/>
              <w:bottom w:val="single" w:color="auto" w:sz="6" w:space="0"/>
              <w:right w:val="nil"/>
            </w:tcBorders>
            <w:noWrap/>
            <w:vAlign w:val="center"/>
          </w:tcPr>
          <w:p w14:paraId="56B656D5">
            <w:pPr>
              <w:ind w:left="300" w:hanging="300"/>
              <w:jc w:val="center"/>
              <w:rPr>
                <w:sz w:val="15"/>
                <w:szCs w:val="15"/>
              </w:rPr>
            </w:pPr>
            <w:r>
              <w:rPr>
                <w:sz w:val="15"/>
                <w:szCs w:val="15"/>
              </w:rPr>
              <w:t>复合经营模式</w:t>
            </w:r>
          </w:p>
          <w:p w14:paraId="2C2E0B76">
            <w:pPr>
              <w:ind w:left="300" w:hanging="300"/>
              <w:jc w:val="center"/>
              <w:rPr>
                <w:sz w:val="15"/>
                <w:szCs w:val="15"/>
              </w:rPr>
            </w:pPr>
            <w:r>
              <w:rPr>
                <w:sz w:val="15"/>
                <w:szCs w:val="15"/>
              </w:rPr>
              <w:t xml:space="preserve">Compound management patterns </w:t>
            </w:r>
          </w:p>
        </w:tc>
        <w:tc>
          <w:tcPr>
            <w:tcW w:w="1831" w:type="dxa"/>
            <w:tcBorders>
              <w:top w:val="single" w:color="auto" w:sz="12" w:space="0"/>
              <w:left w:val="nil"/>
              <w:bottom w:val="single" w:color="auto" w:sz="6" w:space="0"/>
              <w:right w:val="nil"/>
            </w:tcBorders>
            <w:noWrap/>
            <w:vAlign w:val="center"/>
          </w:tcPr>
          <w:p w14:paraId="7D7A7EC9">
            <w:pPr>
              <w:ind w:left="300" w:hanging="300"/>
              <w:jc w:val="center"/>
              <w:rPr>
                <w:sz w:val="15"/>
                <w:szCs w:val="15"/>
              </w:rPr>
            </w:pPr>
            <w:r>
              <w:rPr>
                <w:sz w:val="15"/>
                <w:szCs w:val="15"/>
              </w:rPr>
              <w:t>乔木层</w:t>
            </w:r>
          </w:p>
          <w:p w14:paraId="5F5EEBD0">
            <w:pPr>
              <w:ind w:left="300" w:hanging="300"/>
              <w:jc w:val="center"/>
              <w:rPr>
                <w:sz w:val="15"/>
                <w:szCs w:val="15"/>
              </w:rPr>
            </w:pPr>
            <w:r>
              <w:rPr>
                <w:sz w:val="15"/>
                <w:szCs w:val="15"/>
              </w:rPr>
              <w:t>Tree layer</w:t>
            </w:r>
            <w:r>
              <w:rPr>
                <w:rFonts w:hint="eastAsia"/>
                <w:sz w:val="15"/>
                <w:szCs w:val="15"/>
              </w:rPr>
              <w:t xml:space="preserve"> </w:t>
            </w:r>
          </w:p>
        </w:tc>
        <w:tc>
          <w:tcPr>
            <w:tcW w:w="1276" w:type="dxa"/>
            <w:tcBorders>
              <w:top w:val="single" w:color="auto" w:sz="12" w:space="0"/>
              <w:left w:val="nil"/>
              <w:bottom w:val="single" w:color="auto" w:sz="6" w:space="0"/>
              <w:right w:val="nil"/>
            </w:tcBorders>
            <w:noWrap/>
            <w:vAlign w:val="center"/>
          </w:tcPr>
          <w:p w14:paraId="57898212">
            <w:pPr>
              <w:ind w:left="300" w:hanging="300"/>
              <w:jc w:val="center"/>
              <w:rPr>
                <w:sz w:val="15"/>
                <w:szCs w:val="15"/>
              </w:rPr>
            </w:pPr>
            <w:r>
              <w:rPr>
                <w:rFonts w:hint="eastAsia"/>
                <w:sz w:val="15"/>
                <w:szCs w:val="15"/>
              </w:rPr>
              <w:t>草本</w:t>
            </w:r>
          </w:p>
          <w:p w14:paraId="514FE1E0">
            <w:pPr>
              <w:ind w:left="300" w:hanging="300"/>
              <w:jc w:val="center"/>
              <w:rPr>
                <w:sz w:val="15"/>
                <w:szCs w:val="15"/>
              </w:rPr>
            </w:pPr>
            <w:r>
              <w:rPr>
                <w:rFonts w:hint="eastAsia"/>
                <w:sz w:val="15"/>
                <w:szCs w:val="15"/>
              </w:rPr>
              <w:t>Herbaceous</w:t>
            </w:r>
            <w:r>
              <w:rPr>
                <w:sz w:val="15"/>
                <w:szCs w:val="15"/>
              </w:rPr>
              <w:t xml:space="preserve"> </w:t>
            </w:r>
          </w:p>
        </w:tc>
        <w:tc>
          <w:tcPr>
            <w:tcW w:w="1275" w:type="dxa"/>
            <w:tcBorders>
              <w:top w:val="single" w:color="auto" w:sz="12" w:space="0"/>
              <w:left w:val="nil"/>
              <w:bottom w:val="single" w:color="auto" w:sz="6" w:space="0"/>
              <w:right w:val="nil"/>
            </w:tcBorders>
            <w:noWrap/>
            <w:vAlign w:val="center"/>
          </w:tcPr>
          <w:p w14:paraId="00993974">
            <w:pPr>
              <w:ind w:left="300" w:hanging="300"/>
              <w:jc w:val="center"/>
              <w:rPr>
                <w:sz w:val="15"/>
                <w:szCs w:val="15"/>
              </w:rPr>
            </w:pPr>
            <w:r>
              <w:rPr>
                <w:sz w:val="15"/>
                <w:szCs w:val="15"/>
              </w:rPr>
              <w:t>凋落物</w:t>
            </w:r>
          </w:p>
          <w:p w14:paraId="113DB9E9">
            <w:pPr>
              <w:ind w:left="300" w:hanging="300"/>
              <w:jc w:val="center"/>
              <w:rPr>
                <w:sz w:val="15"/>
                <w:szCs w:val="15"/>
              </w:rPr>
            </w:pPr>
            <w:r>
              <w:rPr>
                <w:sz w:val="15"/>
                <w:szCs w:val="15"/>
              </w:rPr>
              <w:t xml:space="preserve">Litter </w:t>
            </w:r>
          </w:p>
        </w:tc>
        <w:tc>
          <w:tcPr>
            <w:tcW w:w="1628" w:type="dxa"/>
            <w:tcBorders>
              <w:top w:val="single" w:color="auto" w:sz="12" w:space="0"/>
              <w:left w:val="nil"/>
              <w:bottom w:val="single" w:color="auto" w:sz="6" w:space="0"/>
              <w:right w:val="nil"/>
            </w:tcBorders>
            <w:noWrap/>
            <w:vAlign w:val="center"/>
          </w:tcPr>
          <w:p w14:paraId="0811DDEA">
            <w:pPr>
              <w:ind w:left="300" w:hanging="300"/>
              <w:jc w:val="center"/>
              <w:rPr>
                <w:sz w:val="15"/>
                <w:szCs w:val="15"/>
              </w:rPr>
            </w:pPr>
            <w:r>
              <w:rPr>
                <w:sz w:val="15"/>
                <w:szCs w:val="15"/>
              </w:rPr>
              <w:t>土壤</w:t>
            </w:r>
          </w:p>
          <w:p w14:paraId="307B16D0">
            <w:pPr>
              <w:ind w:left="300" w:hanging="300"/>
              <w:jc w:val="center"/>
              <w:rPr>
                <w:sz w:val="15"/>
                <w:szCs w:val="15"/>
              </w:rPr>
            </w:pPr>
            <w:r>
              <w:rPr>
                <w:sz w:val="15"/>
                <w:szCs w:val="15"/>
              </w:rPr>
              <w:t>Soil</w:t>
            </w:r>
          </w:p>
        </w:tc>
        <w:tc>
          <w:tcPr>
            <w:tcW w:w="1134" w:type="dxa"/>
            <w:tcBorders>
              <w:top w:val="single" w:color="auto" w:sz="12" w:space="0"/>
              <w:left w:val="nil"/>
              <w:bottom w:val="single" w:color="auto" w:sz="6" w:space="0"/>
              <w:right w:val="nil"/>
            </w:tcBorders>
            <w:noWrap/>
            <w:vAlign w:val="center"/>
          </w:tcPr>
          <w:p w14:paraId="7D26FF9D">
            <w:pPr>
              <w:ind w:left="300" w:hanging="300"/>
              <w:jc w:val="center"/>
              <w:rPr>
                <w:sz w:val="15"/>
                <w:szCs w:val="15"/>
              </w:rPr>
            </w:pPr>
            <w:r>
              <w:rPr>
                <w:sz w:val="15"/>
                <w:szCs w:val="15"/>
              </w:rPr>
              <w:t>总计</w:t>
            </w:r>
          </w:p>
          <w:p w14:paraId="5C292E9F">
            <w:pPr>
              <w:ind w:left="300" w:hanging="300"/>
              <w:jc w:val="center"/>
              <w:rPr>
                <w:sz w:val="15"/>
                <w:szCs w:val="15"/>
              </w:rPr>
            </w:pPr>
            <w:r>
              <w:rPr>
                <w:sz w:val="15"/>
                <w:szCs w:val="15"/>
              </w:rPr>
              <w:t>Total</w:t>
            </w:r>
          </w:p>
        </w:tc>
      </w:tr>
      <w:tr w14:paraId="78FA1C13">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2093" w:type="dxa"/>
            <w:tcBorders>
              <w:top w:val="single" w:color="auto" w:sz="6" w:space="0"/>
              <w:bottom w:val="nil"/>
              <w:right w:val="nil"/>
            </w:tcBorders>
            <w:noWrap/>
            <w:vAlign w:val="center"/>
          </w:tcPr>
          <w:p w14:paraId="7DF1624E">
            <w:pPr>
              <w:ind w:left="300" w:hanging="300"/>
              <w:jc w:val="center"/>
              <w:rPr>
                <w:sz w:val="15"/>
                <w:szCs w:val="15"/>
              </w:rPr>
            </w:pPr>
            <w:r>
              <w:rPr>
                <w:sz w:val="15"/>
                <w:szCs w:val="15"/>
              </w:rPr>
              <w:t>橡胶林</w:t>
            </w:r>
          </w:p>
          <w:p w14:paraId="30553F9A">
            <w:pPr>
              <w:ind w:left="300" w:hanging="300"/>
              <w:jc w:val="center"/>
              <w:rPr>
                <w:sz w:val="15"/>
                <w:szCs w:val="15"/>
              </w:rPr>
            </w:pPr>
            <w:r>
              <w:rPr>
                <w:i/>
                <w:iCs/>
                <w:sz w:val="15"/>
                <w:szCs w:val="15"/>
              </w:rPr>
              <w:t>Hevea brasiliensis</w:t>
            </w:r>
            <w:r>
              <w:rPr>
                <w:sz w:val="15"/>
                <w:szCs w:val="15"/>
              </w:rPr>
              <w:t xml:space="preserve"> </w:t>
            </w:r>
          </w:p>
        </w:tc>
        <w:tc>
          <w:tcPr>
            <w:tcW w:w="1831" w:type="dxa"/>
            <w:tcBorders>
              <w:top w:val="single" w:color="auto" w:sz="6" w:space="0"/>
              <w:left w:val="nil"/>
              <w:bottom w:val="nil"/>
              <w:right w:val="nil"/>
            </w:tcBorders>
            <w:noWrap/>
            <w:vAlign w:val="center"/>
          </w:tcPr>
          <w:p w14:paraId="5175B4C3">
            <w:pPr>
              <w:ind w:left="300" w:hanging="300"/>
              <w:jc w:val="center"/>
              <w:rPr>
                <w:sz w:val="15"/>
                <w:szCs w:val="15"/>
              </w:rPr>
            </w:pPr>
            <w:r>
              <w:rPr>
                <w:sz w:val="15"/>
                <w:szCs w:val="15"/>
              </w:rPr>
              <w:t>68.89±0.81 (</w:t>
            </w:r>
            <w:r>
              <w:rPr>
                <w:color w:val="000000"/>
                <w:sz w:val="15"/>
                <w:szCs w:val="15"/>
              </w:rPr>
              <w:t>37.31</w:t>
            </w:r>
            <w:r>
              <w:rPr>
                <w:sz w:val="15"/>
                <w:szCs w:val="15"/>
              </w:rPr>
              <w:t>)ab</w:t>
            </w:r>
          </w:p>
        </w:tc>
        <w:tc>
          <w:tcPr>
            <w:tcW w:w="1276" w:type="dxa"/>
            <w:tcBorders>
              <w:top w:val="single" w:color="auto" w:sz="6" w:space="0"/>
              <w:left w:val="nil"/>
              <w:bottom w:val="nil"/>
              <w:right w:val="nil"/>
            </w:tcBorders>
            <w:noWrap/>
            <w:vAlign w:val="center"/>
          </w:tcPr>
          <w:p w14:paraId="2BA47110">
            <w:pPr>
              <w:ind w:left="300" w:hanging="300"/>
              <w:jc w:val="center"/>
              <w:rPr>
                <w:sz w:val="15"/>
                <w:szCs w:val="15"/>
              </w:rPr>
            </w:pPr>
            <w:r>
              <w:rPr>
                <w:color w:val="000000"/>
                <w:sz w:val="15"/>
                <w:szCs w:val="15"/>
              </w:rPr>
              <w:t>0.06(0.03)f</w:t>
            </w:r>
          </w:p>
        </w:tc>
        <w:tc>
          <w:tcPr>
            <w:tcW w:w="1275" w:type="dxa"/>
            <w:tcBorders>
              <w:top w:val="single" w:color="auto" w:sz="6" w:space="0"/>
              <w:left w:val="nil"/>
              <w:bottom w:val="nil"/>
              <w:right w:val="nil"/>
            </w:tcBorders>
            <w:noWrap/>
            <w:vAlign w:val="center"/>
          </w:tcPr>
          <w:p w14:paraId="5E922C95">
            <w:pPr>
              <w:ind w:left="300" w:hanging="300"/>
              <w:jc w:val="center"/>
              <w:rPr>
                <w:sz w:val="15"/>
                <w:szCs w:val="15"/>
              </w:rPr>
            </w:pPr>
            <w:r>
              <w:rPr>
                <w:color w:val="000000"/>
                <w:sz w:val="15"/>
                <w:szCs w:val="15"/>
              </w:rPr>
              <w:t>0.35(0.17)g</w:t>
            </w:r>
          </w:p>
        </w:tc>
        <w:tc>
          <w:tcPr>
            <w:tcW w:w="1628" w:type="dxa"/>
            <w:tcBorders>
              <w:top w:val="single" w:color="auto" w:sz="6" w:space="0"/>
              <w:left w:val="nil"/>
              <w:bottom w:val="nil"/>
              <w:right w:val="nil"/>
            </w:tcBorders>
            <w:noWrap/>
            <w:vAlign w:val="center"/>
          </w:tcPr>
          <w:p w14:paraId="28C52BB1">
            <w:pPr>
              <w:ind w:left="300" w:hanging="300"/>
              <w:jc w:val="center"/>
              <w:rPr>
                <w:sz w:val="15"/>
                <w:szCs w:val="15"/>
              </w:rPr>
            </w:pPr>
            <w:r>
              <w:rPr>
                <w:sz w:val="15"/>
                <w:szCs w:val="15"/>
              </w:rPr>
              <w:t>124.27±4.65(</w:t>
            </w:r>
            <w:r>
              <w:rPr>
                <w:color w:val="000000"/>
                <w:sz w:val="15"/>
                <w:szCs w:val="15"/>
              </w:rPr>
              <w:t>62.49</w:t>
            </w:r>
            <w:r>
              <w:rPr>
                <w:sz w:val="15"/>
                <w:szCs w:val="15"/>
              </w:rPr>
              <w:t>)d</w:t>
            </w:r>
          </w:p>
        </w:tc>
        <w:tc>
          <w:tcPr>
            <w:tcW w:w="1134" w:type="dxa"/>
            <w:tcBorders>
              <w:top w:val="single" w:color="auto" w:sz="6" w:space="0"/>
              <w:left w:val="nil"/>
              <w:bottom w:val="nil"/>
              <w:right w:val="nil"/>
            </w:tcBorders>
            <w:noWrap/>
            <w:vAlign w:val="center"/>
          </w:tcPr>
          <w:p w14:paraId="2F29FDCB">
            <w:pPr>
              <w:ind w:left="300" w:hanging="300"/>
              <w:jc w:val="center"/>
              <w:rPr>
                <w:sz w:val="15"/>
                <w:szCs w:val="15"/>
              </w:rPr>
            </w:pPr>
            <w:r>
              <w:rPr>
                <w:sz w:val="15"/>
                <w:szCs w:val="15"/>
              </w:rPr>
              <w:t>193.57±5.46 c</w:t>
            </w:r>
          </w:p>
        </w:tc>
      </w:tr>
      <w:tr w14:paraId="704C88B8">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2093" w:type="dxa"/>
            <w:tcBorders>
              <w:top w:val="nil"/>
              <w:bottom w:val="nil"/>
              <w:right w:val="nil"/>
            </w:tcBorders>
            <w:noWrap/>
            <w:vAlign w:val="center"/>
          </w:tcPr>
          <w:p w14:paraId="2E14021C">
            <w:pPr>
              <w:ind w:left="300" w:hanging="300"/>
              <w:jc w:val="center"/>
              <w:rPr>
                <w:sz w:val="15"/>
                <w:szCs w:val="15"/>
              </w:rPr>
            </w:pPr>
            <w:r>
              <w:rPr>
                <w:sz w:val="15"/>
                <w:szCs w:val="15"/>
              </w:rPr>
              <w:t>橡胶+益智</w:t>
            </w:r>
          </w:p>
          <w:p w14:paraId="50A1B3BA">
            <w:pPr>
              <w:ind w:left="300" w:hanging="300"/>
              <w:jc w:val="center"/>
              <w:rPr>
                <w:sz w:val="15"/>
                <w:szCs w:val="15"/>
              </w:rPr>
            </w:pPr>
            <w:r>
              <w:rPr>
                <w:i/>
                <w:iCs/>
                <w:sz w:val="15"/>
                <w:szCs w:val="15"/>
              </w:rPr>
              <w:t>Hevea brasiliensis</w:t>
            </w:r>
            <w:r>
              <w:rPr>
                <w:sz w:val="15"/>
                <w:szCs w:val="15"/>
              </w:rPr>
              <w:t xml:space="preserve"> + </w:t>
            </w:r>
            <w:r>
              <w:rPr>
                <w:i/>
                <w:iCs/>
                <w:sz w:val="15"/>
                <w:szCs w:val="15"/>
              </w:rPr>
              <w:t>Alpinia oxyphylla</w:t>
            </w:r>
          </w:p>
        </w:tc>
        <w:tc>
          <w:tcPr>
            <w:tcW w:w="1831" w:type="dxa"/>
            <w:tcBorders>
              <w:top w:val="nil"/>
              <w:left w:val="nil"/>
              <w:bottom w:val="nil"/>
              <w:right w:val="nil"/>
            </w:tcBorders>
            <w:noWrap/>
            <w:vAlign w:val="center"/>
          </w:tcPr>
          <w:p w14:paraId="6678D251">
            <w:pPr>
              <w:ind w:left="300" w:hanging="300"/>
              <w:jc w:val="center"/>
              <w:rPr>
                <w:sz w:val="15"/>
                <w:szCs w:val="15"/>
              </w:rPr>
            </w:pPr>
            <w:r>
              <w:rPr>
                <w:sz w:val="15"/>
                <w:szCs w:val="15"/>
              </w:rPr>
              <w:t>57.71±5.37(28.64)d</w:t>
            </w:r>
          </w:p>
        </w:tc>
        <w:tc>
          <w:tcPr>
            <w:tcW w:w="1276" w:type="dxa"/>
            <w:tcBorders>
              <w:top w:val="nil"/>
              <w:left w:val="nil"/>
              <w:bottom w:val="nil"/>
              <w:right w:val="nil"/>
            </w:tcBorders>
            <w:noWrap/>
            <w:vAlign w:val="center"/>
          </w:tcPr>
          <w:p w14:paraId="44294EE8">
            <w:pPr>
              <w:ind w:left="300" w:hanging="300"/>
              <w:jc w:val="center"/>
              <w:rPr>
                <w:sz w:val="15"/>
                <w:szCs w:val="15"/>
              </w:rPr>
            </w:pPr>
            <w:r>
              <w:rPr>
                <w:sz w:val="15"/>
                <w:szCs w:val="15"/>
              </w:rPr>
              <w:t>0.44(0.22)a</w:t>
            </w:r>
          </w:p>
        </w:tc>
        <w:tc>
          <w:tcPr>
            <w:tcW w:w="1275" w:type="dxa"/>
            <w:tcBorders>
              <w:top w:val="nil"/>
              <w:left w:val="nil"/>
              <w:bottom w:val="nil"/>
              <w:right w:val="nil"/>
            </w:tcBorders>
            <w:noWrap/>
            <w:vAlign w:val="center"/>
          </w:tcPr>
          <w:p w14:paraId="7FC5002E">
            <w:pPr>
              <w:ind w:left="300" w:hanging="300"/>
              <w:jc w:val="center"/>
              <w:rPr>
                <w:sz w:val="15"/>
                <w:szCs w:val="15"/>
              </w:rPr>
            </w:pPr>
            <w:r>
              <w:rPr>
                <w:sz w:val="15"/>
                <w:szCs w:val="15"/>
              </w:rPr>
              <w:t>1.21(0.60)d</w:t>
            </w:r>
          </w:p>
        </w:tc>
        <w:tc>
          <w:tcPr>
            <w:tcW w:w="1628" w:type="dxa"/>
            <w:tcBorders>
              <w:top w:val="nil"/>
              <w:left w:val="nil"/>
              <w:bottom w:val="nil"/>
              <w:right w:val="nil"/>
            </w:tcBorders>
            <w:noWrap/>
            <w:vAlign w:val="center"/>
          </w:tcPr>
          <w:p w14:paraId="43A4E61D">
            <w:pPr>
              <w:ind w:left="300" w:hanging="300"/>
              <w:jc w:val="center"/>
              <w:rPr>
                <w:sz w:val="15"/>
                <w:szCs w:val="15"/>
              </w:rPr>
            </w:pPr>
            <w:r>
              <w:rPr>
                <w:sz w:val="15"/>
                <w:szCs w:val="15"/>
              </w:rPr>
              <w:t>142.15±9.92(70.54)a</w:t>
            </w:r>
          </w:p>
        </w:tc>
        <w:tc>
          <w:tcPr>
            <w:tcW w:w="1134" w:type="dxa"/>
            <w:tcBorders>
              <w:top w:val="nil"/>
              <w:left w:val="nil"/>
              <w:bottom w:val="nil"/>
              <w:right w:val="nil"/>
            </w:tcBorders>
            <w:noWrap/>
            <w:vAlign w:val="center"/>
          </w:tcPr>
          <w:p w14:paraId="281CB4B0">
            <w:pPr>
              <w:ind w:left="300" w:hanging="300"/>
              <w:jc w:val="center"/>
              <w:rPr>
                <w:sz w:val="15"/>
                <w:szCs w:val="15"/>
              </w:rPr>
            </w:pPr>
            <w:r>
              <w:rPr>
                <w:sz w:val="15"/>
                <w:szCs w:val="15"/>
              </w:rPr>
              <w:t>201.51±15.29 b</w:t>
            </w:r>
          </w:p>
        </w:tc>
      </w:tr>
      <w:tr w14:paraId="63A5698A">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2093" w:type="dxa"/>
            <w:tcBorders>
              <w:top w:val="nil"/>
              <w:bottom w:val="nil"/>
              <w:right w:val="nil"/>
            </w:tcBorders>
            <w:noWrap/>
            <w:vAlign w:val="center"/>
          </w:tcPr>
          <w:p w14:paraId="4325F14E">
            <w:pPr>
              <w:ind w:left="300" w:hanging="300"/>
              <w:jc w:val="center"/>
              <w:rPr>
                <w:sz w:val="15"/>
                <w:szCs w:val="15"/>
              </w:rPr>
            </w:pPr>
            <w:r>
              <w:rPr>
                <w:sz w:val="15"/>
                <w:szCs w:val="15"/>
              </w:rPr>
              <w:t>橡胶+草豆蔻</w:t>
            </w:r>
          </w:p>
          <w:p w14:paraId="21A71DEC">
            <w:pPr>
              <w:ind w:left="300" w:hanging="300"/>
              <w:jc w:val="center"/>
              <w:rPr>
                <w:sz w:val="15"/>
                <w:szCs w:val="15"/>
              </w:rPr>
            </w:pPr>
            <w:r>
              <w:rPr>
                <w:i/>
                <w:iCs/>
                <w:sz w:val="15"/>
                <w:szCs w:val="15"/>
              </w:rPr>
              <w:t>Hevea brasiliensis</w:t>
            </w:r>
            <w:r>
              <w:rPr>
                <w:sz w:val="15"/>
                <w:szCs w:val="15"/>
              </w:rPr>
              <w:t xml:space="preserve"> + </w:t>
            </w:r>
            <w:r>
              <w:rPr>
                <w:i/>
                <w:iCs/>
                <w:sz w:val="15"/>
                <w:szCs w:val="15"/>
              </w:rPr>
              <w:t>Alpinia katsumadai</w:t>
            </w:r>
          </w:p>
        </w:tc>
        <w:tc>
          <w:tcPr>
            <w:tcW w:w="1831" w:type="dxa"/>
            <w:tcBorders>
              <w:top w:val="nil"/>
              <w:left w:val="nil"/>
              <w:bottom w:val="nil"/>
              <w:right w:val="nil"/>
            </w:tcBorders>
            <w:noWrap/>
            <w:vAlign w:val="center"/>
          </w:tcPr>
          <w:p w14:paraId="23339F62">
            <w:pPr>
              <w:ind w:left="300" w:hanging="300"/>
              <w:jc w:val="center"/>
              <w:rPr>
                <w:sz w:val="15"/>
                <w:szCs w:val="15"/>
              </w:rPr>
            </w:pPr>
            <w:r>
              <w:rPr>
                <w:sz w:val="15"/>
                <w:szCs w:val="15"/>
              </w:rPr>
              <w:t>62.58±4.2(26.35)cd</w:t>
            </w:r>
          </w:p>
        </w:tc>
        <w:tc>
          <w:tcPr>
            <w:tcW w:w="1276" w:type="dxa"/>
            <w:tcBorders>
              <w:top w:val="nil"/>
              <w:left w:val="nil"/>
              <w:bottom w:val="nil"/>
              <w:right w:val="nil"/>
            </w:tcBorders>
            <w:noWrap/>
            <w:vAlign w:val="center"/>
          </w:tcPr>
          <w:p w14:paraId="0E76325E">
            <w:pPr>
              <w:ind w:left="300" w:hanging="300"/>
              <w:jc w:val="center"/>
              <w:rPr>
                <w:sz w:val="15"/>
                <w:szCs w:val="15"/>
              </w:rPr>
            </w:pPr>
            <w:r>
              <w:rPr>
                <w:sz w:val="15"/>
                <w:szCs w:val="15"/>
              </w:rPr>
              <w:t>0.4(0.24)b</w:t>
            </w:r>
          </w:p>
        </w:tc>
        <w:tc>
          <w:tcPr>
            <w:tcW w:w="1275" w:type="dxa"/>
            <w:tcBorders>
              <w:top w:val="nil"/>
              <w:left w:val="nil"/>
              <w:bottom w:val="nil"/>
              <w:right w:val="nil"/>
            </w:tcBorders>
            <w:noWrap/>
            <w:vAlign w:val="center"/>
          </w:tcPr>
          <w:p w14:paraId="677709BA">
            <w:pPr>
              <w:ind w:left="300" w:hanging="300"/>
              <w:jc w:val="center"/>
              <w:rPr>
                <w:sz w:val="15"/>
                <w:szCs w:val="15"/>
              </w:rPr>
            </w:pPr>
            <w:r>
              <w:rPr>
                <w:sz w:val="15"/>
                <w:szCs w:val="15"/>
              </w:rPr>
              <w:t>1.88(1.11)b</w:t>
            </w:r>
          </w:p>
        </w:tc>
        <w:tc>
          <w:tcPr>
            <w:tcW w:w="1628" w:type="dxa"/>
            <w:tcBorders>
              <w:top w:val="nil"/>
              <w:left w:val="nil"/>
              <w:bottom w:val="nil"/>
              <w:right w:val="nil"/>
            </w:tcBorders>
            <w:noWrap/>
            <w:vAlign w:val="center"/>
          </w:tcPr>
          <w:p w14:paraId="5CBD0CA5">
            <w:pPr>
              <w:ind w:left="300" w:hanging="300"/>
              <w:jc w:val="center"/>
              <w:rPr>
                <w:sz w:val="15"/>
                <w:szCs w:val="15"/>
              </w:rPr>
            </w:pPr>
            <w:r>
              <w:rPr>
                <w:sz w:val="15"/>
                <w:szCs w:val="15"/>
              </w:rPr>
              <w:t>118.13±18.97(72.31)e</w:t>
            </w:r>
          </w:p>
        </w:tc>
        <w:tc>
          <w:tcPr>
            <w:tcW w:w="1134" w:type="dxa"/>
            <w:tcBorders>
              <w:top w:val="nil"/>
              <w:left w:val="nil"/>
              <w:bottom w:val="nil"/>
              <w:right w:val="nil"/>
            </w:tcBorders>
            <w:noWrap/>
            <w:vAlign w:val="center"/>
          </w:tcPr>
          <w:p w14:paraId="5B9AFB3E">
            <w:pPr>
              <w:ind w:left="300" w:hanging="300"/>
              <w:jc w:val="center"/>
              <w:rPr>
                <w:sz w:val="15"/>
                <w:szCs w:val="15"/>
              </w:rPr>
            </w:pPr>
            <w:r>
              <w:rPr>
                <w:sz w:val="15"/>
                <w:szCs w:val="15"/>
              </w:rPr>
              <w:t>182.99±23.17 d</w:t>
            </w:r>
          </w:p>
        </w:tc>
      </w:tr>
      <w:tr w14:paraId="5DA648ED">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2093" w:type="dxa"/>
            <w:tcBorders>
              <w:top w:val="nil"/>
              <w:bottom w:val="nil"/>
              <w:right w:val="nil"/>
            </w:tcBorders>
            <w:noWrap/>
            <w:vAlign w:val="center"/>
          </w:tcPr>
          <w:p w14:paraId="5BCEC22D">
            <w:pPr>
              <w:ind w:left="300" w:hanging="300"/>
              <w:jc w:val="center"/>
              <w:rPr>
                <w:sz w:val="15"/>
                <w:szCs w:val="15"/>
              </w:rPr>
            </w:pPr>
            <w:r>
              <w:rPr>
                <w:sz w:val="15"/>
                <w:szCs w:val="15"/>
              </w:rPr>
              <w:t>橡胶+斑斓</w:t>
            </w:r>
          </w:p>
          <w:p w14:paraId="25FC1988">
            <w:pPr>
              <w:ind w:left="300" w:hanging="300"/>
              <w:jc w:val="center"/>
              <w:rPr>
                <w:sz w:val="15"/>
                <w:szCs w:val="15"/>
              </w:rPr>
            </w:pPr>
            <w:r>
              <w:rPr>
                <w:i/>
                <w:iCs/>
                <w:sz w:val="15"/>
                <w:szCs w:val="15"/>
              </w:rPr>
              <w:t>Hevea brasiliensis</w:t>
            </w:r>
            <w:r>
              <w:rPr>
                <w:sz w:val="15"/>
                <w:szCs w:val="15"/>
              </w:rPr>
              <w:t xml:space="preserve"> + </w:t>
            </w:r>
            <w:r>
              <w:rPr>
                <w:i/>
                <w:iCs/>
                <w:sz w:val="15"/>
                <w:szCs w:val="15"/>
              </w:rPr>
              <w:t>Pandanus amaryllifolius</w:t>
            </w:r>
          </w:p>
        </w:tc>
        <w:tc>
          <w:tcPr>
            <w:tcW w:w="1831" w:type="dxa"/>
            <w:tcBorders>
              <w:top w:val="nil"/>
              <w:left w:val="nil"/>
              <w:bottom w:val="nil"/>
              <w:right w:val="nil"/>
            </w:tcBorders>
            <w:noWrap/>
            <w:vAlign w:val="center"/>
          </w:tcPr>
          <w:p w14:paraId="536C406F">
            <w:pPr>
              <w:ind w:left="300" w:hanging="300"/>
              <w:jc w:val="center"/>
              <w:rPr>
                <w:sz w:val="15"/>
                <w:szCs w:val="15"/>
              </w:rPr>
            </w:pPr>
            <w:r>
              <w:rPr>
                <w:sz w:val="15"/>
                <w:szCs w:val="15"/>
              </w:rPr>
              <w:t>63.58±3.56(24.91)bcd</w:t>
            </w:r>
          </w:p>
        </w:tc>
        <w:tc>
          <w:tcPr>
            <w:tcW w:w="1276" w:type="dxa"/>
            <w:tcBorders>
              <w:top w:val="nil"/>
              <w:left w:val="nil"/>
              <w:bottom w:val="nil"/>
              <w:right w:val="nil"/>
            </w:tcBorders>
            <w:noWrap/>
            <w:vAlign w:val="center"/>
          </w:tcPr>
          <w:p w14:paraId="7AF0CDD8">
            <w:pPr>
              <w:ind w:left="300" w:hanging="300"/>
              <w:jc w:val="center"/>
              <w:rPr>
                <w:sz w:val="15"/>
                <w:szCs w:val="15"/>
              </w:rPr>
            </w:pPr>
            <w:r>
              <w:rPr>
                <w:sz w:val="15"/>
                <w:szCs w:val="15"/>
              </w:rPr>
              <w:t>0.45(0.25)a</w:t>
            </w:r>
          </w:p>
        </w:tc>
        <w:tc>
          <w:tcPr>
            <w:tcW w:w="1275" w:type="dxa"/>
            <w:tcBorders>
              <w:top w:val="nil"/>
              <w:left w:val="nil"/>
              <w:bottom w:val="nil"/>
              <w:right w:val="nil"/>
            </w:tcBorders>
            <w:noWrap/>
            <w:vAlign w:val="center"/>
          </w:tcPr>
          <w:p w14:paraId="0315CA6A">
            <w:pPr>
              <w:ind w:left="300" w:hanging="300"/>
              <w:jc w:val="center"/>
              <w:rPr>
                <w:sz w:val="15"/>
                <w:szCs w:val="15"/>
              </w:rPr>
            </w:pPr>
            <w:r>
              <w:rPr>
                <w:sz w:val="15"/>
                <w:szCs w:val="15"/>
              </w:rPr>
              <w:t>0.94(0.52)f</w:t>
            </w:r>
          </w:p>
        </w:tc>
        <w:tc>
          <w:tcPr>
            <w:tcW w:w="1628" w:type="dxa"/>
            <w:tcBorders>
              <w:top w:val="nil"/>
              <w:left w:val="nil"/>
              <w:bottom w:val="nil"/>
              <w:right w:val="nil"/>
            </w:tcBorders>
            <w:noWrap/>
            <w:vAlign w:val="center"/>
          </w:tcPr>
          <w:p w14:paraId="7602EA32">
            <w:pPr>
              <w:ind w:left="300" w:hanging="300"/>
              <w:jc w:val="center"/>
              <w:rPr>
                <w:sz w:val="15"/>
                <w:szCs w:val="15"/>
              </w:rPr>
            </w:pPr>
            <w:r>
              <w:rPr>
                <w:sz w:val="15"/>
                <w:szCs w:val="15"/>
              </w:rPr>
              <w:t>135.4±6.04(74.32)abc</w:t>
            </w:r>
          </w:p>
        </w:tc>
        <w:tc>
          <w:tcPr>
            <w:tcW w:w="1134" w:type="dxa"/>
            <w:tcBorders>
              <w:top w:val="nil"/>
              <w:left w:val="nil"/>
              <w:bottom w:val="nil"/>
              <w:right w:val="nil"/>
            </w:tcBorders>
            <w:noWrap/>
            <w:vAlign w:val="center"/>
          </w:tcPr>
          <w:p w14:paraId="68DF6804">
            <w:pPr>
              <w:ind w:left="300" w:hanging="300"/>
              <w:jc w:val="center"/>
              <w:rPr>
                <w:sz w:val="15"/>
                <w:szCs w:val="15"/>
              </w:rPr>
            </w:pPr>
            <w:r>
              <w:rPr>
                <w:sz w:val="15"/>
                <w:szCs w:val="15"/>
              </w:rPr>
              <w:t>200.37±9.6 b</w:t>
            </w:r>
          </w:p>
        </w:tc>
      </w:tr>
      <w:tr w14:paraId="19BE95BF">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2093" w:type="dxa"/>
            <w:tcBorders>
              <w:top w:val="nil"/>
              <w:bottom w:val="nil"/>
              <w:right w:val="nil"/>
            </w:tcBorders>
            <w:noWrap/>
            <w:vAlign w:val="center"/>
          </w:tcPr>
          <w:p w14:paraId="4F48A661">
            <w:pPr>
              <w:ind w:left="300" w:hanging="300"/>
              <w:jc w:val="center"/>
              <w:rPr>
                <w:sz w:val="15"/>
                <w:szCs w:val="15"/>
              </w:rPr>
            </w:pPr>
            <w:r>
              <w:rPr>
                <w:sz w:val="15"/>
                <w:szCs w:val="15"/>
              </w:rPr>
              <w:t>橡胶+可可</w:t>
            </w:r>
          </w:p>
          <w:p w14:paraId="3123C1DD">
            <w:pPr>
              <w:ind w:left="300" w:hanging="300"/>
              <w:jc w:val="center"/>
              <w:rPr>
                <w:sz w:val="15"/>
                <w:szCs w:val="15"/>
              </w:rPr>
            </w:pPr>
            <w:r>
              <w:rPr>
                <w:i/>
                <w:iCs/>
                <w:sz w:val="15"/>
                <w:szCs w:val="15"/>
              </w:rPr>
              <w:t>Hevea brasiliensis</w:t>
            </w:r>
            <w:r>
              <w:rPr>
                <w:sz w:val="15"/>
                <w:szCs w:val="15"/>
              </w:rPr>
              <w:t xml:space="preserve"> +</w:t>
            </w:r>
            <w:r>
              <w:rPr>
                <w:szCs w:val="22"/>
              </w:rPr>
              <w:t xml:space="preserve"> </w:t>
            </w:r>
            <w:r>
              <w:rPr>
                <w:i/>
                <w:iCs/>
                <w:sz w:val="15"/>
                <w:szCs w:val="15"/>
              </w:rPr>
              <w:t>Theobroma cacao</w:t>
            </w:r>
          </w:p>
        </w:tc>
        <w:tc>
          <w:tcPr>
            <w:tcW w:w="1831" w:type="dxa"/>
            <w:tcBorders>
              <w:top w:val="nil"/>
              <w:left w:val="nil"/>
              <w:bottom w:val="nil"/>
              <w:right w:val="nil"/>
            </w:tcBorders>
            <w:noWrap/>
            <w:vAlign w:val="center"/>
          </w:tcPr>
          <w:p w14:paraId="43D100F8">
            <w:pPr>
              <w:ind w:left="300" w:hanging="300"/>
              <w:jc w:val="center"/>
              <w:rPr>
                <w:sz w:val="15"/>
                <w:szCs w:val="15"/>
              </w:rPr>
            </w:pPr>
            <w:r>
              <w:rPr>
                <w:sz w:val="15"/>
                <w:szCs w:val="15"/>
              </w:rPr>
              <w:t>55.92±1.98(24.45)d</w:t>
            </w:r>
          </w:p>
        </w:tc>
        <w:tc>
          <w:tcPr>
            <w:tcW w:w="1276" w:type="dxa"/>
            <w:tcBorders>
              <w:top w:val="nil"/>
              <w:left w:val="nil"/>
              <w:bottom w:val="nil"/>
              <w:right w:val="nil"/>
            </w:tcBorders>
            <w:noWrap/>
            <w:vAlign w:val="center"/>
          </w:tcPr>
          <w:p w14:paraId="441F0116">
            <w:pPr>
              <w:ind w:left="300" w:hanging="300"/>
              <w:jc w:val="center"/>
              <w:rPr>
                <w:sz w:val="15"/>
                <w:szCs w:val="15"/>
              </w:rPr>
            </w:pPr>
            <w:r>
              <w:rPr>
                <w:sz w:val="15"/>
                <w:szCs w:val="15"/>
              </w:rPr>
              <w:t>0.23(0.12)e</w:t>
            </w:r>
          </w:p>
        </w:tc>
        <w:tc>
          <w:tcPr>
            <w:tcW w:w="1275" w:type="dxa"/>
            <w:tcBorders>
              <w:top w:val="nil"/>
              <w:left w:val="nil"/>
              <w:bottom w:val="nil"/>
              <w:right w:val="nil"/>
            </w:tcBorders>
            <w:noWrap/>
            <w:vAlign w:val="center"/>
          </w:tcPr>
          <w:p w14:paraId="74797E68">
            <w:pPr>
              <w:ind w:left="300" w:hanging="300"/>
              <w:jc w:val="center"/>
              <w:rPr>
                <w:sz w:val="15"/>
                <w:szCs w:val="15"/>
              </w:rPr>
            </w:pPr>
            <w:r>
              <w:rPr>
                <w:sz w:val="15"/>
                <w:szCs w:val="15"/>
              </w:rPr>
              <w:t>1.4(0.76)c</w:t>
            </w:r>
          </w:p>
        </w:tc>
        <w:tc>
          <w:tcPr>
            <w:tcW w:w="1628" w:type="dxa"/>
            <w:tcBorders>
              <w:top w:val="nil"/>
              <w:left w:val="nil"/>
              <w:bottom w:val="nil"/>
              <w:right w:val="nil"/>
            </w:tcBorders>
            <w:noWrap/>
            <w:vAlign w:val="center"/>
          </w:tcPr>
          <w:p w14:paraId="73F35EAE">
            <w:pPr>
              <w:ind w:left="300" w:hanging="300"/>
              <w:jc w:val="center"/>
              <w:rPr>
                <w:sz w:val="15"/>
                <w:szCs w:val="15"/>
              </w:rPr>
            </w:pPr>
            <w:r>
              <w:rPr>
                <w:sz w:val="15"/>
                <w:szCs w:val="15"/>
              </w:rPr>
              <w:t>138.31±12.1(74.67)ab</w:t>
            </w:r>
          </w:p>
        </w:tc>
        <w:tc>
          <w:tcPr>
            <w:tcW w:w="1134" w:type="dxa"/>
            <w:tcBorders>
              <w:top w:val="nil"/>
              <w:left w:val="nil"/>
              <w:bottom w:val="nil"/>
              <w:right w:val="nil"/>
            </w:tcBorders>
            <w:noWrap/>
            <w:vAlign w:val="center"/>
          </w:tcPr>
          <w:p w14:paraId="5A841FA3">
            <w:pPr>
              <w:ind w:left="300" w:hanging="300"/>
              <w:jc w:val="center"/>
              <w:rPr>
                <w:sz w:val="15"/>
                <w:szCs w:val="15"/>
              </w:rPr>
            </w:pPr>
            <w:r>
              <w:rPr>
                <w:sz w:val="15"/>
                <w:szCs w:val="15"/>
              </w:rPr>
              <w:t>195.86±14.08 bc</w:t>
            </w:r>
          </w:p>
        </w:tc>
      </w:tr>
      <w:tr w14:paraId="49624379">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2093" w:type="dxa"/>
            <w:tcBorders>
              <w:top w:val="nil"/>
              <w:bottom w:val="nil"/>
              <w:right w:val="nil"/>
            </w:tcBorders>
            <w:noWrap/>
            <w:vAlign w:val="center"/>
          </w:tcPr>
          <w:p w14:paraId="3F837895">
            <w:pPr>
              <w:ind w:left="300" w:hanging="300"/>
              <w:jc w:val="center"/>
              <w:rPr>
                <w:sz w:val="15"/>
                <w:szCs w:val="15"/>
              </w:rPr>
            </w:pPr>
            <w:r>
              <w:rPr>
                <w:sz w:val="15"/>
                <w:szCs w:val="15"/>
              </w:rPr>
              <w:t>橡胶+咖啡</w:t>
            </w:r>
          </w:p>
          <w:p w14:paraId="31B5CED0">
            <w:pPr>
              <w:ind w:left="300" w:hanging="300"/>
              <w:jc w:val="center"/>
              <w:rPr>
                <w:sz w:val="15"/>
                <w:szCs w:val="15"/>
              </w:rPr>
            </w:pPr>
            <w:r>
              <w:rPr>
                <w:i/>
                <w:iCs/>
                <w:sz w:val="15"/>
                <w:szCs w:val="15"/>
              </w:rPr>
              <w:t>Hevea brasiliensis</w:t>
            </w:r>
            <w:r>
              <w:rPr>
                <w:sz w:val="15"/>
                <w:szCs w:val="15"/>
              </w:rPr>
              <w:t xml:space="preserve"> +</w:t>
            </w:r>
            <w:r>
              <w:rPr>
                <w:szCs w:val="22"/>
              </w:rPr>
              <w:t xml:space="preserve"> </w:t>
            </w:r>
            <w:r>
              <w:rPr>
                <w:i/>
                <w:iCs/>
                <w:sz w:val="15"/>
                <w:szCs w:val="15"/>
              </w:rPr>
              <w:t>Coffea arabica</w:t>
            </w:r>
          </w:p>
        </w:tc>
        <w:tc>
          <w:tcPr>
            <w:tcW w:w="1831" w:type="dxa"/>
            <w:tcBorders>
              <w:top w:val="nil"/>
              <w:left w:val="nil"/>
              <w:bottom w:val="nil"/>
              <w:right w:val="nil"/>
            </w:tcBorders>
            <w:noWrap/>
            <w:vAlign w:val="center"/>
          </w:tcPr>
          <w:p w14:paraId="26CBBD82">
            <w:pPr>
              <w:ind w:left="300" w:hanging="300"/>
              <w:jc w:val="center"/>
              <w:rPr>
                <w:sz w:val="15"/>
                <w:szCs w:val="15"/>
              </w:rPr>
            </w:pPr>
            <w:r>
              <w:rPr>
                <w:sz w:val="15"/>
                <w:szCs w:val="15"/>
              </w:rPr>
              <w:t>65.93±3.41(26.33)bc</w:t>
            </w:r>
          </w:p>
        </w:tc>
        <w:tc>
          <w:tcPr>
            <w:tcW w:w="1276" w:type="dxa"/>
            <w:tcBorders>
              <w:top w:val="nil"/>
              <w:left w:val="nil"/>
              <w:bottom w:val="nil"/>
              <w:right w:val="nil"/>
            </w:tcBorders>
            <w:noWrap/>
            <w:vAlign w:val="center"/>
          </w:tcPr>
          <w:p w14:paraId="7131E3B0">
            <w:pPr>
              <w:ind w:left="300" w:hanging="300"/>
              <w:jc w:val="center"/>
              <w:rPr>
                <w:sz w:val="15"/>
                <w:szCs w:val="15"/>
              </w:rPr>
            </w:pPr>
            <w:r>
              <w:rPr>
                <w:sz w:val="15"/>
                <w:szCs w:val="15"/>
              </w:rPr>
              <w:t>0.28(0.15)d</w:t>
            </w:r>
          </w:p>
        </w:tc>
        <w:tc>
          <w:tcPr>
            <w:tcW w:w="1275" w:type="dxa"/>
            <w:tcBorders>
              <w:top w:val="nil"/>
              <w:left w:val="nil"/>
              <w:bottom w:val="nil"/>
              <w:right w:val="nil"/>
            </w:tcBorders>
            <w:noWrap/>
            <w:vAlign w:val="center"/>
          </w:tcPr>
          <w:p w14:paraId="21F8D15F">
            <w:pPr>
              <w:ind w:left="300" w:hanging="300"/>
              <w:jc w:val="center"/>
              <w:rPr>
                <w:sz w:val="15"/>
                <w:szCs w:val="15"/>
              </w:rPr>
            </w:pPr>
            <w:r>
              <w:rPr>
                <w:sz w:val="15"/>
                <w:szCs w:val="15"/>
              </w:rPr>
              <w:t>1.17(0.65)e</w:t>
            </w:r>
          </w:p>
        </w:tc>
        <w:tc>
          <w:tcPr>
            <w:tcW w:w="1628" w:type="dxa"/>
            <w:tcBorders>
              <w:top w:val="nil"/>
              <w:left w:val="nil"/>
              <w:bottom w:val="nil"/>
              <w:right w:val="nil"/>
            </w:tcBorders>
            <w:noWrap/>
            <w:vAlign w:val="center"/>
          </w:tcPr>
          <w:p w14:paraId="6184FBDB">
            <w:pPr>
              <w:ind w:left="300" w:hanging="300"/>
              <w:jc w:val="center"/>
              <w:rPr>
                <w:sz w:val="15"/>
                <w:szCs w:val="15"/>
              </w:rPr>
            </w:pPr>
            <w:r>
              <w:rPr>
                <w:sz w:val="15"/>
                <w:szCs w:val="15"/>
              </w:rPr>
              <w:t>131.85±5.08(72.87)cd</w:t>
            </w:r>
          </w:p>
        </w:tc>
        <w:tc>
          <w:tcPr>
            <w:tcW w:w="1134" w:type="dxa"/>
            <w:tcBorders>
              <w:top w:val="nil"/>
              <w:left w:val="nil"/>
              <w:bottom w:val="nil"/>
              <w:right w:val="nil"/>
            </w:tcBorders>
            <w:noWrap/>
            <w:vAlign w:val="center"/>
          </w:tcPr>
          <w:p w14:paraId="45BEF24D">
            <w:pPr>
              <w:ind w:left="300" w:hanging="300"/>
              <w:jc w:val="center"/>
              <w:rPr>
                <w:sz w:val="15"/>
                <w:szCs w:val="15"/>
              </w:rPr>
            </w:pPr>
            <w:r>
              <w:rPr>
                <w:sz w:val="15"/>
                <w:szCs w:val="15"/>
              </w:rPr>
              <w:t>199.23±8.46 bc</w:t>
            </w:r>
          </w:p>
        </w:tc>
      </w:tr>
      <w:tr w14:paraId="21C15423">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2093" w:type="dxa"/>
            <w:tcBorders>
              <w:top w:val="nil"/>
              <w:bottom w:val="single" w:color="auto" w:sz="12" w:space="0"/>
              <w:right w:val="nil"/>
            </w:tcBorders>
            <w:noWrap/>
            <w:vAlign w:val="center"/>
          </w:tcPr>
          <w:p w14:paraId="59C34814">
            <w:pPr>
              <w:ind w:left="300" w:hanging="300"/>
              <w:jc w:val="center"/>
              <w:rPr>
                <w:sz w:val="15"/>
                <w:szCs w:val="15"/>
              </w:rPr>
            </w:pPr>
            <w:r>
              <w:rPr>
                <w:sz w:val="15"/>
                <w:szCs w:val="15"/>
              </w:rPr>
              <w:t>橡胶+肉桂</w:t>
            </w:r>
          </w:p>
          <w:p w14:paraId="33B12047">
            <w:pPr>
              <w:ind w:left="300" w:hanging="300"/>
              <w:jc w:val="center"/>
              <w:rPr>
                <w:sz w:val="15"/>
                <w:szCs w:val="15"/>
              </w:rPr>
            </w:pPr>
            <w:r>
              <w:rPr>
                <w:i/>
                <w:iCs/>
                <w:sz w:val="15"/>
                <w:szCs w:val="15"/>
              </w:rPr>
              <w:t>Hevea brasiliensis</w:t>
            </w:r>
            <w:r>
              <w:rPr>
                <w:sz w:val="15"/>
                <w:szCs w:val="15"/>
              </w:rPr>
              <w:t xml:space="preserve"> +</w:t>
            </w:r>
            <w:r>
              <w:rPr>
                <w:szCs w:val="22"/>
              </w:rPr>
              <w:t xml:space="preserve"> </w:t>
            </w:r>
            <w:r>
              <w:rPr>
                <w:i/>
                <w:iCs/>
                <w:sz w:val="15"/>
                <w:szCs w:val="15"/>
              </w:rPr>
              <w:t>Cinnamomum cassia</w:t>
            </w:r>
          </w:p>
        </w:tc>
        <w:tc>
          <w:tcPr>
            <w:tcW w:w="1831" w:type="dxa"/>
            <w:tcBorders>
              <w:top w:val="nil"/>
              <w:left w:val="nil"/>
              <w:bottom w:val="single" w:color="auto" w:sz="12" w:space="0"/>
              <w:right w:val="nil"/>
            </w:tcBorders>
            <w:noWrap/>
            <w:vAlign w:val="center"/>
          </w:tcPr>
          <w:p w14:paraId="2D3004AF">
            <w:pPr>
              <w:ind w:left="300" w:hanging="300"/>
              <w:jc w:val="center"/>
              <w:rPr>
                <w:sz w:val="15"/>
                <w:szCs w:val="15"/>
              </w:rPr>
            </w:pPr>
            <w:r>
              <w:rPr>
                <w:sz w:val="15"/>
                <w:szCs w:val="15"/>
              </w:rPr>
              <w:t>77.72±2.48(29.74)a</w:t>
            </w:r>
          </w:p>
        </w:tc>
        <w:tc>
          <w:tcPr>
            <w:tcW w:w="1276" w:type="dxa"/>
            <w:tcBorders>
              <w:top w:val="nil"/>
              <w:left w:val="nil"/>
              <w:bottom w:val="single" w:color="auto" w:sz="12" w:space="0"/>
              <w:right w:val="nil"/>
            </w:tcBorders>
            <w:noWrap/>
            <w:vAlign w:val="center"/>
          </w:tcPr>
          <w:p w14:paraId="26306C97">
            <w:pPr>
              <w:ind w:left="300" w:hanging="300"/>
              <w:jc w:val="center"/>
              <w:rPr>
                <w:sz w:val="15"/>
                <w:szCs w:val="15"/>
              </w:rPr>
            </w:pPr>
            <w:r>
              <w:rPr>
                <w:sz w:val="15"/>
                <w:szCs w:val="15"/>
              </w:rPr>
              <w:t>0.32(0.17)c</w:t>
            </w:r>
          </w:p>
        </w:tc>
        <w:tc>
          <w:tcPr>
            <w:tcW w:w="1275" w:type="dxa"/>
            <w:tcBorders>
              <w:top w:val="nil"/>
              <w:left w:val="nil"/>
              <w:bottom w:val="single" w:color="auto" w:sz="12" w:space="0"/>
              <w:right w:val="nil"/>
            </w:tcBorders>
            <w:noWrap/>
            <w:vAlign w:val="center"/>
          </w:tcPr>
          <w:p w14:paraId="2AC2AD7B">
            <w:pPr>
              <w:ind w:left="300" w:hanging="300"/>
              <w:jc w:val="center"/>
              <w:rPr>
                <w:sz w:val="15"/>
                <w:szCs w:val="15"/>
              </w:rPr>
            </w:pPr>
            <w:r>
              <w:rPr>
                <w:sz w:val="15"/>
                <w:szCs w:val="15"/>
              </w:rPr>
              <w:t>2.22(1.15)a</w:t>
            </w:r>
          </w:p>
        </w:tc>
        <w:tc>
          <w:tcPr>
            <w:tcW w:w="1628" w:type="dxa"/>
            <w:tcBorders>
              <w:top w:val="nil"/>
              <w:left w:val="nil"/>
              <w:bottom w:val="single" w:color="auto" w:sz="12" w:space="0"/>
              <w:right w:val="nil"/>
            </w:tcBorders>
            <w:noWrap/>
            <w:vAlign w:val="center"/>
          </w:tcPr>
          <w:p w14:paraId="09860C3F">
            <w:pPr>
              <w:ind w:left="300" w:hanging="300"/>
              <w:jc w:val="center"/>
              <w:rPr>
                <w:sz w:val="15"/>
                <w:szCs w:val="15"/>
              </w:rPr>
            </w:pPr>
            <w:r>
              <w:rPr>
                <w:sz w:val="15"/>
                <w:szCs w:val="15"/>
              </w:rPr>
              <w:t>133.04±6.97(68.94)bcd</w:t>
            </w:r>
          </w:p>
        </w:tc>
        <w:tc>
          <w:tcPr>
            <w:tcW w:w="1134" w:type="dxa"/>
            <w:tcBorders>
              <w:top w:val="nil"/>
              <w:left w:val="nil"/>
              <w:bottom w:val="single" w:color="auto" w:sz="12" w:space="0"/>
              <w:right w:val="nil"/>
            </w:tcBorders>
            <w:noWrap/>
            <w:vAlign w:val="center"/>
          </w:tcPr>
          <w:p w14:paraId="76908814">
            <w:pPr>
              <w:ind w:left="300" w:hanging="300"/>
              <w:jc w:val="center"/>
              <w:rPr>
                <w:sz w:val="15"/>
                <w:szCs w:val="15"/>
              </w:rPr>
            </w:pPr>
            <w:r>
              <w:rPr>
                <w:sz w:val="15"/>
                <w:szCs w:val="15"/>
              </w:rPr>
              <w:t>213.3±9.45 a</w:t>
            </w:r>
          </w:p>
        </w:tc>
      </w:tr>
    </w:tbl>
    <w:p w14:paraId="10C599B6">
      <w:pPr>
        <w:snapToGrid w:val="0"/>
        <w:rPr>
          <w:rFonts w:eastAsia="宋体"/>
          <w:b/>
          <w:bCs/>
          <w:sz w:val="18"/>
          <w:szCs w:val="18"/>
        </w:rPr>
      </w:pPr>
      <w:r>
        <w:rPr>
          <w:rFonts w:eastAsia="宋体"/>
          <w:sz w:val="18"/>
          <w:szCs w:val="18"/>
          <w:lang w:eastAsia="zh-CN"/>
        </w:rPr>
        <w:t>注：小写字母代表不同复合经营模式差异性显著（</w:t>
      </w:r>
      <w:r>
        <w:rPr>
          <w:rFonts w:eastAsia="宋体"/>
          <w:i/>
          <w:iCs/>
          <w:sz w:val="18"/>
          <w:szCs w:val="18"/>
          <w:lang w:eastAsia="zh-CN"/>
        </w:rPr>
        <w:t>P</w:t>
      </w:r>
      <w:r>
        <w:rPr>
          <w:rFonts w:eastAsia="宋体"/>
          <w:sz w:val="18"/>
          <w:szCs w:val="18"/>
          <w:lang w:eastAsia="zh-CN"/>
        </w:rPr>
        <w:t>&lt;0.05）。括号内的数值为各部分碳密度占比。</w:t>
      </w:r>
      <w:r>
        <w:rPr>
          <w:rFonts w:eastAsia="宋体"/>
          <w:sz w:val="18"/>
          <w:szCs w:val="18"/>
        </w:rPr>
        <w:t>下同。</w:t>
      </w:r>
    </w:p>
    <w:p w14:paraId="07A68A2D">
      <w:pPr>
        <w:snapToGrid w:val="0"/>
        <w:rPr>
          <w:rFonts w:eastAsia="宋体"/>
          <w:sz w:val="18"/>
          <w:szCs w:val="18"/>
          <w:lang w:eastAsia="zh-CN"/>
        </w:rPr>
      </w:pPr>
      <w:r>
        <w:rPr>
          <w:rFonts w:eastAsia="宋体"/>
          <w:sz w:val="18"/>
          <w:szCs w:val="18"/>
        </w:rPr>
        <w:t>Note: Lowercase letters represent significant differences under different compound management patterns (</w:t>
      </w:r>
      <w:r>
        <w:rPr>
          <w:rFonts w:eastAsia="宋体"/>
          <w:i/>
          <w:iCs/>
          <w:sz w:val="18"/>
          <w:szCs w:val="18"/>
        </w:rPr>
        <w:t>P</w:t>
      </w:r>
      <w:r>
        <w:rPr>
          <w:rFonts w:eastAsia="宋体"/>
          <w:sz w:val="18"/>
          <w:szCs w:val="18"/>
        </w:rPr>
        <w:t xml:space="preserve">&lt;0.05). Data in the bracket represent the proportion of carbon density of different parts. </w:t>
      </w:r>
      <w:r>
        <w:rPr>
          <w:rFonts w:eastAsia="宋体"/>
          <w:sz w:val="18"/>
          <w:szCs w:val="18"/>
          <w:lang w:eastAsia="zh-CN"/>
        </w:rPr>
        <w:t>The same below.</w:t>
      </w:r>
    </w:p>
    <w:p w14:paraId="66A1A4AD">
      <w:pPr>
        <w:spacing w:before="156" w:beforeLines="50" w:line="360" w:lineRule="auto"/>
        <w:rPr>
          <w:rFonts w:hint="eastAsia" w:ascii="宋体" w:hAnsi="宋体" w:eastAsia="宋体"/>
          <w:bCs/>
          <w:lang w:eastAsia="zh-CN"/>
        </w:rPr>
      </w:pPr>
    </w:p>
    <w:p w14:paraId="55A2CBB7">
      <w:pPr>
        <w:spacing w:before="156" w:beforeLines="50" w:line="360" w:lineRule="auto"/>
        <w:rPr>
          <w:rFonts w:hint="eastAsia" w:ascii="黑体" w:hAnsi="黑体" w:eastAsia="黑体"/>
          <w:b/>
          <w:lang w:eastAsia="zh-CN"/>
        </w:rPr>
      </w:pPr>
      <w:r>
        <w:rPr>
          <w:rFonts w:hint="eastAsia" w:ascii="黑体" w:hAnsi="黑体" w:eastAsia="黑体"/>
          <w:b/>
          <w:lang w:eastAsia="zh-CN"/>
        </w:rPr>
        <w:t>（五）标准中如果涉及专利，应有明确的知识产权说明</w:t>
      </w:r>
    </w:p>
    <w:p w14:paraId="616E1AE6">
      <w:pPr>
        <w:spacing w:before="156" w:beforeLines="50" w:line="360" w:lineRule="auto"/>
        <w:ind w:firstLine="720" w:firstLineChars="300"/>
        <w:rPr>
          <w:rFonts w:hint="eastAsia" w:ascii="宋体" w:hAnsi="宋体" w:eastAsia="宋体"/>
          <w:bCs/>
          <w:lang w:eastAsia="zh-CN"/>
        </w:rPr>
      </w:pPr>
      <w:r>
        <w:rPr>
          <w:rFonts w:ascii="宋体" w:hAnsi="宋体" w:eastAsia="宋体"/>
          <w:bCs/>
          <w:lang w:eastAsia="zh-CN"/>
        </w:rPr>
        <w:t>无。</w:t>
      </w:r>
    </w:p>
    <w:p w14:paraId="580AC737">
      <w:pPr>
        <w:spacing w:before="156" w:beforeLines="50" w:line="360" w:lineRule="auto"/>
        <w:rPr>
          <w:rFonts w:hint="eastAsia" w:ascii="黑体" w:hAnsi="黑体" w:eastAsia="黑体"/>
          <w:b/>
          <w:lang w:eastAsia="zh-CN"/>
        </w:rPr>
      </w:pPr>
      <w:r>
        <w:rPr>
          <w:rFonts w:hint="eastAsia" w:ascii="黑体" w:hAnsi="黑体" w:eastAsia="黑体"/>
          <w:b/>
          <w:lang w:eastAsia="zh-CN"/>
        </w:rPr>
        <w:t>（六）采用国际标准或国外先进标准的，说明采标程度，以及国内外同类标准水平的对比情况</w:t>
      </w:r>
    </w:p>
    <w:p w14:paraId="109A60A1">
      <w:pPr>
        <w:spacing w:line="360" w:lineRule="auto"/>
        <w:ind w:firstLine="480" w:firstLineChars="200"/>
        <w:rPr>
          <w:rFonts w:eastAsia="宋体"/>
          <w:color w:val="000000"/>
          <w:lang w:eastAsia="zh-CN"/>
        </w:rPr>
      </w:pPr>
      <w:r>
        <w:rPr>
          <w:rFonts w:hint="eastAsia" w:eastAsia="宋体"/>
          <w:color w:val="000000"/>
          <w:lang w:eastAsia="zh-CN"/>
        </w:rPr>
        <w:t>与国际上提升和稳定混交林生态系统碳汇比较发达的欧美及俄罗斯等国家相比，在改培橡胶林提升固碳能力技术的使用上趋于国际惯例和水准；针对海南独特的橡胶林急需改造的事实，以及海南多年来积累的橡胶林改培经验，本标准在改培橡胶林提升固碳能力技术方法的要求上更多地考虑海南的实际。</w:t>
      </w:r>
    </w:p>
    <w:p w14:paraId="0D79CB32">
      <w:pPr>
        <w:spacing w:line="360" w:lineRule="auto"/>
        <w:ind w:firstLine="480" w:firstLineChars="200"/>
        <w:rPr>
          <w:rFonts w:eastAsia="宋体"/>
          <w:color w:val="000000"/>
          <w:lang w:eastAsia="zh-CN"/>
        </w:rPr>
      </w:pPr>
      <w:r>
        <w:rPr>
          <w:rFonts w:hint="eastAsia" w:eastAsia="宋体"/>
          <w:color w:val="000000"/>
          <w:lang w:eastAsia="zh-CN"/>
        </w:rPr>
        <w:t>本标准特点：</w:t>
      </w:r>
    </w:p>
    <w:p w14:paraId="1474F450">
      <w:pPr>
        <w:spacing w:line="360" w:lineRule="auto"/>
        <w:ind w:firstLine="480" w:firstLineChars="200"/>
        <w:rPr>
          <w:rFonts w:eastAsia="宋体"/>
          <w:color w:val="000000"/>
          <w:lang w:eastAsia="zh-CN"/>
        </w:rPr>
      </w:pPr>
      <w:r>
        <w:rPr>
          <w:rFonts w:eastAsia="宋体"/>
          <w:color w:val="000000"/>
          <w:lang w:eastAsia="zh-CN"/>
        </w:rPr>
        <w:t xml:space="preserve">1. </w:t>
      </w:r>
      <w:r>
        <w:rPr>
          <w:rFonts w:hint="eastAsia" w:eastAsia="宋体"/>
          <w:color w:val="000000"/>
          <w:lang w:eastAsia="zh-CN"/>
        </w:rPr>
        <w:t>橡胶林以常规种植密度和宽窄行种植密度两种模式为主，分别针对这两种模式对橡胶林进行改培，利用与珍贵的乡土树种混种的技术，达到提升和稳定生态系统固碳能力的目的。</w:t>
      </w:r>
    </w:p>
    <w:p w14:paraId="65CD6EE9">
      <w:pPr>
        <w:spacing w:line="360" w:lineRule="auto"/>
        <w:ind w:firstLine="480" w:firstLineChars="200"/>
        <w:rPr>
          <w:rFonts w:eastAsia="宋体"/>
          <w:color w:val="000000"/>
          <w:lang w:eastAsia="zh-CN"/>
        </w:rPr>
      </w:pPr>
      <w:r>
        <w:rPr>
          <w:rFonts w:hint="eastAsia" w:eastAsia="宋体"/>
          <w:color w:val="000000"/>
          <w:lang w:eastAsia="zh-CN"/>
        </w:rPr>
        <w:t>2. 根据橡胶林的不同立地条件进行改培，在</w:t>
      </w:r>
      <w:r>
        <w:rPr>
          <w:rFonts w:eastAsia="宋体"/>
          <w:color w:val="000000"/>
          <w:lang w:eastAsia="zh-CN"/>
        </w:rPr>
        <w:t>立地条件一般</w:t>
      </w:r>
      <w:r>
        <w:rPr>
          <w:rFonts w:hint="eastAsia" w:eastAsia="宋体"/>
          <w:color w:val="000000"/>
          <w:lang w:eastAsia="zh-CN"/>
        </w:rPr>
        <w:t>的地方，</w:t>
      </w:r>
      <w:r>
        <w:rPr>
          <w:rFonts w:eastAsia="宋体"/>
          <w:lang w:eastAsia="zh-CN"/>
        </w:rPr>
        <w:t>主要是丘陵或者山地，生长缓慢的橡胶人工林，</w:t>
      </w:r>
      <w:r>
        <w:rPr>
          <w:rFonts w:hint="eastAsia" w:eastAsia="宋体"/>
          <w:color w:val="000000"/>
          <w:lang w:eastAsia="zh-CN"/>
        </w:rPr>
        <w:t>采用</w:t>
      </w:r>
      <w:r>
        <w:rPr>
          <w:rFonts w:eastAsia="宋体"/>
          <w:color w:val="000000"/>
          <w:lang w:eastAsia="zh-CN"/>
        </w:rPr>
        <w:t>乔木改培</w:t>
      </w:r>
      <w:r>
        <w:rPr>
          <w:rFonts w:hint="eastAsia" w:eastAsia="宋体"/>
          <w:color w:val="000000"/>
          <w:lang w:eastAsia="zh-CN"/>
        </w:rPr>
        <w:t>模式，利用与珍贵乔木树种混种的改培技术，</w:t>
      </w:r>
      <w:r>
        <w:rPr>
          <w:rFonts w:eastAsia="宋体"/>
          <w:lang w:eastAsia="zh-CN"/>
        </w:rPr>
        <w:t>达到提升固碳能力及提高林分质量和生物量等预期改培目标。</w:t>
      </w:r>
      <w:r>
        <w:rPr>
          <w:rFonts w:hint="eastAsia" w:eastAsia="宋体"/>
          <w:lang w:eastAsia="zh-CN"/>
        </w:rPr>
        <w:t>在</w:t>
      </w:r>
      <w:r>
        <w:rPr>
          <w:rFonts w:eastAsia="宋体"/>
          <w:lang w:eastAsia="zh-CN"/>
        </w:rPr>
        <w:t>立地条件较好</w:t>
      </w:r>
      <w:r>
        <w:rPr>
          <w:rFonts w:hint="eastAsia" w:eastAsia="宋体"/>
          <w:lang w:eastAsia="zh-CN"/>
        </w:rPr>
        <w:t>的地方</w:t>
      </w:r>
      <w:r>
        <w:rPr>
          <w:rFonts w:eastAsia="宋体"/>
          <w:lang w:eastAsia="zh-CN"/>
        </w:rPr>
        <w:t>，</w:t>
      </w:r>
      <w:r>
        <w:rPr>
          <w:rFonts w:eastAsia="宋体"/>
          <w:color w:val="000000"/>
          <w:lang w:eastAsia="zh-CN"/>
        </w:rPr>
        <w:t>主要是平地或者小丘陵，生长迅速的橡胶人工林，采用灌木草本改培</w:t>
      </w:r>
      <w:r>
        <w:rPr>
          <w:rFonts w:hint="eastAsia" w:eastAsia="宋体"/>
          <w:color w:val="000000"/>
          <w:lang w:eastAsia="zh-CN"/>
        </w:rPr>
        <w:t>模式，利用</w:t>
      </w:r>
      <w:r>
        <w:rPr>
          <w:rFonts w:eastAsia="宋体"/>
          <w:color w:val="000000"/>
          <w:lang w:eastAsia="zh-CN"/>
        </w:rPr>
        <w:t>与灌木草本混种的改培</w:t>
      </w:r>
      <w:r>
        <w:rPr>
          <w:rFonts w:hint="eastAsia" w:eastAsia="宋体"/>
          <w:color w:val="000000"/>
          <w:lang w:eastAsia="zh-CN"/>
        </w:rPr>
        <w:t>技术，</w:t>
      </w:r>
      <w:r>
        <w:rPr>
          <w:rFonts w:eastAsia="宋体"/>
          <w:color w:val="000000"/>
          <w:lang w:eastAsia="zh-CN"/>
        </w:rPr>
        <w:t>达到提升固碳能力和提高经济价值等预期改培目标的橡胶人工林。</w:t>
      </w:r>
    </w:p>
    <w:p w14:paraId="1524D649">
      <w:pPr>
        <w:spacing w:line="360" w:lineRule="auto"/>
        <w:ind w:firstLine="480" w:firstLineChars="200"/>
        <w:rPr>
          <w:rFonts w:eastAsia="宋体"/>
          <w:color w:val="000000"/>
          <w:lang w:eastAsia="zh-CN"/>
        </w:rPr>
      </w:pPr>
      <w:r>
        <w:rPr>
          <w:rFonts w:hint="eastAsia" w:eastAsia="宋体"/>
          <w:color w:val="000000"/>
          <w:lang w:eastAsia="zh-CN"/>
        </w:rPr>
        <w:t>3</w:t>
      </w:r>
      <w:r>
        <w:rPr>
          <w:rFonts w:eastAsia="宋体"/>
          <w:color w:val="000000"/>
          <w:lang w:eastAsia="zh-CN"/>
        </w:rPr>
        <w:t xml:space="preserve">. </w:t>
      </w:r>
      <w:r>
        <w:rPr>
          <w:rFonts w:hint="eastAsia" w:eastAsia="宋体"/>
          <w:color w:val="000000"/>
          <w:lang w:eastAsia="zh-CN"/>
        </w:rPr>
        <w:t>利用与橡胶林混交能提升和稳定生态系统固碳能力的改培技术，实现海南改培后的橡胶林增加碳汇的目标，为海南实现“双碳”战略和绿色发展提供数据和技术支撑。</w:t>
      </w:r>
      <w:r>
        <w:rPr>
          <w:rFonts w:eastAsia="宋体"/>
          <w:color w:val="000000"/>
          <w:lang w:eastAsia="zh-CN"/>
        </w:rPr>
        <w:t xml:space="preserve"> </w:t>
      </w:r>
    </w:p>
    <w:p w14:paraId="21EBA09A">
      <w:pPr>
        <w:spacing w:before="156" w:beforeLines="50" w:line="360" w:lineRule="auto"/>
        <w:rPr>
          <w:rFonts w:hint="eastAsia" w:ascii="黑体" w:hAnsi="黑体" w:eastAsia="黑体"/>
          <w:b/>
          <w:lang w:eastAsia="zh-CN"/>
        </w:rPr>
      </w:pPr>
      <w:r>
        <w:rPr>
          <w:rFonts w:hint="eastAsia" w:ascii="黑体" w:hAnsi="黑体" w:eastAsia="黑体"/>
          <w:b/>
          <w:lang w:eastAsia="zh-CN"/>
        </w:rPr>
        <w:t>（七）重大分歧意见的处理依据和结果</w:t>
      </w:r>
    </w:p>
    <w:p w14:paraId="001D2EE2">
      <w:pPr>
        <w:spacing w:line="360" w:lineRule="auto"/>
        <w:ind w:firstLine="480" w:firstLineChars="200"/>
        <w:rPr>
          <w:rFonts w:eastAsia="宋体"/>
          <w:color w:val="000000"/>
          <w:lang w:eastAsia="zh-CN"/>
        </w:rPr>
      </w:pPr>
      <w:r>
        <w:rPr>
          <w:rFonts w:hint="eastAsia" w:eastAsia="宋体"/>
          <w:color w:val="000000"/>
          <w:lang w:eastAsia="zh-CN"/>
        </w:rPr>
        <w:t>1、关于按照树龄还是郁闭来分类的规定</w:t>
      </w:r>
    </w:p>
    <w:p w14:paraId="7A9C4C85">
      <w:pPr>
        <w:spacing w:line="360" w:lineRule="auto"/>
        <w:ind w:firstLine="480" w:firstLineChars="200"/>
        <w:rPr>
          <w:rFonts w:eastAsia="宋体"/>
          <w:color w:val="000000"/>
          <w:lang w:eastAsia="zh-CN"/>
        </w:rPr>
      </w:pPr>
      <w:r>
        <w:rPr>
          <w:rFonts w:hint="eastAsia" w:eastAsia="宋体"/>
          <w:color w:val="000000"/>
          <w:lang w:eastAsia="zh-CN"/>
        </w:rPr>
        <w:t>本规程原来按照树龄＜5年来分类，一些专家认为该分类按照是否郁闭来分类，在橡胶林下套种其他植物的话，一般可根据是否需要光照的多少。经过研讨，大家认为，该方案以橡胶林下套种植物的耐荫性作为主要依据，一般橡胶林在10年左右达到郁闭，因此以10年为分类的主要依据。</w:t>
      </w:r>
    </w:p>
    <w:p w14:paraId="593081E7">
      <w:pPr>
        <w:spacing w:line="360" w:lineRule="auto"/>
        <w:ind w:firstLine="480" w:firstLineChars="200"/>
        <w:rPr>
          <w:rFonts w:eastAsia="宋体"/>
          <w:color w:val="000000"/>
          <w:lang w:eastAsia="zh-CN"/>
        </w:rPr>
      </w:pPr>
      <w:r>
        <w:rPr>
          <w:rFonts w:hint="eastAsia" w:eastAsia="宋体"/>
          <w:color w:val="000000"/>
          <w:lang w:eastAsia="zh-CN"/>
        </w:rPr>
        <w:t>2、关于改培橡胶林的主要目标是经济效益还是固碳效益的规定</w:t>
      </w:r>
    </w:p>
    <w:p w14:paraId="34F45F3F">
      <w:pPr>
        <w:spacing w:line="360" w:lineRule="auto"/>
        <w:ind w:firstLine="480" w:firstLineChars="200"/>
        <w:rPr>
          <w:rFonts w:eastAsia="宋体"/>
          <w:color w:val="000000"/>
          <w:lang w:eastAsia="zh-CN"/>
        </w:rPr>
      </w:pPr>
      <w:r>
        <w:rPr>
          <w:rFonts w:hint="eastAsia" w:eastAsia="宋体"/>
          <w:color w:val="000000"/>
          <w:lang w:eastAsia="zh-CN"/>
        </w:rPr>
        <w:t>根据《改培橡胶人工林提升固碳能力技术规程》的内容，改培橡胶林的主要目的是提升固碳能力，一些专家认为该标准改培后的固碳能力不一定能提高多少，可能提高其经济效益比较多，建议将改培橡胶林的主要目的是提高经济效益。经过专家研讨认为，目前改培橡胶林的主要目标应该在固碳效益，在这个基础上，尽可能地提高经济效益。</w:t>
      </w:r>
    </w:p>
    <w:p w14:paraId="3EE65EF9">
      <w:pPr>
        <w:spacing w:before="156" w:beforeLines="50" w:line="360" w:lineRule="auto"/>
        <w:rPr>
          <w:rFonts w:hint="eastAsia" w:ascii="黑体" w:hAnsi="黑体" w:eastAsia="黑体"/>
          <w:b/>
          <w:lang w:eastAsia="zh-CN"/>
        </w:rPr>
      </w:pPr>
      <w:r>
        <w:rPr>
          <w:rFonts w:hint="eastAsia" w:ascii="黑体" w:hAnsi="黑体" w:eastAsia="黑体"/>
          <w:b/>
          <w:lang w:eastAsia="zh-CN"/>
        </w:rPr>
        <w:t>（八）贯彻标准的要求和措施建议（包括组织措施、技术措施、过渡办法、实施日期等）</w:t>
      </w:r>
    </w:p>
    <w:p w14:paraId="26D659BD">
      <w:pPr>
        <w:spacing w:before="156" w:beforeLines="50" w:line="360" w:lineRule="auto"/>
        <w:ind w:firstLine="480" w:firstLineChars="200"/>
        <w:rPr>
          <w:rFonts w:hint="eastAsia" w:ascii="宋体" w:hAnsi="宋体" w:eastAsia="宋体"/>
          <w:bCs/>
          <w:lang w:eastAsia="zh-CN"/>
        </w:rPr>
      </w:pPr>
      <w:r>
        <w:rPr>
          <w:rFonts w:hint="eastAsia" w:ascii="宋体" w:hAnsi="宋体" w:eastAsia="宋体"/>
          <w:bCs/>
          <w:lang w:eastAsia="zh-CN"/>
        </w:rPr>
        <w:t>本标准作为改培橡胶林固碳增汇标准，并不涉及有关国家安全、保护人体健康和人身财产安全、环境质量要求等有关强制性地方标准或强制性条文等的八项要求之一。因此，建议报批审核后作为推荐性地方标准颁布实施。并定期结合生产需求，联合当地林业部门、在橡胶林主产区宣贯工作。</w:t>
      </w:r>
    </w:p>
    <w:p w14:paraId="2E8D3E6C">
      <w:pPr>
        <w:spacing w:line="360" w:lineRule="auto"/>
        <w:ind w:firstLine="480" w:firstLineChars="200"/>
        <w:rPr>
          <w:rFonts w:eastAsia="宋体"/>
          <w:color w:val="000000"/>
          <w:lang w:eastAsia="zh-CN"/>
        </w:rPr>
      </w:pPr>
      <w:r>
        <w:rPr>
          <w:rFonts w:hint="eastAsia" w:eastAsia="宋体"/>
          <w:color w:val="000000"/>
          <w:lang w:eastAsia="zh-CN"/>
        </w:rPr>
        <w:t>本标准培训一定数量的技术员，</w:t>
      </w:r>
      <w:r>
        <w:rPr>
          <w:rFonts w:eastAsia="宋体"/>
          <w:color w:val="000000"/>
          <w:lang w:eastAsia="zh-CN"/>
        </w:rPr>
        <w:t>主要</w:t>
      </w:r>
      <w:r>
        <w:rPr>
          <w:rFonts w:hint="eastAsia" w:eastAsia="宋体"/>
          <w:color w:val="000000"/>
          <w:lang w:eastAsia="zh-CN"/>
        </w:rPr>
        <w:t>培训的</w:t>
      </w:r>
      <w:r>
        <w:rPr>
          <w:rFonts w:eastAsia="宋体"/>
          <w:color w:val="000000"/>
          <w:lang w:eastAsia="zh-CN"/>
        </w:rPr>
        <w:t>技术内容包括橡胶人工林的分类分级；针对不同类型改培橡胶人工林的技术措施；与橡胶林混交的乔木树种和灌木草本种类及其质量要求；</w:t>
      </w:r>
      <w:r>
        <w:rPr>
          <w:rFonts w:hint="eastAsia" w:eastAsia="宋体"/>
          <w:color w:val="000000"/>
          <w:lang w:eastAsia="zh-CN"/>
        </w:rPr>
        <w:t>为本标准的实施提供技术指导，确保本标准的顺利实施。</w:t>
      </w:r>
    </w:p>
    <w:p w14:paraId="083D74FD">
      <w:pPr>
        <w:spacing w:before="156" w:beforeLines="50" w:line="360" w:lineRule="auto"/>
        <w:rPr>
          <w:rFonts w:hint="eastAsia" w:ascii="黑体" w:hAnsi="黑体" w:eastAsia="黑体"/>
          <w:b/>
          <w:lang w:eastAsia="zh-CN"/>
        </w:rPr>
      </w:pPr>
      <w:r>
        <w:rPr>
          <w:rFonts w:hint="eastAsia" w:ascii="黑体" w:hAnsi="黑体" w:eastAsia="黑体"/>
          <w:b/>
          <w:lang w:eastAsia="zh-CN"/>
        </w:rPr>
        <w:t>（九）预期效果</w:t>
      </w:r>
    </w:p>
    <w:p w14:paraId="1E4D4A13">
      <w:pPr>
        <w:spacing w:line="360" w:lineRule="auto"/>
        <w:ind w:firstLine="480" w:firstLineChars="200"/>
        <w:rPr>
          <w:rFonts w:eastAsia="宋体"/>
          <w:color w:val="000000"/>
          <w:lang w:eastAsia="zh-CN"/>
        </w:rPr>
      </w:pPr>
      <w:r>
        <w:rPr>
          <w:rFonts w:hint="eastAsia" w:eastAsia="宋体"/>
          <w:color w:val="000000"/>
          <w:lang w:eastAsia="zh-CN"/>
        </w:rPr>
        <w:t>预期效果主要包括：</w:t>
      </w:r>
      <w:r>
        <w:rPr>
          <w:rFonts w:eastAsia="宋体"/>
          <w:color w:val="000000"/>
          <w:lang w:eastAsia="zh-CN"/>
        </w:rPr>
        <w:t>一是经济效益方面，改培橡胶人工林的珍贵树种和中草药的经济价值较高，培育火力楠、降香黄檀</w:t>
      </w:r>
      <w:r>
        <w:rPr>
          <w:rFonts w:hint="eastAsia" w:eastAsia="宋体"/>
          <w:color w:val="000000"/>
          <w:lang w:eastAsia="zh-CN"/>
        </w:rPr>
        <w:t>和坡垒</w:t>
      </w:r>
      <w:r>
        <w:rPr>
          <w:rFonts w:eastAsia="宋体"/>
          <w:color w:val="000000"/>
          <w:lang w:eastAsia="zh-CN"/>
        </w:rPr>
        <w:t>等珍贵树种</w:t>
      </w:r>
      <w:r>
        <w:rPr>
          <w:rFonts w:hint="eastAsia" w:eastAsia="宋体"/>
          <w:color w:val="000000"/>
          <w:lang w:eastAsia="zh-CN"/>
        </w:rPr>
        <w:t>，使</w:t>
      </w:r>
      <w:r>
        <w:rPr>
          <w:rFonts w:eastAsia="宋体"/>
          <w:color w:val="000000"/>
          <w:lang w:eastAsia="zh-CN"/>
        </w:rPr>
        <w:t>林分的</w:t>
      </w:r>
      <w:r>
        <w:rPr>
          <w:rFonts w:hint="eastAsia" w:eastAsia="宋体"/>
          <w:color w:val="000000"/>
          <w:lang w:eastAsia="zh-CN"/>
        </w:rPr>
        <w:t>乔木</w:t>
      </w:r>
      <w:r>
        <w:rPr>
          <w:rFonts w:eastAsia="宋体"/>
          <w:color w:val="000000"/>
          <w:lang w:eastAsia="zh-CN"/>
        </w:rPr>
        <w:t>生物量</w:t>
      </w:r>
      <w:r>
        <w:rPr>
          <w:rFonts w:hint="eastAsia" w:eastAsia="宋体"/>
          <w:color w:val="000000"/>
          <w:lang w:eastAsia="zh-CN"/>
        </w:rPr>
        <w:t>达到</w:t>
      </w:r>
      <w:r>
        <w:rPr>
          <w:rFonts w:eastAsia="宋体"/>
          <w:color w:val="000000"/>
          <w:lang w:eastAsia="zh-CN"/>
        </w:rPr>
        <w:t>45~</w:t>
      </w:r>
      <w:r>
        <w:rPr>
          <w:rFonts w:hint="eastAsia" w:eastAsia="宋体"/>
          <w:color w:val="000000"/>
          <w:lang w:eastAsia="zh-CN"/>
        </w:rPr>
        <w:t>7</w:t>
      </w:r>
      <w:r>
        <w:rPr>
          <w:rFonts w:eastAsia="宋体"/>
          <w:color w:val="000000"/>
          <w:lang w:eastAsia="zh-CN"/>
        </w:rPr>
        <w:t>5 t/hm</w:t>
      </w:r>
      <w:r>
        <w:rPr>
          <w:rFonts w:eastAsia="宋体"/>
          <w:color w:val="000000"/>
          <w:vertAlign w:val="superscript"/>
          <w:lang w:eastAsia="zh-CN"/>
        </w:rPr>
        <w:t>2</w:t>
      </w:r>
      <w:r>
        <w:rPr>
          <w:rFonts w:hint="eastAsia" w:eastAsia="宋体"/>
          <w:color w:val="000000"/>
          <w:lang w:eastAsia="zh-CN"/>
        </w:rPr>
        <w:t>，土壤碳储量达到8</w:t>
      </w:r>
      <w:r>
        <w:rPr>
          <w:rFonts w:eastAsia="宋体"/>
          <w:color w:val="000000"/>
          <w:lang w:eastAsia="zh-CN"/>
        </w:rPr>
        <w:t>5~1</w:t>
      </w:r>
      <w:r>
        <w:rPr>
          <w:rFonts w:hint="eastAsia" w:eastAsia="宋体"/>
          <w:color w:val="000000"/>
          <w:lang w:eastAsia="zh-CN"/>
        </w:rPr>
        <w:t>2</w:t>
      </w:r>
      <w:r>
        <w:rPr>
          <w:rFonts w:eastAsia="宋体"/>
          <w:color w:val="000000"/>
          <w:lang w:eastAsia="zh-CN"/>
        </w:rPr>
        <w:t>0 t/hm</w:t>
      </w:r>
      <w:r>
        <w:rPr>
          <w:rFonts w:eastAsia="宋体"/>
          <w:color w:val="000000"/>
          <w:vertAlign w:val="superscript"/>
          <w:lang w:eastAsia="zh-CN"/>
        </w:rPr>
        <w:t>2</w:t>
      </w:r>
      <w:r>
        <w:rPr>
          <w:rFonts w:hint="eastAsia" w:eastAsia="宋体"/>
          <w:color w:val="000000"/>
          <w:lang w:eastAsia="zh-CN"/>
        </w:rPr>
        <w:t>。</w:t>
      </w:r>
      <w:r>
        <w:rPr>
          <w:rFonts w:eastAsia="宋体"/>
          <w:color w:val="000000"/>
          <w:lang w:eastAsia="zh-CN"/>
        </w:rPr>
        <w:t>二是社会效益方面，为批量培养改培橡胶人工林的技术工人提供标准参照，助力缓解改培橡胶人工林</w:t>
      </w:r>
      <w:r>
        <w:rPr>
          <w:rFonts w:hint="eastAsia" w:eastAsia="宋体"/>
          <w:color w:val="000000"/>
          <w:lang w:eastAsia="zh-CN"/>
        </w:rPr>
        <w:t>的</w:t>
      </w:r>
      <w:r>
        <w:rPr>
          <w:rFonts w:eastAsia="宋体"/>
          <w:color w:val="000000"/>
          <w:lang w:eastAsia="zh-CN"/>
        </w:rPr>
        <w:t>用工荒问题，增加本地农民就业机会</w:t>
      </w:r>
      <w:r>
        <w:rPr>
          <w:rFonts w:hint="eastAsia" w:eastAsia="宋体"/>
          <w:color w:val="000000"/>
          <w:lang w:eastAsia="zh-CN"/>
        </w:rPr>
        <w:t>。</w:t>
      </w:r>
      <w:r>
        <w:rPr>
          <w:rFonts w:eastAsia="宋体"/>
          <w:color w:val="000000"/>
          <w:lang w:eastAsia="zh-CN"/>
        </w:rPr>
        <w:t>三是生态效益方面，改培橡胶人工林，提</w:t>
      </w:r>
      <w:r>
        <w:rPr>
          <w:rFonts w:hint="eastAsia" w:eastAsia="宋体"/>
          <w:color w:val="000000"/>
          <w:lang w:eastAsia="zh-CN"/>
        </w:rPr>
        <w:t>升</w:t>
      </w:r>
      <w:r>
        <w:rPr>
          <w:rFonts w:eastAsia="宋体"/>
          <w:color w:val="000000"/>
          <w:lang w:eastAsia="zh-CN"/>
        </w:rPr>
        <w:t>生态系统固碳能力，助力实现</w:t>
      </w:r>
      <w:r>
        <w:rPr>
          <w:rFonts w:hint="eastAsia" w:eastAsia="宋体"/>
          <w:color w:val="000000"/>
          <w:lang w:eastAsia="zh-CN"/>
        </w:rPr>
        <w:t>“双碳”</w:t>
      </w:r>
      <w:r>
        <w:rPr>
          <w:rFonts w:eastAsia="宋体"/>
          <w:color w:val="000000"/>
          <w:lang w:eastAsia="zh-CN"/>
        </w:rPr>
        <w:t>战略目标。该标准</w:t>
      </w:r>
      <w:r>
        <w:rPr>
          <w:rFonts w:hint="eastAsia" w:eastAsia="宋体"/>
          <w:color w:val="000000"/>
          <w:lang w:eastAsia="zh-CN"/>
        </w:rPr>
        <w:t>可以</w:t>
      </w:r>
      <w:r>
        <w:rPr>
          <w:rFonts w:eastAsia="宋体"/>
          <w:color w:val="000000"/>
          <w:lang w:eastAsia="zh-CN"/>
        </w:rPr>
        <w:t>增强海南省橡胶产业竞争力，增加胶农经济收入，促进乡村振兴，保护热带天然林资源。</w:t>
      </w:r>
    </w:p>
    <w:p w14:paraId="654BA6A2">
      <w:pPr>
        <w:spacing w:before="156" w:beforeLines="50" w:line="360" w:lineRule="auto"/>
        <w:rPr>
          <w:rFonts w:hint="eastAsia" w:ascii="黑体" w:hAnsi="黑体" w:eastAsia="黑体"/>
          <w:b/>
          <w:lang w:eastAsia="zh-CN"/>
        </w:rPr>
      </w:pPr>
      <w:r>
        <w:rPr>
          <w:rFonts w:hint="eastAsia" w:ascii="黑体" w:hAnsi="黑体" w:eastAsia="黑体"/>
          <w:b/>
          <w:lang w:eastAsia="zh-CN"/>
        </w:rPr>
        <w:t>（十）其他应予说明的事项</w:t>
      </w:r>
    </w:p>
    <w:p w14:paraId="2244713E">
      <w:pPr>
        <w:spacing w:before="156" w:beforeLines="50" w:line="360" w:lineRule="auto"/>
        <w:ind w:firstLine="480" w:firstLineChars="200"/>
        <w:rPr>
          <w:rFonts w:hint="eastAsia" w:ascii="宋体" w:hAnsi="宋体" w:eastAsia="宋体"/>
          <w:bCs/>
        </w:rPr>
      </w:pPr>
      <w:r>
        <w:rPr>
          <w:rFonts w:hint="eastAsia" w:ascii="宋体" w:hAnsi="宋体" w:eastAsia="宋体"/>
          <w:bCs/>
        </w:rPr>
        <w:t>无。</w:t>
      </w:r>
    </w:p>
    <w:p w14:paraId="045EF86B">
      <w:pPr>
        <w:spacing w:before="156" w:beforeLines="50" w:line="360" w:lineRule="auto"/>
        <w:rPr>
          <w:rFonts w:hint="eastAsia" w:ascii="宋体" w:hAnsi="宋体" w:eastAsia="宋体"/>
          <w:bCs/>
          <w:lang w:eastAsia="zh-CN"/>
        </w:rPr>
      </w:pPr>
    </w:p>
    <w:sectPr>
      <w:footerReference r:id="rId5"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00147364"/>
      <w:docPartObj>
        <w:docPartGallery w:val="AutoText"/>
      </w:docPartObj>
    </w:sdtPr>
    <w:sdtContent>
      <w:p w14:paraId="64209C3B">
        <w:pPr>
          <w:pStyle w:val="13"/>
          <w:jc w:val="center"/>
          <w:rPr>
            <w:rFonts w:hint="eastAsia"/>
          </w:rPr>
        </w:pPr>
        <w:r>
          <w:fldChar w:fldCharType="begin"/>
        </w:r>
        <w:r>
          <w:instrText xml:space="preserve">PAGE   \* MERGEFORMAT</w:instrText>
        </w:r>
        <w:r>
          <w:fldChar w:fldCharType="separate"/>
        </w:r>
        <w:r>
          <w:rPr>
            <w:lang w:val="zh-CN"/>
          </w:rPr>
          <w:t>2</w:t>
        </w:r>
        <w:r>
          <w:fldChar w:fldCharType="end"/>
        </w:r>
      </w:p>
    </w:sdtContent>
  </w:sdt>
  <w:p w14:paraId="07BAD521">
    <w:pPr>
      <w:pStyle w:val="13"/>
      <w:rPr>
        <w:rFonts w:hint="eastAsia"/>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100C69E"/>
    <w:multiLevelType w:val="singleLevel"/>
    <w:tmpl w:val="F100C69E"/>
    <w:lvl w:ilvl="0" w:tentative="0">
      <w:start w:val="6"/>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6B54"/>
    <w:rsid w:val="0000036D"/>
    <w:rsid w:val="00002C9D"/>
    <w:rsid w:val="0002498F"/>
    <w:rsid w:val="000263CB"/>
    <w:rsid w:val="0003113D"/>
    <w:rsid w:val="000438AE"/>
    <w:rsid w:val="00074B0E"/>
    <w:rsid w:val="000852EE"/>
    <w:rsid w:val="000B048C"/>
    <w:rsid w:val="000C5259"/>
    <w:rsid w:val="000D5E3F"/>
    <w:rsid w:val="000D74A5"/>
    <w:rsid w:val="000E6B05"/>
    <w:rsid w:val="000F71CB"/>
    <w:rsid w:val="00105E17"/>
    <w:rsid w:val="00107F76"/>
    <w:rsid w:val="001160F9"/>
    <w:rsid w:val="001365A1"/>
    <w:rsid w:val="00144210"/>
    <w:rsid w:val="00170F0E"/>
    <w:rsid w:val="001716D8"/>
    <w:rsid w:val="0018235B"/>
    <w:rsid w:val="0019161B"/>
    <w:rsid w:val="0019701C"/>
    <w:rsid w:val="001C16CB"/>
    <w:rsid w:val="001C625D"/>
    <w:rsid w:val="001D6443"/>
    <w:rsid w:val="001D7FE0"/>
    <w:rsid w:val="001F6CC7"/>
    <w:rsid w:val="002063EA"/>
    <w:rsid w:val="002079AE"/>
    <w:rsid w:val="00210C53"/>
    <w:rsid w:val="00220756"/>
    <w:rsid w:val="00237C53"/>
    <w:rsid w:val="00244020"/>
    <w:rsid w:val="002541D6"/>
    <w:rsid w:val="00262E92"/>
    <w:rsid w:val="002861B9"/>
    <w:rsid w:val="002B4197"/>
    <w:rsid w:val="002B7648"/>
    <w:rsid w:val="002D2877"/>
    <w:rsid w:val="002D3A1D"/>
    <w:rsid w:val="002D5E72"/>
    <w:rsid w:val="002E01BD"/>
    <w:rsid w:val="002F10B4"/>
    <w:rsid w:val="003148E5"/>
    <w:rsid w:val="00326AE3"/>
    <w:rsid w:val="00327D96"/>
    <w:rsid w:val="003314A4"/>
    <w:rsid w:val="00354CDF"/>
    <w:rsid w:val="00376699"/>
    <w:rsid w:val="0039186A"/>
    <w:rsid w:val="003932D3"/>
    <w:rsid w:val="003A22EF"/>
    <w:rsid w:val="003D0F57"/>
    <w:rsid w:val="003D3AA6"/>
    <w:rsid w:val="003D567A"/>
    <w:rsid w:val="003F6A79"/>
    <w:rsid w:val="00406178"/>
    <w:rsid w:val="00411C57"/>
    <w:rsid w:val="00422A67"/>
    <w:rsid w:val="0043313A"/>
    <w:rsid w:val="00453BE2"/>
    <w:rsid w:val="00453CAE"/>
    <w:rsid w:val="00475F8A"/>
    <w:rsid w:val="004978B3"/>
    <w:rsid w:val="004A3BB2"/>
    <w:rsid w:val="004B6616"/>
    <w:rsid w:val="004C1C29"/>
    <w:rsid w:val="004F10AC"/>
    <w:rsid w:val="00500C1C"/>
    <w:rsid w:val="00501376"/>
    <w:rsid w:val="005026ED"/>
    <w:rsid w:val="005033C2"/>
    <w:rsid w:val="00503482"/>
    <w:rsid w:val="00511551"/>
    <w:rsid w:val="00512B79"/>
    <w:rsid w:val="0051569B"/>
    <w:rsid w:val="0052216D"/>
    <w:rsid w:val="005307AA"/>
    <w:rsid w:val="00540FDE"/>
    <w:rsid w:val="00557ADC"/>
    <w:rsid w:val="00572593"/>
    <w:rsid w:val="0057484F"/>
    <w:rsid w:val="00575334"/>
    <w:rsid w:val="00585430"/>
    <w:rsid w:val="005A1C61"/>
    <w:rsid w:val="005A2166"/>
    <w:rsid w:val="005D0AC7"/>
    <w:rsid w:val="005E0601"/>
    <w:rsid w:val="005E3058"/>
    <w:rsid w:val="005E4A09"/>
    <w:rsid w:val="005F4ED2"/>
    <w:rsid w:val="00615AEB"/>
    <w:rsid w:val="006217F7"/>
    <w:rsid w:val="00624286"/>
    <w:rsid w:val="00626A47"/>
    <w:rsid w:val="0063006C"/>
    <w:rsid w:val="00630AC1"/>
    <w:rsid w:val="00631614"/>
    <w:rsid w:val="0063592D"/>
    <w:rsid w:val="0064026D"/>
    <w:rsid w:val="006405C7"/>
    <w:rsid w:val="006418C7"/>
    <w:rsid w:val="00647118"/>
    <w:rsid w:val="00650970"/>
    <w:rsid w:val="00652552"/>
    <w:rsid w:val="00671281"/>
    <w:rsid w:val="006714F5"/>
    <w:rsid w:val="006847D2"/>
    <w:rsid w:val="00684C30"/>
    <w:rsid w:val="00690BE0"/>
    <w:rsid w:val="006B3A90"/>
    <w:rsid w:val="006C2815"/>
    <w:rsid w:val="006C5C8B"/>
    <w:rsid w:val="006D43EF"/>
    <w:rsid w:val="006D7E77"/>
    <w:rsid w:val="006E1944"/>
    <w:rsid w:val="006E47E5"/>
    <w:rsid w:val="006F601E"/>
    <w:rsid w:val="00712F2F"/>
    <w:rsid w:val="00724699"/>
    <w:rsid w:val="00724EC6"/>
    <w:rsid w:val="00742DB3"/>
    <w:rsid w:val="007456DE"/>
    <w:rsid w:val="0074758D"/>
    <w:rsid w:val="00750579"/>
    <w:rsid w:val="00765A1E"/>
    <w:rsid w:val="007767EC"/>
    <w:rsid w:val="00781A44"/>
    <w:rsid w:val="00792C59"/>
    <w:rsid w:val="00797400"/>
    <w:rsid w:val="007B6D05"/>
    <w:rsid w:val="007D4B7D"/>
    <w:rsid w:val="0080110C"/>
    <w:rsid w:val="00802061"/>
    <w:rsid w:val="008214B0"/>
    <w:rsid w:val="008223BB"/>
    <w:rsid w:val="00826401"/>
    <w:rsid w:val="00832ACA"/>
    <w:rsid w:val="00840E6C"/>
    <w:rsid w:val="008433C6"/>
    <w:rsid w:val="00850E10"/>
    <w:rsid w:val="0085172A"/>
    <w:rsid w:val="00865F30"/>
    <w:rsid w:val="00875DD9"/>
    <w:rsid w:val="0087611D"/>
    <w:rsid w:val="00890374"/>
    <w:rsid w:val="008905AF"/>
    <w:rsid w:val="008928CD"/>
    <w:rsid w:val="00896E8C"/>
    <w:rsid w:val="008A4C53"/>
    <w:rsid w:val="008C1066"/>
    <w:rsid w:val="008C1224"/>
    <w:rsid w:val="008C557B"/>
    <w:rsid w:val="008D7011"/>
    <w:rsid w:val="008E27C3"/>
    <w:rsid w:val="008F0239"/>
    <w:rsid w:val="009143F2"/>
    <w:rsid w:val="00923CE5"/>
    <w:rsid w:val="00924435"/>
    <w:rsid w:val="00931E62"/>
    <w:rsid w:val="00933800"/>
    <w:rsid w:val="00936F37"/>
    <w:rsid w:val="00940015"/>
    <w:rsid w:val="00954CB1"/>
    <w:rsid w:val="00970859"/>
    <w:rsid w:val="00986BC1"/>
    <w:rsid w:val="009927E4"/>
    <w:rsid w:val="009A0205"/>
    <w:rsid w:val="009B4A07"/>
    <w:rsid w:val="009B7524"/>
    <w:rsid w:val="009C502B"/>
    <w:rsid w:val="009D1957"/>
    <w:rsid w:val="009F2B6C"/>
    <w:rsid w:val="009F374F"/>
    <w:rsid w:val="009F3DF6"/>
    <w:rsid w:val="00A00B63"/>
    <w:rsid w:val="00A24398"/>
    <w:rsid w:val="00A24409"/>
    <w:rsid w:val="00A35BD2"/>
    <w:rsid w:val="00A36F45"/>
    <w:rsid w:val="00A37489"/>
    <w:rsid w:val="00A4042D"/>
    <w:rsid w:val="00A423FE"/>
    <w:rsid w:val="00A529AD"/>
    <w:rsid w:val="00A671AB"/>
    <w:rsid w:val="00A67D0D"/>
    <w:rsid w:val="00A94BFE"/>
    <w:rsid w:val="00AA47A7"/>
    <w:rsid w:val="00AA5841"/>
    <w:rsid w:val="00AA6054"/>
    <w:rsid w:val="00AB2D0F"/>
    <w:rsid w:val="00AB3F5E"/>
    <w:rsid w:val="00AB4761"/>
    <w:rsid w:val="00AD168A"/>
    <w:rsid w:val="00AD2992"/>
    <w:rsid w:val="00AE62B5"/>
    <w:rsid w:val="00AE73A8"/>
    <w:rsid w:val="00AF4C37"/>
    <w:rsid w:val="00AF6D11"/>
    <w:rsid w:val="00B053BD"/>
    <w:rsid w:val="00B20664"/>
    <w:rsid w:val="00B34ECC"/>
    <w:rsid w:val="00B45B0B"/>
    <w:rsid w:val="00B62725"/>
    <w:rsid w:val="00B73050"/>
    <w:rsid w:val="00B80355"/>
    <w:rsid w:val="00B86088"/>
    <w:rsid w:val="00B94DB0"/>
    <w:rsid w:val="00B9656E"/>
    <w:rsid w:val="00BC37CE"/>
    <w:rsid w:val="00BD1F2E"/>
    <w:rsid w:val="00BD67CB"/>
    <w:rsid w:val="00BE6B54"/>
    <w:rsid w:val="00BF5CC6"/>
    <w:rsid w:val="00C07A3A"/>
    <w:rsid w:val="00C07EB1"/>
    <w:rsid w:val="00C4561A"/>
    <w:rsid w:val="00C518EE"/>
    <w:rsid w:val="00C550F9"/>
    <w:rsid w:val="00C553CF"/>
    <w:rsid w:val="00C81189"/>
    <w:rsid w:val="00C8615F"/>
    <w:rsid w:val="00C86BB9"/>
    <w:rsid w:val="00C91F68"/>
    <w:rsid w:val="00C92D7A"/>
    <w:rsid w:val="00C94FFA"/>
    <w:rsid w:val="00C975C1"/>
    <w:rsid w:val="00CA6C6F"/>
    <w:rsid w:val="00CB6A55"/>
    <w:rsid w:val="00CC2715"/>
    <w:rsid w:val="00CC42D0"/>
    <w:rsid w:val="00CC65E0"/>
    <w:rsid w:val="00CE4BB1"/>
    <w:rsid w:val="00D03405"/>
    <w:rsid w:val="00D179EA"/>
    <w:rsid w:val="00D20C54"/>
    <w:rsid w:val="00D26F39"/>
    <w:rsid w:val="00D32A01"/>
    <w:rsid w:val="00D4077E"/>
    <w:rsid w:val="00D563CA"/>
    <w:rsid w:val="00D7616A"/>
    <w:rsid w:val="00D77030"/>
    <w:rsid w:val="00D85683"/>
    <w:rsid w:val="00DA7A24"/>
    <w:rsid w:val="00DC50ED"/>
    <w:rsid w:val="00DD760B"/>
    <w:rsid w:val="00DE2AAC"/>
    <w:rsid w:val="00E10F6A"/>
    <w:rsid w:val="00E14206"/>
    <w:rsid w:val="00E15722"/>
    <w:rsid w:val="00E35E40"/>
    <w:rsid w:val="00E4315D"/>
    <w:rsid w:val="00E46B43"/>
    <w:rsid w:val="00E70943"/>
    <w:rsid w:val="00E72DAA"/>
    <w:rsid w:val="00E73859"/>
    <w:rsid w:val="00E856E9"/>
    <w:rsid w:val="00E91F11"/>
    <w:rsid w:val="00E94F47"/>
    <w:rsid w:val="00EA54CB"/>
    <w:rsid w:val="00EA6655"/>
    <w:rsid w:val="00EB4734"/>
    <w:rsid w:val="00EB499C"/>
    <w:rsid w:val="00EB4A66"/>
    <w:rsid w:val="00EE14BB"/>
    <w:rsid w:val="00F131F2"/>
    <w:rsid w:val="00F25E80"/>
    <w:rsid w:val="00F263EB"/>
    <w:rsid w:val="00F305C6"/>
    <w:rsid w:val="00F329DD"/>
    <w:rsid w:val="00F37450"/>
    <w:rsid w:val="00F4034E"/>
    <w:rsid w:val="00F86745"/>
    <w:rsid w:val="00FA0DE7"/>
    <w:rsid w:val="00FC4930"/>
    <w:rsid w:val="00FD1B64"/>
    <w:rsid w:val="00FE3C8E"/>
    <w:rsid w:val="00FE7C46"/>
    <w:rsid w:val="08324B24"/>
    <w:rsid w:val="15175270"/>
    <w:rsid w:val="19492DD7"/>
    <w:rsid w:val="7DBF4F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0" w:line="240" w:lineRule="auto"/>
    </w:pPr>
    <w:rPr>
      <w:rFonts w:ascii="Times New Roman" w:hAnsi="Times New Roman" w:cs="Times New Roman" w:eastAsiaTheme="minorEastAsia"/>
      <w:kern w:val="0"/>
      <w:sz w:val="24"/>
      <w:szCs w:val="24"/>
      <w:lang w:val="en-US" w:eastAsia="en-US" w:bidi="ar-SA"/>
      <w14:ligatures w14:val="none"/>
    </w:rPr>
  </w:style>
  <w:style w:type="paragraph" w:styleId="2">
    <w:name w:val="heading 1"/>
    <w:basedOn w:val="1"/>
    <w:next w:val="1"/>
    <w:link w:val="20"/>
    <w:qFormat/>
    <w:uiPriority w:val="9"/>
    <w:pPr>
      <w:keepNext/>
      <w:keepLines/>
      <w:widowControl w:val="0"/>
      <w:spacing w:before="480" w:after="80" w:line="278" w:lineRule="auto"/>
      <w:outlineLvl w:val="0"/>
    </w:pPr>
    <w:rPr>
      <w:rFonts w:asciiTheme="majorHAnsi" w:hAnsiTheme="majorHAnsi" w:eastAsiaTheme="majorEastAsia" w:cstheme="majorBidi"/>
      <w:color w:val="2F5597" w:themeColor="accent1" w:themeShade="BF"/>
      <w:kern w:val="2"/>
      <w:sz w:val="48"/>
      <w:szCs w:val="48"/>
      <w:lang w:eastAsia="zh-CN"/>
      <w14:ligatures w14:val="standardContextual"/>
    </w:rPr>
  </w:style>
  <w:style w:type="paragraph" w:styleId="3">
    <w:name w:val="heading 2"/>
    <w:basedOn w:val="1"/>
    <w:next w:val="1"/>
    <w:link w:val="21"/>
    <w:semiHidden/>
    <w:unhideWhenUsed/>
    <w:qFormat/>
    <w:uiPriority w:val="9"/>
    <w:pPr>
      <w:keepNext/>
      <w:keepLines/>
      <w:widowControl w:val="0"/>
      <w:spacing w:before="160" w:after="80" w:line="278" w:lineRule="auto"/>
      <w:outlineLvl w:val="1"/>
    </w:pPr>
    <w:rPr>
      <w:rFonts w:asciiTheme="majorHAnsi" w:hAnsiTheme="majorHAnsi" w:eastAsiaTheme="majorEastAsia" w:cstheme="majorBidi"/>
      <w:color w:val="2F5597" w:themeColor="accent1" w:themeShade="BF"/>
      <w:kern w:val="2"/>
      <w:sz w:val="40"/>
      <w:szCs w:val="40"/>
      <w:lang w:eastAsia="zh-CN"/>
      <w14:ligatures w14:val="standardContextual"/>
    </w:rPr>
  </w:style>
  <w:style w:type="paragraph" w:styleId="4">
    <w:name w:val="heading 3"/>
    <w:basedOn w:val="1"/>
    <w:next w:val="1"/>
    <w:link w:val="22"/>
    <w:semiHidden/>
    <w:unhideWhenUsed/>
    <w:qFormat/>
    <w:uiPriority w:val="9"/>
    <w:pPr>
      <w:keepNext/>
      <w:keepLines/>
      <w:widowControl w:val="0"/>
      <w:spacing w:before="160" w:after="80" w:line="278" w:lineRule="auto"/>
      <w:outlineLvl w:val="2"/>
    </w:pPr>
    <w:rPr>
      <w:rFonts w:asciiTheme="majorHAnsi" w:hAnsiTheme="majorHAnsi" w:eastAsiaTheme="majorEastAsia" w:cstheme="majorBidi"/>
      <w:color w:val="2F5597" w:themeColor="accent1" w:themeShade="BF"/>
      <w:kern w:val="2"/>
      <w:sz w:val="32"/>
      <w:szCs w:val="32"/>
      <w:lang w:eastAsia="zh-CN"/>
      <w14:ligatures w14:val="standardContextual"/>
    </w:rPr>
  </w:style>
  <w:style w:type="paragraph" w:styleId="5">
    <w:name w:val="heading 4"/>
    <w:basedOn w:val="1"/>
    <w:next w:val="1"/>
    <w:link w:val="23"/>
    <w:semiHidden/>
    <w:unhideWhenUsed/>
    <w:qFormat/>
    <w:uiPriority w:val="9"/>
    <w:pPr>
      <w:keepNext/>
      <w:keepLines/>
      <w:widowControl w:val="0"/>
      <w:spacing w:before="80" w:after="40" w:line="278" w:lineRule="auto"/>
      <w:outlineLvl w:val="3"/>
    </w:pPr>
    <w:rPr>
      <w:rFonts w:asciiTheme="minorHAnsi" w:hAnsiTheme="minorHAnsi" w:cstheme="majorBidi"/>
      <w:color w:val="2F5597" w:themeColor="accent1" w:themeShade="BF"/>
      <w:kern w:val="2"/>
      <w:sz w:val="28"/>
      <w:szCs w:val="28"/>
      <w:lang w:eastAsia="zh-CN"/>
      <w14:ligatures w14:val="standardContextual"/>
    </w:rPr>
  </w:style>
  <w:style w:type="paragraph" w:styleId="6">
    <w:name w:val="heading 5"/>
    <w:basedOn w:val="1"/>
    <w:next w:val="1"/>
    <w:link w:val="24"/>
    <w:semiHidden/>
    <w:unhideWhenUsed/>
    <w:qFormat/>
    <w:uiPriority w:val="9"/>
    <w:pPr>
      <w:keepNext/>
      <w:keepLines/>
      <w:widowControl w:val="0"/>
      <w:spacing w:before="80" w:after="40" w:line="278" w:lineRule="auto"/>
      <w:outlineLvl w:val="4"/>
    </w:pPr>
    <w:rPr>
      <w:rFonts w:asciiTheme="minorHAnsi" w:hAnsiTheme="minorHAnsi" w:cstheme="majorBidi"/>
      <w:color w:val="2F5597" w:themeColor="accent1" w:themeShade="BF"/>
      <w:kern w:val="2"/>
      <w:lang w:eastAsia="zh-CN"/>
      <w14:ligatures w14:val="standardContextual"/>
    </w:rPr>
  </w:style>
  <w:style w:type="paragraph" w:styleId="7">
    <w:name w:val="heading 6"/>
    <w:basedOn w:val="1"/>
    <w:next w:val="1"/>
    <w:link w:val="25"/>
    <w:semiHidden/>
    <w:unhideWhenUsed/>
    <w:qFormat/>
    <w:uiPriority w:val="9"/>
    <w:pPr>
      <w:keepNext/>
      <w:keepLines/>
      <w:widowControl w:val="0"/>
      <w:spacing w:before="40" w:line="278" w:lineRule="auto"/>
      <w:outlineLvl w:val="5"/>
    </w:pPr>
    <w:rPr>
      <w:rFonts w:asciiTheme="minorHAnsi" w:hAnsiTheme="minorHAnsi" w:cstheme="majorBidi"/>
      <w:b/>
      <w:bCs/>
      <w:color w:val="2F5597" w:themeColor="accent1" w:themeShade="BF"/>
      <w:kern w:val="2"/>
      <w:sz w:val="22"/>
      <w:lang w:eastAsia="zh-CN"/>
      <w14:ligatures w14:val="standardContextual"/>
    </w:rPr>
  </w:style>
  <w:style w:type="paragraph" w:styleId="8">
    <w:name w:val="heading 7"/>
    <w:basedOn w:val="1"/>
    <w:next w:val="1"/>
    <w:link w:val="26"/>
    <w:semiHidden/>
    <w:unhideWhenUsed/>
    <w:qFormat/>
    <w:uiPriority w:val="9"/>
    <w:pPr>
      <w:keepNext/>
      <w:keepLines/>
      <w:widowControl w:val="0"/>
      <w:spacing w:before="40" w:line="278" w:lineRule="auto"/>
      <w:outlineLvl w:val="6"/>
    </w:pPr>
    <w:rPr>
      <w:rFonts w:asciiTheme="minorHAnsi" w:hAnsiTheme="minorHAnsi" w:cstheme="majorBidi"/>
      <w:b/>
      <w:bCs/>
      <w:color w:val="595959" w:themeColor="text1" w:themeTint="A6"/>
      <w:kern w:val="2"/>
      <w:sz w:val="22"/>
      <w:lang w:eastAsia="zh-CN"/>
      <w14:textFill>
        <w14:solidFill>
          <w14:schemeClr w14:val="tx1">
            <w14:lumMod w14:val="65000"/>
            <w14:lumOff w14:val="35000"/>
          </w14:schemeClr>
        </w14:solidFill>
      </w14:textFill>
      <w14:ligatures w14:val="standardContextual"/>
    </w:rPr>
  </w:style>
  <w:style w:type="paragraph" w:styleId="9">
    <w:name w:val="heading 8"/>
    <w:basedOn w:val="1"/>
    <w:next w:val="1"/>
    <w:link w:val="27"/>
    <w:semiHidden/>
    <w:unhideWhenUsed/>
    <w:qFormat/>
    <w:uiPriority w:val="9"/>
    <w:pPr>
      <w:keepNext/>
      <w:keepLines/>
      <w:widowControl w:val="0"/>
      <w:spacing w:line="278" w:lineRule="auto"/>
      <w:outlineLvl w:val="7"/>
    </w:pPr>
    <w:rPr>
      <w:rFonts w:asciiTheme="minorHAnsi" w:hAnsiTheme="minorHAnsi" w:cstheme="majorBidi"/>
      <w:color w:val="595959" w:themeColor="text1" w:themeTint="A6"/>
      <w:kern w:val="2"/>
      <w:sz w:val="22"/>
      <w:lang w:eastAsia="zh-CN"/>
      <w14:textFill>
        <w14:solidFill>
          <w14:schemeClr w14:val="tx1">
            <w14:lumMod w14:val="65000"/>
            <w14:lumOff w14:val="35000"/>
          </w14:schemeClr>
        </w14:solidFill>
      </w14:textFill>
      <w14:ligatures w14:val="standardContextual"/>
    </w:rPr>
  </w:style>
  <w:style w:type="paragraph" w:styleId="10">
    <w:name w:val="heading 9"/>
    <w:basedOn w:val="1"/>
    <w:next w:val="1"/>
    <w:link w:val="28"/>
    <w:semiHidden/>
    <w:unhideWhenUsed/>
    <w:qFormat/>
    <w:uiPriority w:val="9"/>
    <w:pPr>
      <w:keepNext/>
      <w:keepLines/>
      <w:widowControl w:val="0"/>
      <w:spacing w:line="278" w:lineRule="auto"/>
      <w:outlineLvl w:val="8"/>
    </w:pPr>
    <w:rPr>
      <w:rFonts w:asciiTheme="minorHAnsi" w:hAnsiTheme="minorHAnsi" w:eastAsiaTheme="majorEastAsia" w:cstheme="majorBidi"/>
      <w:color w:val="595959" w:themeColor="text1" w:themeTint="A6"/>
      <w:kern w:val="2"/>
      <w:sz w:val="22"/>
      <w:lang w:eastAsia="zh-CN"/>
      <w14:textFill>
        <w14:solidFill>
          <w14:schemeClr w14:val="tx1">
            <w14:lumMod w14:val="65000"/>
            <w14:lumOff w14:val="35000"/>
          </w14:schemeClr>
        </w14:solidFill>
      </w14:textFill>
      <w14:ligatures w14:val="standardContextual"/>
    </w:rPr>
  </w:style>
  <w:style w:type="character" w:default="1" w:styleId="19">
    <w:name w:val="Default Paragraph Font"/>
    <w:semiHidden/>
    <w:unhideWhenUsed/>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11">
    <w:name w:val="annotation text"/>
    <w:basedOn w:val="1"/>
    <w:link w:val="43"/>
    <w:unhideWhenUsed/>
    <w:qFormat/>
    <w:uiPriority w:val="99"/>
    <w:pPr>
      <w:widowControl w:val="0"/>
    </w:pPr>
    <w:rPr>
      <w:rFonts w:asciiTheme="minorHAnsi" w:hAnsiTheme="minorHAnsi" w:cstheme="minorBidi"/>
      <w:kern w:val="2"/>
      <w:sz w:val="21"/>
      <w:szCs w:val="22"/>
      <w:lang w:eastAsia="zh-CN"/>
      <w14:ligatures w14:val="standardContextual"/>
    </w:rPr>
  </w:style>
  <w:style w:type="paragraph" w:styleId="12">
    <w:name w:val="Date"/>
    <w:basedOn w:val="1"/>
    <w:next w:val="1"/>
    <w:link w:val="40"/>
    <w:semiHidden/>
    <w:unhideWhenUsed/>
    <w:qFormat/>
    <w:uiPriority w:val="99"/>
    <w:pPr>
      <w:ind w:left="100" w:leftChars="2500"/>
    </w:pPr>
  </w:style>
  <w:style w:type="paragraph" w:styleId="13">
    <w:name w:val="footer"/>
    <w:basedOn w:val="1"/>
    <w:link w:val="39"/>
    <w:unhideWhenUsed/>
    <w:qFormat/>
    <w:uiPriority w:val="99"/>
    <w:pPr>
      <w:widowControl w:val="0"/>
      <w:tabs>
        <w:tab w:val="center" w:pos="4153"/>
        <w:tab w:val="right" w:pos="8306"/>
      </w:tabs>
      <w:snapToGrid w:val="0"/>
      <w:spacing w:after="160"/>
    </w:pPr>
    <w:rPr>
      <w:rFonts w:asciiTheme="minorHAnsi" w:hAnsiTheme="minorHAnsi" w:cstheme="minorBidi"/>
      <w:kern w:val="2"/>
      <w:sz w:val="18"/>
      <w:szCs w:val="18"/>
      <w:lang w:eastAsia="zh-CN"/>
      <w14:ligatures w14:val="standardContextual"/>
    </w:rPr>
  </w:style>
  <w:style w:type="paragraph" w:styleId="14">
    <w:name w:val="header"/>
    <w:basedOn w:val="1"/>
    <w:link w:val="38"/>
    <w:unhideWhenUsed/>
    <w:qFormat/>
    <w:uiPriority w:val="99"/>
    <w:pPr>
      <w:widowControl w:val="0"/>
      <w:tabs>
        <w:tab w:val="center" w:pos="4153"/>
        <w:tab w:val="right" w:pos="8306"/>
      </w:tabs>
      <w:snapToGrid w:val="0"/>
      <w:spacing w:after="160"/>
      <w:jc w:val="center"/>
    </w:pPr>
    <w:rPr>
      <w:rFonts w:asciiTheme="minorHAnsi" w:hAnsiTheme="minorHAnsi" w:cstheme="minorBidi"/>
      <w:kern w:val="2"/>
      <w:sz w:val="18"/>
      <w:szCs w:val="18"/>
      <w:lang w:eastAsia="zh-CN"/>
      <w14:ligatures w14:val="standardContextual"/>
    </w:rPr>
  </w:style>
  <w:style w:type="paragraph" w:styleId="15">
    <w:name w:val="Subtitle"/>
    <w:basedOn w:val="1"/>
    <w:next w:val="1"/>
    <w:link w:val="30"/>
    <w:qFormat/>
    <w:uiPriority w:val="11"/>
    <w:pPr>
      <w:widowControl w:val="0"/>
      <w:spacing w:after="160" w:line="278" w:lineRule="auto"/>
      <w:jc w:val="center"/>
    </w:pPr>
    <w:rPr>
      <w:rFonts w:asciiTheme="majorHAnsi" w:hAnsiTheme="majorHAnsi" w:eastAsiaTheme="majorEastAsia" w:cstheme="majorBidi"/>
      <w:color w:val="595959" w:themeColor="text1" w:themeTint="A6"/>
      <w:spacing w:val="15"/>
      <w:kern w:val="2"/>
      <w:sz w:val="28"/>
      <w:szCs w:val="28"/>
      <w:lang w:eastAsia="zh-CN"/>
      <w14:textFill>
        <w14:solidFill>
          <w14:schemeClr w14:val="tx1">
            <w14:lumMod w14:val="65000"/>
            <w14:lumOff w14:val="35000"/>
          </w14:schemeClr>
        </w14:solidFill>
      </w14:textFill>
      <w14:ligatures w14:val="standardContextual"/>
    </w:rPr>
  </w:style>
  <w:style w:type="paragraph" w:styleId="16">
    <w:name w:val="Title"/>
    <w:basedOn w:val="1"/>
    <w:next w:val="1"/>
    <w:link w:val="29"/>
    <w:qFormat/>
    <w:uiPriority w:val="10"/>
    <w:pPr>
      <w:widowControl w:val="0"/>
      <w:spacing w:after="80"/>
      <w:contextualSpacing/>
      <w:jc w:val="center"/>
    </w:pPr>
    <w:rPr>
      <w:rFonts w:asciiTheme="majorHAnsi" w:hAnsiTheme="majorHAnsi" w:eastAsiaTheme="majorEastAsia" w:cstheme="majorBidi"/>
      <w:spacing w:val="-10"/>
      <w:kern w:val="28"/>
      <w:sz w:val="56"/>
      <w:szCs w:val="56"/>
      <w:lang w:eastAsia="zh-CN"/>
      <w14:ligatures w14:val="standardContextual"/>
    </w:rPr>
  </w:style>
  <w:style w:type="table" w:styleId="18">
    <w:name w:val="Table Grid"/>
    <w:basedOn w:val="17"/>
    <w:qFormat/>
    <w:uiPriority w:val="39"/>
    <w:pPr>
      <w:spacing w:after="0" w:line="240" w:lineRule="auto"/>
    </w:pPr>
    <w:rPr>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0">
    <w:name w:val="标题 1 字符"/>
    <w:basedOn w:val="19"/>
    <w:link w:val="2"/>
    <w:uiPriority w:val="9"/>
    <w:rPr>
      <w:rFonts w:asciiTheme="majorHAnsi" w:hAnsiTheme="majorHAnsi" w:eastAsiaTheme="majorEastAsia" w:cstheme="majorBidi"/>
      <w:color w:val="2F5597" w:themeColor="accent1" w:themeShade="BF"/>
      <w:sz w:val="48"/>
      <w:szCs w:val="48"/>
    </w:rPr>
  </w:style>
  <w:style w:type="character" w:customStyle="1" w:styleId="21">
    <w:name w:val="标题 2 字符"/>
    <w:basedOn w:val="19"/>
    <w:link w:val="3"/>
    <w:semiHidden/>
    <w:qFormat/>
    <w:uiPriority w:val="9"/>
    <w:rPr>
      <w:rFonts w:asciiTheme="majorHAnsi" w:hAnsiTheme="majorHAnsi" w:eastAsiaTheme="majorEastAsia" w:cstheme="majorBidi"/>
      <w:color w:val="2F5597" w:themeColor="accent1" w:themeShade="BF"/>
      <w:sz w:val="40"/>
      <w:szCs w:val="40"/>
    </w:rPr>
  </w:style>
  <w:style w:type="character" w:customStyle="1" w:styleId="22">
    <w:name w:val="标题 3 字符"/>
    <w:basedOn w:val="19"/>
    <w:link w:val="4"/>
    <w:semiHidden/>
    <w:uiPriority w:val="9"/>
    <w:rPr>
      <w:rFonts w:asciiTheme="majorHAnsi" w:hAnsiTheme="majorHAnsi" w:eastAsiaTheme="majorEastAsia" w:cstheme="majorBidi"/>
      <w:color w:val="2F5597" w:themeColor="accent1" w:themeShade="BF"/>
      <w:sz w:val="32"/>
      <w:szCs w:val="32"/>
    </w:rPr>
  </w:style>
  <w:style w:type="character" w:customStyle="1" w:styleId="23">
    <w:name w:val="标题 4 字符"/>
    <w:basedOn w:val="19"/>
    <w:link w:val="5"/>
    <w:semiHidden/>
    <w:uiPriority w:val="9"/>
    <w:rPr>
      <w:rFonts w:cstheme="majorBidi"/>
      <w:color w:val="2F5597" w:themeColor="accent1" w:themeShade="BF"/>
      <w:sz w:val="28"/>
      <w:szCs w:val="28"/>
    </w:rPr>
  </w:style>
  <w:style w:type="character" w:customStyle="1" w:styleId="24">
    <w:name w:val="标题 5 字符"/>
    <w:basedOn w:val="19"/>
    <w:link w:val="6"/>
    <w:semiHidden/>
    <w:uiPriority w:val="9"/>
    <w:rPr>
      <w:rFonts w:cstheme="majorBidi"/>
      <w:color w:val="2F5597" w:themeColor="accent1" w:themeShade="BF"/>
      <w:sz w:val="24"/>
    </w:rPr>
  </w:style>
  <w:style w:type="character" w:customStyle="1" w:styleId="25">
    <w:name w:val="标题 6 字符"/>
    <w:basedOn w:val="19"/>
    <w:link w:val="7"/>
    <w:semiHidden/>
    <w:uiPriority w:val="9"/>
    <w:rPr>
      <w:rFonts w:cstheme="majorBidi"/>
      <w:b/>
      <w:bCs/>
      <w:color w:val="2F5597" w:themeColor="accent1" w:themeShade="BF"/>
    </w:rPr>
  </w:style>
  <w:style w:type="character" w:customStyle="1" w:styleId="26">
    <w:name w:val="标题 7 字符"/>
    <w:basedOn w:val="19"/>
    <w:link w:val="8"/>
    <w:semiHidden/>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27">
    <w:name w:val="标题 8 字符"/>
    <w:basedOn w:val="19"/>
    <w:link w:val="9"/>
    <w:semiHidden/>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28">
    <w:name w:val="标题 9 字符"/>
    <w:basedOn w:val="19"/>
    <w:link w:val="10"/>
    <w:semiHidden/>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9">
    <w:name w:val="标题 字符"/>
    <w:basedOn w:val="19"/>
    <w:link w:val="16"/>
    <w:uiPriority w:val="10"/>
    <w:rPr>
      <w:rFonts w:asciiTheme="majorHAnsi" w:hAnsiTheme="majorHAnsi" w:eastAsiaTheme="majorEastAsia" w:cstheme="majorBidi"/>
      <w:spacing w:val="-10"/>
      <w:kern w:val="28"/>
      <w:sz w:val="56"/>
      <w:szCs w:val="56"/>
    </w:rPr>
  </w:style>
  <w:style w:type="character" w:customStyle="1" w:styleId="30">
    <w:name w:val="副标题 字符"/>
    <w:basedOn w:val="19"/>
    <w:link w:val="15"/>
    <w:qFormat/>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31">
    <w:name w:val="Quote"/>
    <w:basedOn w:val="1"/>
    <w:next w:val="1"/>
    <w:link w:val="32"/>
    <w:qFormat/>
    <w:uiPriority w:val="29"/>
    <w:pPr>
      <w:widowControl w:val="0"/>
      <w:spacing w:before="160" w:after="160" w:line="278" w:lineRule="auto"/>
      <w:jc w:val="center"/>
    </w:pPr>
    <w:rPr>
      <w:rFonts w:asciiTheme="minorHAnsi" w:hAnsiTheme="minorHAnsi" w:cstheme="minorBidi"/>
      <w:i/>
      <w:iCs/>
      <w:color w:val="404040" w:themeColor="text1" w:themeTint="BF"/>
      <w:kern w:val="2"/>
      <w:sz w:val="22"/>
      <w:lang w:eastAsia="zh-CN"/>
      <w14:textFill>
        <w14:solidFill>
          <w14:schemeClr w14:val="tx1">
            <w14:lumMod w14:val="75000"/>
            <w14:lumOff w14:val="25000"/>
          </w14:schemeClr>
        </w14:solidFill>
      </w14:textFill>
      <w14:ligatures w14:val="standardContextual"/>
    </w:rPr>
  </w:style>
  <w:style w:type="character" w:customStyle="1" w:styleId="32">
    <w:name w:val="引用 字符"/>
    <w:basedOn w:val="19"/>
    <w:link w:val="31"/>
    <w:uiPriority w:val="29"/>
    <w:rPr>
      <w:i/>
      <w:iCs/>
      <w:color w:val="404040" w:themeColor="text1" w:themeTint="BF"/>
      <w14:textFill>
        <w14:solidFill>
          <w14:schemeClr w14:val="tx1">
            <w14:lumMod w14:val="75000"/>
            <w14:lumOff w14:val="25000"/>
          </w14:schemeClr>
        </w14:solidFill>
      </w14:textFill>
    </w:rPr>
  </w:style>
  <w:style w:type="paragraph" w:styleId="33">
    <w:name w:val="List Paragraph"/>
    <w:basedOn w:val="1"/>
    <w:qFormat/>
    <w:uiPriority w:val="34"/>
    <w:pPr>
      <w:widowControl w:val="0"/>
      <w:spacing w:after="160" w:line="278" w:lineRule="auto"/>
      <w:ind w:left="720"/>
      <w:contextualSpacing/>
    </w:pPr>
    <w:rPr>
      <w:rFonts w:asciiTheme="minorHAnsi" w:hAnsiTheme="minorHAnsi" w:cstheme="minorBidi"/>
      <w:kern w:val="2"/>
      <w:sz w:val="22"/>
      <w:lang w:eastAsia="zh-CN"/>
      <w14:ligatures w14:val="standardContextual"/>
    </w:rPr>
  </w:style>
  <w:style w:type="character" w:customStyle="1" w:styleId="34">
    <w:name w:val="Intense Emphasis"/>
    <w:basedOn w:val="19"/>
    <w:qFormat/>
    <w:uiPriority w:val="21"/>
    <w:rPr>
      <w:i/>
      <w:iCs/>
      <w:color w:val="2F5597" w:themeColor="accent1" w:themeShade="BF"/>
    </w:rPr>
  </w:style>
  <w:style w:type="paragraph" w:styleId="35">
    <w:name w:val="Intense Quote"/>
    <w:basedOn w:val="1"/>
    <w:next w:val="1"/>
    <w:link w:val="36"/>
    <w:qFormat/>
    <w:uiPriority w:val="30"/>
    <w:pPr>
      <w:widowControl w:val="0"/>
      <w:pBdr>
        <w:top w:val="single" w:color="2F5496" w:themeColor="accent1" w:themeShade="BF" w:sz="4" w:space="10"/>
        <w:bottom w:val="single" w:color="2F5496" w:themeColor="accent1" w:themeShade="BF" w:sz="4" w:space="10"/>
      </w:pBdr>
      <w:spacing w:before="360" w:after="360" w:line="278" w:lineRule="auto"/>
      <w:ind w:left="864" w:right="864"/>
      <w:jc w:val="center"/>
    </w:pPr>
    <w:rPr>
      <w:rFonts w:asciiTheme="minorHAnsi" w:hAnsiTheme="minorHAnsi" w:cstheme="minorBidi"/>
      <w:i/>
      <w:iCs/>
      <w:color w:val="2F5597" w:themeColor="accent1" w:themeShade="BF"/>
      <w:kern w:val="2"/>
      <w:sz w:val="22"/>
      <w:lang w:eastAsia="zh-CN"/>
      <w14:ligatures w14:val="standardContextual"/>
    </w:rPr>
  </w:style>
  <w:style w:type="character" w:customStyle="1" w:styleId="36">
    <w:name w:val="明显引用 字符"/>
    <w:basedOn w:val="19"/>
    <w:link w:val="35"/>
    <w:qFormat/>
    <w:uiPriority w:val="30"/>
    <w:rPr>
      <w:i/>
      <w:iCs/>
      <w:color w:val="2F5597" w:themeColor="accent1" w:themeShade="BF"/>
    </w:rPr>
  </w:style>
  <w:style w:type="character" w:customStyle="1" w:styleId="37">
    <w:name w:val="Intense Reference"/>
    <w:basedOn w:val="19"/>
    <w:qFormat/>
    <w:uiPriority w:val="32"/>
    <w:rPr>
      <w:b/>
      <w:bCs/>
      <w:smallCaps/>
      <w:color w:val="2F5597" w:themeColor="accent1" w:themeShade="BF"/>
      <w:spacing w:val="5"/>
    </w:rPr>
  </w:style>
  <w:style w:type="character" w:customStyle="1" w:styleId="38">
    <w:name w:val="页眉 字符"/>
    <w:basedOn w:val="19"/>
    <w:link w:val="14"/>
    <w:qFormat/>
    <w:uiPriority w:val="99"/>
    <w:rPr>
      <w:sz w:val="18"/>
      <w:szCs w:val="18"/>
    </w:rPr>
  </w:style>
  <w:style w:type="character" w:customStyle="1" w:styleId="39">
    <w:name w:val="页脚 字符"/>
    <w:basedOn w:val="19"/>
    <w:link w:val="13"/>
    <w:qFormat/>
    <w:uiPriority w:val="99"/>
    <w:rPr>
      <w:sz w:val="18"/>
      <w:szCs w:val="18"/>
    </w:rPr>
  </w:style>
  <w:style w:type="character" w:customStyle="1" w:styleId="40">
    <w:name w:val="日期 字符"/>
    <w:basedOn w:val="19"/>
    <w:link w:val="12"/>
    <w:semiHidden/>
    <w:qFormat/>
    <w:uiPriority w:val="99"/>
    <w:rPr>
      <w:rFonts w:ascii="Times New Roman" w:hAnsi="Times New Roman" w:cs="Times New Roman"/>
      <w:kern w:val="0"/>
      <w:sz w:val="24"/>
      <w:lang w:eastAsia="en-US"/>
      <w14:ligatures w14:val="none"/>
    </w:rPr>
  </w:style>
  <w:style w:type="paragraph" w:customStyle="1" w:styleId="41">
    <w:name w:val="0正文加粗"/>
    <w:basedOn w:val="1"/>
    <w:link w:val="42"/>
    <w:autoRedefine/>
    <w:qFormat/>
    <w:uiPriority w:val="0"/>
    <w:pPr>
      <w:widowControl w:val="0"/>
      <w:spacing w:before="156" w:beforeLines="50" w:after="156" w:afterLines="50"/>
      <w:ind w:firstLine="602" w:firstLineChars="200"/>
    </w:pPr>
    <w:rPr>
      <w:rFonts w:eastAsia="仿宋"/>
      <w:b/>
      <w:kern w:val="2"/>
      <w:sz w:val="30"/>
      <w:szCs w:val="30"/>
      <w:lang w:eastAsia="zh-CN"/>
    </w:rPr>
  </w:style>
  <w:style w:type="character" w:customStyle="1" w:styleId="42">
    <w:name w:val="0正文加粗 字符"/>
    <w:basedOn w:val="19"/>
    <w:link w:val="41"/>
    <w:autoRedefine/>
    <w:qFormat/>
    <w:uiPriority w:val="0"/>
    <w:rPr>
      <w:rFonts w:ascii="Times New Roman" w:hAnsi="Times New Roman" w:eastAsia="仿宋" w:cs="Times New Roman"/>
      <w:b/>
      <w:sz w:val="30"/>
      <w:szCs w:val="30"/>
      <w14:ligatures w14:val="none"/>
    </w:rPr>
  </w:style>
  <w:style w:type="character" w:customStyle="1" w:styleId="43">
    <w:name w:val="批注文字 字符"/>
    <w:basedOn w:val="19"/>
    <w:link w:val="11"/>
    <w:qFormat/>
    <w:uiPriority w:val="99"/>
    <w:rPr>
      <w:sz w:val="21"/>
      <w:szCs w:val="2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2.jpeg"/><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14</Pages>
  <Words>7508</Words>
  <Characters>9042</Characters>
  <Lines>332</Lines>
  <Paragraphs>316</Paragraphs>
  <TotalTime>1296</TotalTime>
  <ScaleCrop>false</ScaleCrop>
  <LinksUpToDate>false</LinksUpToDate>
  <CharactersWithSpaces>9250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2025-01-18T22:55:00Z</dcterms:created>
  <dc:creator>yanghuai2008@163.com</dc:creator>
  <cp:lastModifiedBy> lu圆</cp:lastModifiedBy>
  <dcterms:modified xsi:type="dcterms:W3CDTF">2025-04-27T00:39:35Z</dcterms:modified>
  <cp:revision>1153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eyJoZGlkIjoiNDZiY2M4OGQxNjUyYTliOGNmODRlN2VjODA4NmRmYTYiLCJ1c2VySWQiOiI0NTA0MTAwNTYifQ==</vt:lpwstr>
  </property>
  <property fmtid="{D5CDD505-2E9C-101B-9397-08002B2CF9AE}" pid="3" name="KSOProductBuildVer">
    <vt:lpwstr>2052-12.1.0.20305</vt:lpwstr>
  </property>
  <property fmtid="{D5CDD505-2E9C-101B-9397-08002B2CF9AE}" pid="4" name="ICV">
    <vt:lpwstr>1DB563B0FB14478A97107F06C1C0352B_12</vt:lpwstr>
  </property>
</Properties>
</file>