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default" w:ascii="Times New Roman" w:hAnsi="Times New Roman" w:eastAsia="黑体" w:cs="Times New Roman"/>
          <w:color w:val="auto"/>
          <w:sz w:val="24"/>
          <w:szCs w:val="24"/>
          <w:highlight w:val="none"/>
        </w:rPr>
      </w:pPr>
      <w:bookmarkStart w:id="124" w:name="_GoBack"/>
      <w:bookmarkEnd w:id="124"/>
      <w:bookmarkStart w:id="0" w:name="_Toc200990165"/>
      <w:bookmarkStart w:id="1" w:name="_Toc236798130"/>
      <w:bookmarkStart w:id="2" w:name="_Toc198631166"/>
      <w:bookmarkStart w:id="3" w:name="_Toc236797965"/>
      <w:bookmarkStart w:id="4" w:name="_Toc200853318"/>
      <w:bookmarkStart w:id="5" w:name="_Toc200994280"/>
      <w:bookmarkStart w:id="6" w:name="_Toc200990424"/>
      <w:bookmarkStart w:id="7" w:name="_Toc200774818"/>
      <w:bookmarkStart w:id="8" w:name="_Toc236713682"/>
      <w:bookmarkStart w:id="9" w:name="_Toc200818585"/>
      <w:bookmarkStart w:id="10" w:name="_Toc200774953"/>
      <w:bookmarkStart w:id="11" w:name="_Toc236740498"/>
      <w:bookmarkStart w:id="12" w:name="_Toc236740314"/>
      <w:bookmarkStart w:id="13" w:name="_Toc236714082"/>
      <w:bookmarkStart w:id="14" w:name="_Toc200989589"/>
      <w:bookmarkStart w:id="15" w:name="_Toc236806814"/>
    </w:p>
    <w:p>
      <w:pPr>
        <w:spacing w:line="360" w:lineRule="auto"/>
        <w:jc w:val="center"/>
        <w:rPr>
          <w:rFonts w:hint="default" w:ascii="Times New Roman" w:hAnsi="Times New Roman" w:eastAsia="黑体" w:cs="Times New Roman"/>
          <w:color w:val="auto"/>
          <w:sz w:val="24"/>
          <w:szCs w:val="24"/>
          <w:highlight w:val="none"/>
        </w:rPr>
      </w:pPr>
    </w:p>
    <w:p>
      <w:pPr>
        <w:spacing w:line="360" w:lineRule="auto"/>
        <w:jc w:val="center"/>
        <w:rPr>
          <w:rFonts w:hint="default" w:ascii="Times New Roman" w:hAnsi="Times New Roman" w:eastAsia="黑体" w:cs="Times New Roman"/>
          <w:color w:val="auto"/>
          <w:sz w:val="24"/>
          <w:szCs w:val="24"/>
          <w:highlight w:val="none"/>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Pr>
        <w:spacing w:line="360" w:lineRule="auto"/>
        <w:jc w:val="center"/>
        <w:rPr>
          <w:rFonts w:hint="default" w:ascii="Times New Roman" w:hAnsi="Times New Roman" w:eastAsia="黑体" w:cs="Times New Roman"/>
          <w:color w:val="auto"/>
          <w:sz w:val="36"/>
          <w:szCs w:val="36"/>
          <w:highlight w:val="none"/>
        </w:rPr>
      </w:pPr>
      <w:r>
        <w:rPr>
          <w:rFonts w:hint="default" w:ascii="Times New Roman" w:hAnsi="Times New Roman" w:eastAsia="黑体" w:cs="Times New Roman"/>
          <w:color w:val="auto"/>
          <w:sz w:val="36"/>
          <w:szCs w:val="36"/>
          <w:highlight w:val="none"/>
        </w:rPr>
        <w:t>《</w:t>
      </w:r>
      <w:r>
        <w:rPr>
          <w:rFonts w:hint="eastAsia" w:ascii="Times New Roman" w:hAnsi="Times New Roman" w:eastAsia="黑体" w:cs="Times New Roman"/>
          <w:color w:val="auto"/>
          <w:sz w:val="36"/>
          <w:szCs w:val="36"/>
          <w:highlight w:val="none"/>
          <w:lang w:eastAsia="zh-CN"/>
        </w:rPr>
        <w:t>入河排污口设置评估技术指南</w:t>
      </w:r>
      <w:r>
        <w:rPr>
          <w:rFonts w:hint="default" w:ascii="Times New Roman" w:hAnsi="Times New Roman" w:eastAsia="黑体" w:cs="Times New Roman"/>
          <w:color w:val="auto"/>
          <w:sz w:val="36"/>
          <w:szCs w:val="36"/>
          <w:highlight w:val="none"/>
        </w:rPr>
        <w:t>》（</w:t>
      </w:r>
      <w:r>
        <w:rPr>
          <w:rFonts w:hint="eastAsia" w:ascii="Times New Roman" w:hAnsi="Times New Roman" w:eastAsia="黑体" w:cs="Times New Roman"/>
          <w:color w:val="auto"/>
          <w:sz w:val="36"/>
          <w:szCs w:val="36"/>
          <w:highlight w:val="none"/>
          <w:lang w:val="en-US" w:eastAsia="zh-CN"/>
        </w:rPr>
        <w:t>征求意见</w:t>
      </w:r>
      <w:r>
        <w:rPr>
          <w:rFonts w:hint="default" w:ascii="Times New Roman" w:hAnsi="Times New Roman" w:eastAsia="黑体" w:cs="Times New Roman"/>
          <w:color w:val="auto"/>
          <w:sz w:val="36"/>
          <w:szCs w:val="36"/>
          <w:highlight w:val="none"/>
        </w:rPr>
        <w:t>稿）</w:t>
      </w:r>
    </w:p>
    <w:p>
      <w:pPr>
        <w:spacing w:line="360" w:lineRule="auto"/>
        <w:jc w:val="center"/>
        <w:rPr>
          <w:rFonts w:hint="default" w:ascii="Times New Roman" w:hAnsi="Times New Roman" w:eastAsia="黑体" w:cs="Times New Roman"/>
          <w:color w:val="auto"/>
          <w:sz w:val="36"/>
          <w:szCs w:val="36"/>
          <w:highlight w:val="none"/>
        </w:rPr>
      </w:pPr>
      <w:r>
        <w:rPr>
          <w:rFonts w:hint="default" w:ascii="Times New Roman" w:hAnsi="Times New Roman" w:eastAsia="黑体" w:cs="Times New Roman"/>
          <w:color w:val="auto"/>
          <w:sz w:val="36"/>
          <w:szCs w:val="36"/>
          <w:highlight w:val="none"/>
        </w:rPr>
        <w:t>编制说明</w:t>
      </w:r>
    </w:p>
    <w:p>
      <w:pPr>
        <w:spacing w:line="360" w:lineRule="auto"/>
        <w:jc w:val="center"/>
        <w:rPr>
          <w:rFonts w:hint="default" w:ascii="Times New Roman" w:hAnsi="Times New Roman" w:eastAsia="黑体" w:cs="Times New Roman"/>
          <w:color w:val="auto"/>
          <w:sz w:val="24"/>
          <w:szCs w:val="24"/>
          <w:highlight w:val="none"/>
        </w:rPr>
      </w:pPr>
    </w:p>
    <w:p>
      <w:pPr>
        <w:spacing w:line="360" w:lineRule="auto"/>
        <w:jc w:val="center"/>
        <w:rPr>
          <w:rFonts w:hint="default" w:ascii="Times New Roman" w:hAnsi="Times New Roman" w:eastAsia="黑体" w:cs="Times New Roman"/>
          <w:color w:val="auto"/>
          <w:sz w:val="24"/>
          <w:szCs w:val="24"/>
          <w:highlight w:val="none"/>
        </w:rPr>
      </w:pPr>
    </w:p>
    <w:p>
      <w:pPr>
        <w:spacing w:line="360" w:lineRule="auto"/>
        <w:jc w:val="center"/>
        <w:rPr>
          <w:rFonts w:hint="default" w:ascii="Times New Roman" w:hAnsi="Times New Roman" w:eastAsia="黑体" w:cs="Times New Roman"/>
          <w:color w:val="auto"/>
          <w:sz w:val="24"/>
          <w:szCs w:val="24"/>
          <w:highlight w:val="none"/>
        </w:rPr>
      </w:pPr>
    </w:p>
    <w:p>
      <w:pPr>
        <w:spacing w:line="360" w:lineRule="auto"/>
        <w:jc w:val="center"/>
        <w:rPr>
          <w:rFonts w:hint="default" w:ascii="Times New Roman" w:hAnsi="Times New Roman" w:eastAsia="黑体" w:cs="Times New Roman"/>
          <w:color w:val="auto"/>
          <w:sz w:val="24"/>
          <w:szCs w:val="24"/>
          <w:highlight w:val="none"/>
        </w:rPr>
      </w:pPr>
    </w:p>
    <w:p>
      <w:pPr>
        <w:spacing w:line="360" w:lineRule="auto"/>
        <w:jc w:val="center"/>
        <w:rPr>
          <w:rFonts w:hint="default" w:ascii="Times New Roman" w:hAnsi="Times New Roman" w:eastAsia="黑体" w:cs="Times New Roman"/>
          <w:color w:val="auto"/>
          <w:sz w:val="24"/>
          <w:szCs w:val="24"/>
          <w:highlight w:val="none"/>
        </w:rPr>
      </w:pPr>
    </w:p>
    <w:p>
      <w:pPr>
        <w:spacing w:line="360" w:lineRule="auto"/>
        <w:jc w:val="center"/>
        <w:rPr>
          <w:rFonts w:hint="default" w:ascii="Times New Roman" w:hAnsi="Times New Roman" w:eastAsia="黑体" w:cs="Times New Roman"/>
          <w:color w:val="auto"/>
          <w:sz w:val="24"/>
          <w:szCs w:val="24"/>
          <w:highlight w:val="none"/>
        </w:rPr>
      </w:pPr>
    </w:p>
    <w:p>
      <w:pPr>
        <w:spacing w:line="360" w:lineRule="auto"/>
        <w:jc w:val="center"/>
        <w:rPr>
          <w:rFonts w:hint="default" w:ascii="Times New Roman" w:hAnsi="Times New Roman" w:eastAsia="黑体" w:cs="Times New Roman"/>
          <w:color w:val="auto"/>
          <w:sz w:val="24"/>
          <w:szCs w:val="24"/>
          <w:highlight w:val="none"/>
        </w:rPr>
      </w:pPr>
    </w:p>
    <w:p>
      <w:pPr>
        <w:spacing w:line="360" w:lineRule="auto"/>
        <w:jc w:val="center"/>
        <w:rPr>
          <w:rFonts w:hint="default" w:ascii="Times New Roman" w:hAnsi="Times New Roman" w:eastAsia="黑体" w:cs="Times New Roman"/>
          <w:color w:val="auto"/>
          <w:sz w:val="24"/>
          <w:szCs w:val="24"/>
          <w:highlight w:val="none"/>
        </w:rPr>
      </w:pPr>
    </w:p>
    <w:p>
      <w:pPr>
        <w:spacing w:line="360" w:lineRule="auto"/>
        <w:jc w:val="center"/>
        <w:rPr>
          <w:rFonts w:hint="default" w:ascii="Times New Roman" w:hAnsi="Times New Roman" w:eastAsia="黑体" w:cs="Times New Roman"/>
          <w:color w:val="auto"/>
          <w:sz w:val="24"/>
          <w:szCs w:val="24"/>
          <w:highlight w:val="none"/>
        </w:rPr>
      </w:pPr>
    </w:p>
    <w:p>
      <w:pPr>
        <w:spacing w:line="360" w:lineRule="auto"/>
        <w:jc w:val="center"/>
        <w:rPr>
          <w:rFonts w:hint="default" w:ascii="Times New Roman" w:hAnsi="Times New Roman" w:eastAsia="黑体" w:cs="Times New Roman"/>
          <w:color w:val="auto"/>
          <w:sz w:val="24"/>
          <w:szCs w:val="24"/>
          <w:highlight w:val="none"/>
        </w:rPr>
      </w:pPr>
    </w:p>
    <w:p>
      <w:pPr>
        <w:spacing w:line="360" w:lineRule="auto"/>
        <w:jc w:val="center"/>
        <w:rPr>
          <w:rFonts w:hint="default" w:ascii="Times New Roman" w:hAnsi="Times New Roman" w:eastAsia="黑体" w:cs="Times New Roman"/>
          <w:color w:val="auto"/>
          <w:sz w:val="24"/>
          <w:szCs w:val="24"/>
          <w:highlight w:val="none"/>
        </w:rPr>
      </w:pPr>
    </w:p>
    <w:p>
      <w:pPr>
        <w:spacing w:line="360" w:lineRule="auto"/>
        <w:jc w:val="center"/>
        <w:rPr>
          <w:rFonts w:hint="default" w:ascii="Times New Roman" w:hAnsi="Times New Roman" w:eastAsia="黑体" w:cs="Times New Roman"/>
          <w:color w:val="auto"/>
          <w:sz w:val="24"/>
          <w:szCs w:val="24"/>
          <w:highlight w:val="none"/>
        </w:rPr>
      </w:pPr>
    </w:p>
    <w:p>
      <w:pPr>
        <w:spacing w:line="360" w:lineRule="auto"/>
        <w:jc w:val="center"/>
        <w:rPr>
          <w:rFonts w:hint="default" w:ascii="Times New Roman" w:hAnsi="Times New Roman" w:eastAsia="黑体" w:cs="Times New Roman"/>
          <w:color w:val="auto"/>
          <w:sz w:val="24"/>
          <w:szCs w:val="24"/>
          <w:highlight w:val="none"/>
        </w:rPr>
      </w:pPr>
    </w:p>
    <w:p>
      <w:pPr>
        <w:spacing w:line="360" w:lineRule="auto"/>
        <w:jc w:val="center"/>
        <w:rPr>
          <w:rFonts w:hint="default" w:ascii="Times New Roman" w:hAnsi="Times New Roman" w:eastAsia="黑体" w:cs="Times New Roman"/>
          <w:color w:val="auto"/>
          <w:sz w:val="24"/>
          <w:szCs w:val="24"/>
          <w:highlight w:val="none"/>
        </w:rPr>
      </w:pPr>
    </w:p>
    <w:p>
      <w:pPr>
        <w:spacing w:line="360" w:lineRule="auto"/>
        <w:jc w:val="center"/>
        <w:rPr>
          <w:rFonts w:hint="default" w:ascii="Times New Roman" w:hAnsi="Times New Roman" w:eastAsia="黑体" w:cs="Times New Roman"/>
          <w:color w:val="auto"/>
          <w:sz w:val="24"/>
          <w:szCs w:val="24"/>
          <w:highlight w:val="none"/>
        </w:rPr>
      </w:pPr>
    </w:p>
    <w:p>
      <w:pPr>
        <w:spacing w:line="360" w:lineRule="auto"/>
        <w:jc w:val="center"/>
        <w:rPr>
          <w:rFonts w:hint="default" w:ascii="Times New Roman" w:hAnsi="Times New Roman" w:eastAsia="黑体" w:cs="Times New Roman"/>
          <w:color w:val="auto"/>
          <w:sz w:val="24"/>
          <w:szCs w:val="24"/>
          <w:highlight w:val="none"/>
        </w:rPr>
      </w:pPr>
    </w:p>
    <w:p>
      <w:pPr>
        <w:spacing w:line="360" w:lineRule="auto"/>
        <w:jc w:val="center"/>
        <w:rPr>
          <w:rFonts w:hint="default" w:ascii="Times New Roman" w:hAnsi="Times New Roman" w:eastAsia="黑体" w:cs="Times New Roman"/>
          <w:color w:val="auto"/>
          <w:sz w:val="24"/>
          <w:szCs w:val="24"/>
          <w:highlight w:val="none"/>
        </w:rPr>
      </w:pPr>
    </w:p>
    <w:p>
      <w:pPr>
        <w:spacing w:line="360" w:lineRule="auto"/>
        <w:jc w:val="center"/>
        <w:rPr>
          <w:rFonts w:hint="default" w:ascii="Times New Roman" w:hAnsi="Times New Roman" w:eastAsia="黑体" w:cs="Times New Roman"/>
          <w:color w:val="auto"/>
          <w:sz w:val="24"/>
          <w:szCs w:val="24"/>
          <w:highlight w:val="none"/>
        </w:rPr>
      </w:pPr>
    </w:p>
    <w:p>
      <w:pPr>
        <w:spacing w:line="360" w:lineRule="auto"/>
        <w:jc w:val="center"/>
        <w:rPr>
          <w:rFonts w:hint="default" w:ascii="Times New Roman" w:hAnsi="Times New Roman" w:eastAsia="黑体" w:cs="Times New Roman"/>
          <w:color w:val="auto"/>
          <w:szCs w:val="21"/>
          <w:highlight w:val="none"/>
        </w:rPr>
      </w:pPr>
    </w:p>
    <w:p>
      <w:pPr>
        <w:spacing w:line="360" w:lineRule="auto"/>
        <w:jc w:val="center"/>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Cs w:val="21"/>
          <w:highlight w:val="none"/>
        </w:rPr>
        <w:t>《</w:t>
      </w:r>
      <w:r>
        <w:rPr>
          <w:rFonts w:hint="eastAsia" w:ascii="Times New Roman" w:hAnsi="Times New Roman" w:eastAsia="黑体" w:cs="Times New Roman"/>
          <w:color w:val="auto"/>
          <w:szCs w:val="21"/>
          <w:highlight w:val="none"/>
          <w:lang w:eastAsia="zh-CN"/>
        </w:rPr>
        <w:t>入河排污口设置评估技术指南</w:t>
      </w:r>
      <w:r>
        <w:rPr>
          <w:rFonts w:hint="default" w:ascii="Times New Roman" w:hAnsi="Times New Roman" w:eastAsia="黑体" w:cs="Times New Roman"/>
          <w:color w:val="auto"/>
          <w:szCs w:val="21"/>
          <w:highlight w:val="none"/>
        </w:rPr>
        <w:t>》编制组</w:t>
      </w:r>
    </w:p>
    <w:p>
      <w:pPr>
        <w:spacing w:line="360" w:lineRule="auto"/>
        <w:jc w:val="center"/>
        <w:rPr>
          <w:rFonts w:hint="default" w:ascii="Times New Roman" w:hAnsi="Times New Roman" w:eastAsia="黑体" w:cs="Times New Roman"/>
          <w:bCs/>
          <w:color w:val="auto"/>
          <w:szCs w:val="21"/>
          <w:highlight w:val="none"/>
        </w:rPr>
      </w:pPr>
      <w:bookmarkStart w:id="16" w:name="_Toc236714085"/>
      <w:bookmarkStart w:id="17" w:name="_Toc236740500"/>
      <w:bookmarkStart w:id="18" w:name="_Toc236798132"/>
      <w:bookmarkStart w:id="19" w:name="_Toc236797967"/>
      <w:bookmarkStart w:id="20" w:name="_Toc236806816"/>
      <w:bookmarkStart w:id="21" w:name="_Toc236740316"/>
      <w:r>
        <w:rPr>
          <w:rFonts w:hint="default" w:ascii="Times New Roman" w:hAnsi="Times New Roman" w:eastAsia="黑体" w:cs="Times New Roman"/>
          <w:bCs/>
          <w:color w:val="auto"/>
          <w:szCs w:val="21"/>
          <w:highlight w:val="none"/>
        </w:rPr>
        <w:t>二</w:t>
      </w:r>
      <w:r>
        <w:rPr>
          <w:rFonts w:hint="eastAsia" w:ascii="Times New Roman" w:hAnsi="Times New Roman" w:eastAsia="黑体" w:cs="Times New Roman"/>
          <w:bCs/>
          <w:color w:val="auto"/>
          <w:szCs w:val="21"/>
          <w:highlight w:val="none"/>
          <w:lang w:val="en-US" w:eastAsia="zh-CN"/>
        </w:rPr>
        <w:t>〇</w:t>
      </w:r>
      <w:r>
        <w:rPr>
          <w:rFonts w:hint="default" w:ascii="Times New Roman" w:hAnsi="Times New Roman" w:eastAsia="黑体" w:cs="Times New Roman"/>
          <w:bCs/>
          <w:color w:val="auto"/>
          <w:szCs w:val="21"/>
          <w:highlight w:val="none"/>
        </w:rPr>
        <w:t>二</w:t>
      </w:r>
      <w:r>
        <w:rPr>
          <w:rFonts w:hint="default" w:ascii="Times New Roman" w:hAnsi="Times New Roman" w:eastAsia="黑体" w:cs="Times New Roman"/>
          <w:bCs/>
          <w:color w:val="auto"/>
          <w:szCs w:val="21"/>
          <w:highlight w:val="none"/>
          <w:lang w:val="en-US" w:eastAsia="zh-CN"/>
        </w:rPr>
        <w:t>五</w:t>
      </w:r>
      <w:r>
        <w:rPr>
          <w:rFonts w:hint="default" w:ascii="Times New Roman" w:hAnsi="Times New Roman" w:eastAsia="黑体" w:cs="Times New Roman"/>
          <w:bCs/>
          <w:color w:val="auto"/>
          <w:szCs w:val="21"/>
          <w:highlight w:val="none"/>
        </w:rPr>
        <w:t>年</w:t>
      </w:r>
      <w:r>
        <w:rPr>
          <w:rFonts w:hint="eastAsia" w:ascii="Times New Roman" w:hAnsi="Times New Roman" w:eastAsia="黑体" w:cs="Times New Roman"/>
          <w:bCs/>
          <w:color w:val="auto"/>
          <w:szCs w:val="21"/>
          <w:highlight w:val="none"/>
          <w:lang w:val="en-US" w:eastAsia="zh-CN"/>
        </w:rPr>
        <w:t>三</w:t>
      </w:r>
      <w:r>
        <w:rPr>
          <w:rFonts w:hint="default" w:ascii="Times New Roman" w:hAnsi="Times New Roman" w:eastAsia="黑体" w:cs="Times New Roman"/>
          <w:bCs/>
          <w:color w:val="auto"/>
          <w:szCs w:val="21"/>
          <w:highlight w:val="none"/>
        </w:rPr>
        <w:t>月</w:t>
      </w:r>
      <w:bookmarkEnd w:id="16"/>
      <w:bookmarkEnd w:id="17"/>
      <w:bookmarkEnd w:id="18"/>
      <w:bookmarkEnd w:id="19"/>
      <w:bookmarkEnd w:id="20"/>
      <w:bookmarkEnd w:id="21"/>
    </w:p>
    <w:p>
      <w:pPr>
        <w:pStyle w:val="7"/>
        <w:spacing w:line="360" w:lineRule="auto"/>
        <w:ind w:firstLine="480"/>
        <w:rPr>
          <w:rFonts w:hint="default" w:ascii="Times New Roman" w:hAnsi="Times New Roman" w:cs="Times New Roman"/>
          <w:color w:val="auto"/>
          <w:sz w:val="24"/>
          <w:szCs w:val="24"/>
          <w:highlight w:val="none"/>
        </w:rPr>
        <w:sectPr>
          <w:headerReference r:id="rId3" w:type="even"/>
          <w:footerReference r:id="rId4" w:type="even"/>
          <w:footnotePr>
            <w:numFmt w:val="decimalEnclosedCircleChinese"/>
            <w:numRestart w:val="eachPage"/>
          </w:footnotePr>
          <w:pgSz w:w="11906" w:h="16838"/>
          <w:pgMar w:top="1701" w:right="1797" w:bottom="1985" w:left="1797" w:header="851" w:footer="1418" w:gutter="0"/>
          <w:pgNumType w:fmt="decimal"/>
          <w:cols w:space="720" w:num="1"/>
          <w:titlePg/>
          <w:docGrid w:type="lines" w:linePitch="312" w:charSpace="0"/>
        </w:sectPr>
      </w:pPr>
    </w:p>
    <w:p>
      <w:pPr>
        <w:pStyle w:val="33"/>
        <w:spacing w:after="312" w:afterLines="100" w:line="360" w:lineRule="auto"/>
        <w:jc w:val="center"/>
        <w:rPr>
          <w:rFonts w:hint="default" w:ascii="Times New Roman" w:hAnsi="Times New Roman" w:eastAsia="黑体" w:cs="Times New Roman"/>
          <w:b w:val="0"/>
          <w:color w:val="auto"/>
          <w:highlight w:val="none"/>
        </w:rPr>
      </w:pPr>
      <w:r>
        <w:rPr>
          <w:rFonts w:hint="default" w:ascii="Times New Roman" w:hAnsi="Times New Roman" w:eastAsia="黑体" w:cs="Times New Roman"/>
          <w:b w:val="0"/>
          <w:color w:val="auto"/>
          <w:highlight w:val="none"/>
          <w:lang w:val="zh-CN"/>
        </w:rPr>
        <w:t>目  录</w:t>
      </w:r>
    </w:p>
    <w:p>
      <w:pPr>
        <w:pStyle w:val="16"/>
        <w:tabs>
          <w:tab w:val="right" w:leader="dot" w:pos="8306"/>
        </w:tabs>
        <w:rPr>
          <w:rFonts w:hint="default" w:ascii="Times New Roman" w:hAnsi="Times New Roman" w:cs="Times New Roman"/>
          <w:b/>
          <w:bCs/>
          <w:highlight w:val="none"/>
        </w:rPr>
      </w:pPr>
      <w:r>
        <w:rPr>
          <w:rFonts w:hint="default" w:ascii="Times New Roman" w:hAnsi="Times New Roman" w:cs="Times New Roman"/>
          <w:b w:val="0"/>
          <w:bCs w:val="0"/>
          <w:color w:val="auto"/>
          <w:sz w:val="24"/>
          <w:szCs w:val="24"/>
          <w:highlight w:val="none"/>
        </w:rPr>
        <w:fldChar w:fldCharType="begin"/>
      </w:r>
      <w:r>
        <w:rPr>
          <w:rFonts w:hint="default" w:ascii="Times New Roman" w:hAnsi="Times New Roman" w:cs="Times New Roman"/>
          <w:b w:val="0"/>
          <w:bCs w:val="0"/>
          <w:color w:val="auto"/>
          <w:sz w:val="24"/>
          <w:szCs w:val="24"/>
          <w:highlight w:val="none"/>
        </w:rPr>
        <w:instrText xml:space="preserve"> TOC \o "1-3" \h \z \u </w:instrText>
      </w:r>
      <w:r>
        <w:rPr>
          <w:rFonts w:hint="default" w:ascii="Times New Roman" w:hAnsi="Times New Roman" w:cs="Times New Roman"/>
          <w:b w:val="0"/>
          <w:bCs w:val="0"/>
          <w:color w:val="auto"/>
          <w:sz w:val="24"/>
          <w:szCs w:val="24"/>
          <w:highlight w:val="none"/>
        </w:rPr>
        <w:fldChar w:fldCharType="separate"/>
      </w:r>
      <w:r>
        <w:rPr>
          <w:rFonts w:hint="default" w:ascii="Times New Roman" w:hAnsi="Times New Roman" w:cs="Times New Roman"/>
          <w:b/>
          <w:bCs/>
          <w:color w:val="auto"/>
          <w:szCs w:val="24"/>
          <w:highlight w:val="none"/>
        </w:rPr>
        <w:fldChar w:fldCharType="begin"/>
      </w:r>
      <w:r>
        <w:rPr>
          <w:rFonts w:hint="default" w:ascii="Times New Roman" w:hAnsi="Times New Roman" w:cs="Times New Roman"/>
          <w:b/>
          <w:bCs/>
          <w:szCs w:val="24"/>
          <w:highlight w:val="none"/>
        </w:rPr>
        <w:instrText xml:space="preserve"> HYPERLINK \l _Toc29463 </w:instrText>
      </w:r>
      <w:r>
        <w:rPr>
          <w:rFonts w:hint="default" w:ascii="Times New Roman" w:hAnsi="Times New Roman" w:cs="Times New Roman"/>
          <w:b/>
          <w:bCs/>
          <w:szCs w:val="24"/>
          <w:highlight w:val="none"/>
        </w:rPr>
        <w:fldChar w:fldCharType="separate"/>
      </w:r>
      <w:r>
        <w:rPr>
          <w:rFonts w:hint="default" w:ascii="Times New Roman" w:hAnsi="Times New Roman" w:eastAsia="宋体" w:cs="Times New Roman"/>
          <w:b/>
          <w:bCs/>
          <w:szCs w:val="24"/>
          <w:highlight w:val="none"/>
        </w:rPr>
        <w:t xml:space="preserve">1  </w:t>
      </w:r>
      <w:r>
        <w:rPr>
          <w:rFonts w:hint="default" w:ascii="Times New Roman" w:hAnsi="Times New Roman" w:eastAsia="宋体" w:cs="Times New Roman"/>
          <w:b/>
          <w:bCs/>
          <w:szCs w:val="24"/>
          <w:highlight w:val="none"/>
          <w:lang w:val="en-US" w:eastAsia="zh-CN"/>
        </w:rPr>
        <w:t>工作概况</w:t>
      </w:r>
      <w:r>
        <w:rPr>
          <w:rFonts w:hint="default" w:ascii="Times New Roman" w:hAnsi="Times New Roman" w:cs="Times New Roman"/>
          <w:b/>
          <w:bCs/>
          <w:highlight w:val="none"/>
        </w:rPr>
        <w:tab/>
      </w:r>
      <w:r>
        <w:rPr>
          <w:rFonts w:hint="default" w:ascii="Times New Roman" w:hAnsi="Times New Roman" w:cs="Times New Roman"/>
          <w:b/>
          <w:bCs/>
          <w:highlight w:val="none"/>
        </w:rPr>
        <w:fldChar w:fldCharType="begin"/>
      </w:r>
      <w:r>
        <w:rPr>
          <w:rFonts w:hint="default" w:ascii="Times New Roman" w:hAnsi="Times New Roman" w:cs="Times New Roman"/>
          <w:b/>
          <w:bCs/>
          <w:highlight w:val="none"/>
        </w:rPr>
        <w:instrText xml:space="preserve"> PAGEREF _Toc29463 \h </w:instrText>
      </w:r>
      <w:r>
        <w:rPr>
          <w:rFonts w:hint="default" w:ascii="Times New Roman" w:hAnsi="Times New Roman" w:cs="Times New Roman"/>
          <w:b/>
          <w:bCs/>
          <w:highlight w:val="none"/>
        </w:rPr>
        <w:fldChar w:fldCharType="separate"/>
      </w:r>
      <w:r>
        <w:rPr>
          <w:rFonts w:hint="default" w:ascii="Times New Roman" w:hAnsi="Times New Roman" w:cs="Times New Roman"/>
          <w:b/>
          <w:bCs/>
          <w:highlight w:val="none"/>
        </w:rPr>
        <w:t>1</w:t>
      </w:r>
      <w:r>
        <w:rPr>
          <w:rFonts w:hint="default" w:ascii="Times New Roman" w:hAnsi="Times New Roman" w:cs="Times New Roman"/>
          <w:b/>
          <w:bCs/>
          <w:highlight w:val="none"/>
        </w:rPr>
        <w:fldChar w:fldCharType="end"/>
      </w:r>
      <w:r>
        <w:rPr>
          <w:rFonts w:hint="default" w:ascii="Times New Roman" w:hAnsi="Times New Roman" w:cs="Times New Roman"/>
          <w:b/>
          <w:bCs/>
          <w:color w:val="auto"/>
          <w:szCs w:val="24"/>
          <w:highlight w:val="none"/>
        </w:rPr>
        <w:fldChar w:fldCharType="end"/>
      </w:r>
    </w:p>
    <w:p>
      <w:pPr>
        <w:pStyle w:val="17"/>
        <w:tabs>
          <w:tab w:val="right" w:leader="dot" w:pos="8306"/>
        </w:tabs>
        <w:rPr>
          <w:rFonts w:hint="default" w:ascii="Times New Roman" w:hAnsi="Times New Roman" w:cs="Times New Roman"/>
          <w:b w:val="0"/>
          <w:bCs w:val="0"/>
          <w:highlight w:val="none"/>
        </w:rPr>
      </w:pPr>
      <w:r>
        <w:rPr>
          <w:rFonts w:hint="default" w:ascii="Times New Roman" w:hAnsi="Times New Roman" w:cs="Times New Roman"/>
          <w:b w:val="0"/>
          <w:bCs w:val="0"/>
          <w:color w:val="auto"/>
          <w:szCs w:val="24"/>
          <w:highlight w:val="none"/>
        </w:rPr>
        <w:fldChar w:fldCharType="begin"/>
      </w:r>
      <w:r>
        <w:rPr>
          <w:rFonts w:hint="default" w:ascii="Times New Roman" w:hAnsi="Times New Roman" w:cs="Times New Roman"/>
          <w:b w:val="0"/>
          <w:bCs w:val="0"/>
          <w:szCs w:val="24"/>
          <w:highlight w:val="none"/>
        </w:rPr>
        <w:instrText xml:space="preserve"> HYPERLINK \l _Toc16426 </w:instrText>
      </w:r>
      <w:r>
        <w:rPr>
          <w:rFonts w:hint="default" w:ascii="Times New Roman" w:hAnsi="Times New Roman" w:cs="Times New Roman"/>
          <w:b w:val="0"/>
          <w:bCs w:val="0"/>
          <w:szCs w:val="24"/>
          <w:highlight w:val="none"/>
        </w:rPr>
        <w:fldChar w:fldCharType="separate"/>
      </w:r>
      <w:r>
        <w:rPr>
          <w:rFonts w:hint="default" w:ascii="Times New Roman" w:hAnsi="Times New Roman" w:eastAsia="宋体" w:cs="Times New Roman"/>
          <w:b w:val="0"/>
          <w:bCs w:val="0"/>
          <w:szCs w:val="24"/>
          <w:highlight w:val="none"/>
        </w:rPr>
        <w:t>1.1任务来源</w:t>
      </w:r>
      <w:r>
        <w:rPr>
          <w:rFonts w:hint="default" w:ascii="Times New Roman" w:hAnsi="Times New Roman" w:cs="Times New Roman"/>
          <w:b w:val="0"/>
          <w:bCs w:val="0"/>
          <w:highlight w:val="none"/>
        </w:rPr>
        <w:tab/>
      </w:r>
      <w:r>
        <w:rPr>
          <w:rFonts w:hint="default" w:ascii="Times New Roman" w:hAnsi="Times New Roman" w:cs="Times New Roman"/>
          <w:b w:val="0"/>
          <w:bCs w:val="0"/>
          <w:highlight w:val="none"/>
        </w:rPr>
        <w:fldChar w:fldCharType="begin"/>
      </w:r>
      <w:r>
        <w:rPr>
          <w:rFonts w:hint="default" w:ascii="Times New Roman" w:hAnsi="Times New Roman" w:cs="Times New Roman"/>
          <w:b w:val="0"/>
          <w:bCs w:val="0"/>
          <w:highlight w:val="none"/>
        </w:rPr>
        <w:instrText xml:space="preserve"> PAGEREF _Toc16426 \h </w:instrText>
      </w:r>
      <w:r>
        <w:rPr>
          <w:rFonts w:hint="default" w:ascii="Times New Roman" w:hAnsi="Times New Roman" w:cs="Times New Roman"/>
          <w:b w:val="0"/>
          <w:bCs w:val="0"/>
          <w:highlight w:val="none"/>
        </w:rPr>
        <w:fldChar w:fldCharType="separate"/>
      </w:r>
      <w:r>
        <w:rPr>
          <w:rFonts w:hint="default" w:ascii="Times New Roman" w:hAnsi="Times New Roman" w:cs="Times New Roman"/>
          <w:b w:val="0"/>
          <w:bCs w:val="0"/>
          <w:highlight w:val="none"/>
        </w:rPr>
        <w:t>1</w:t>
      </w:r>
      <w:r>
        <w:rPr>
          <w:rFonts w:hint="default" w:ascii="Times New Roman" w:hAnsi="Times New Roman" w:cs="Times New Roman"/>
          <w:b w:val="0"/>
          <w:bCs w:val="0"/>
          <w:highlight w:val="none"/>
        </w:rPr>
        <w:fldChar w:fldCharType="end"/>
      </w:r>
      <w:r>
        <w:rPr>
          <w:rFonts w:hint="default" w:ascii="Times New Roman" w:hAnsi="Times New Roman" w:cs="Times New Roman"/>
          <w:b w:val="0"/>
          <w:bCs w:val="0"/>
          <w:color w:val="auto"/>
          <w:szCs w:val="24"/>
          <w:highlight w:val="none"/>
        </w:rPr>
        <w:fldChar w:fldCharType="end"/>
      </w:r>
    </w:p>
    <w:p>
      <w:pPr>
        <w:pStyle w:val="17"/>
        <w:tabs>
          <w:tab w:val="right" w:leader="dot" w:pos="8306"/>
        </w:tabs>
        <w:rPr>
          <w:rFonts w:hint="default" w:ascii="Times New Roman" w:hAnsi="Times New Roman" w:cs="Times New Roman"/>
          <w:b w:val="0"/>
          <w:bCs w:val="0"/>
          <w:highlight w:val="none"/>
        </w:rPr>
      </w:pPr>
      <w:r>
        <w:rPr>
          <w:rFonts w:hint="default" w:ascii="Times New Roman" w:hAnsi="Times New Roman" w:cs="Times New Roman"/>
          <w:b w:val="0"/>
          <w:bCs w:val="0"/>
          <w:color w:val="auto"/>
          <w:szCs w:val="24"/>
          <w:highlight w:val="none"/>
        </w:rPr>
        <w:fldChar w:fldCharType="begin"/>
      </w:r>
      <w:r>
        <w:rPr>
          <w:rFonts w:hint="default" w:ascii="Times New Roman" w:hAnsi="Times New Roman" w:cs="Times New Roman"/>
          <w:b w:val="0"/>
          <w:bCs w:val="0"/>
          <w:szCs w:val="24"/>
          <w:highlight w:val="none"/>
        </w:rPr>
        <w:instrText xml:space="preserve"> HYPERLINK \l _Toc2875 </w:instrText>
      </w:r>
      <w:r>
        <w:rPr>
          <w:rFonts w:hint="default" w:ascii="Times New Roman" w:hAnsi="Times New Roman" w:cs="Times New Roman"/>
          <w:b w:val="0"/>
          <w:bCs w:val="0"/>
          <w:szCs w:val="24"/>
          <w:highlight w:val="none"/>
        </w:rPr>
        <w:fldChar w:fldCharType="separate"/>
      </w:r>
      <w:r>
        <w:rPr>
          <w:rFonts w:hint="default" w:ascii="Times New Roman" w:hAnsi="Times New Roman" w:eastAsia="宋体" w:cs="Times New Roman"/>
          <w:b w:val="0"/>
          <w:bCs w:val="0"/>
          <w:szCs w:val="24"/>
          <w:highlight w:val="none"/>
          <w:lang w:val="en-US" w:eastAsia="zh-CN"/>
        </w:rPr>
        <w:t>1.2</w:t>
      </w:r>
      <w:r>
        <w:rPr>
          <w:rFonts w:hint="default" w:ascii="Times New Roman" w:hAnsi="Times New Roman" w:eastAsia="宋体" w:cs="Times New Roman"/>
          <w:b w:val="0"/>
          <w:bCs w:val="0"/>
          <w:szCs w:val="24"/>
          <w:highlight w:val="none"/>
        </w:rPr>
        <w:t xml:space="preserve"> </w:t>
      </w:r>
      <w:r>
        <w:rPr>
          <w:rFonts w:hint="default" w:ascii="Times New Roman" w:hAnsi="Times New Roman" w:eastAsia="宋体" w:cs="Times New Roman"/>
          <w:b w:val="0"/>
          <w:bCs w:val="0"/>
          <w:szCs w:val="24"/>
          <w:highlight w:val="none"/>
          <w:lang w:val="en-US" w:eastAsia="zh-CN"/>
        </w:rPr>
        <w:t>目的意义</w:t>
      </w:r>
      <w:r>
        <w:rPr>
          <w:rFonts w:hint="default" w:ascii="Times New Roman" w:hAnsi="Times New Roman" w:cs="Times New Roman"/>
          <w:b w:val="0"/>
          <w:bCs w:val="0"/>
          <w:highlight w:val="none"/>
        </w:rPr>
        <w:tab/>
      </w:r>
      <w:r>
        <w:rPr>
          <w:rFonts w:hint="default" w:ascii="Times New Roman" w:hAnsi="Times New Roman" w:cs="Times New Roman"/>
          <w:b w:val="0"/>
          <w:bCs w:val="0"/>
          <w:highlight w:val="none"/>
        </w:rPr>
        <w:fldChar w:fldCharType="begin"/>
      </w:r>
      <w:r>
        <w:rPr>
          <w:rFonts w:hint="default" w:ascii="Times New Roman" w:hAnsi="Times New Roman" w:cs="Times New Roman"/>
          <w:b w:val="0"/>
          <w:bCs w:val="0"/>
          <w:highlight w:val="none"/>
        </w:rPr>
        <w:instrText xml:space="preserve"> PAGEREF _Toc2875 \h </w:instrText>
      </w:r>
      <w:r>
        <w:rPr>
          <w:rFonts w:hint="default" w:ascii="Times New Roman" w:hAnsi="Times New Roman" w:cs="Times New Roman"/>
          <w:b w:val="0"/>
          <w:bCs w:val="0"/>
          <w:highlight w:val="none"/>
        </w:rPr>
        <w:fldChar w:fldCharType="separate"/>
      </w:r>
      <w:r>
        <w:rPr>
          <w:rFonts w:hint="default" w:ascii="Times New Roman" w:hAnsi="Times New Roman" w:cs="Times New Roman"/>
          <w:b w:val="0"/>
          <w:bCs w:val="0"/>
          <w:highlight w:val="none"/>
        </w:rPr>
        <w:t>1</w:t>
      </w:r>
      <w:r>
        <w:rPr>
          <w:rFonts w:hint="default" w:ascii="Times New Roman" w:hAnsi="Times New Roman" w:cs="Times New Roman"/>
          <w:b w:val="0"/>
          <w:bCs w:val="0"/>
          <w:highlight w:val="none"/>
        </w:rPr>
        <w:fldChar w:fldCharType="end"/>
      </w:r>
      <w:r>
        <w:rPr>
          <w:rFonts w:hint="default" w:ascii="Times New Roman" w:hAnsi="Times New Roman" w:cs="Times New Roman"/>
          <w:b w:val="0"/>
          <w:bCs w:val="0"/>
          <w:color w:val="auto"/>
          <w:szCs w:val="24"/>
          <w:highlight w:val="none"/>
        </w:rPr>
        <w:fldChar w:fldCharType="end"/>
      </w:r>
    </w:p>
    <w:p>
      <w:pPr>
        <w:pStyle w:val="17"/>
        <w:tabs>
          <w:tab w:val="right" w:leader="dot" w:pos="8306"/>
        </w:tabs>
        <w:rPr>
          <w:rFonts w:hint="default" w:ascii="Times New Roman" w:hAnsi="Times New Roman" w:cs="Times New Roman"/>
          <w:b w:val="0"/>
          <w:bCs w:val="0"/>
          <w:highlight w:val="none"/>
        </w:rPr>
      </w:pPr>
      <w:r>
        <w:rPr>
          <w:rFonts w:hint="default" w:ascii="Times New Roman" w:hAnsi="Times New Roman" w:cs="Times New Roman"/>
          <w:b w:val="0"/>
          <w:bCs w:val="0"/>
          <w:color w:val="auto"/>
          <w:szCs w:val="24"/>
          <w:highlight w:val="none"/>
        </w:rPr>
        <w:fldChar w:fldCharType="begin"/>
      </w:r>
      <w:r>
        <w:rPr>
          <w:rFonts w:hint="default" w:ascii="Times New Roman" w:hAnsi="Times New Roman" w:cs="Times New Roman"/>
          <w:b w:val="0"/>
          <w:bCs w:val="0"/>
          <w:szCs w:val="24"/>
          <w:highlight w:val="none"/>
        </w:rPr>
        <w:instrText xml:space="preserve"> HYPERLINK \l _Toc10640 </w:instrText>
      </w:r>
      <w:r>
        <w:rPr>
          <w:rFonts w:hint="default" w:ascii="Times New Roman" w:hAnsi="Times New Roman" w:cs="Times New Roman"/>
          <w:b w:val="0"/>
          <w:bCs w:val="0"/>
          <w:szCs w:val="24"/>
          <w:highlight w:val="none"/>
        </w:rPr>
        <w:fldChar w:fldCharType="separate"/>
      </w:r>
      <w:r>
        <w:rPr>
          <w:rFonts w:hint="default" w:ascii="Times New Roman" w:hAnsi="Times New Roman" w:eastAsia="宋体" w:cs="Times New Roman"/>
          <w:b w:val="0"/>
          <w:bCs w:val="0"/>
          <w:szCs w:val="24"/>
          <w:highlight w:val="none"/>
        </w:rPr>
        <w:t>1.</w:t>
      </w:r>
      <w:r>
        <w:rPr>
          <w:rFonts w:hint="default" w:ascii="Times New Roman" w:hAnsi="Times New Roman" w:eastAsia="宋体" w:cs="Times New Roman"/>
          <w:b w:val="0"/>
          <w:bCs w:val="0"/>
          <w:szCs w:val="24"/>
          <w:highlight w:val="none"/>
          <w:lang w:val="en-US" w:eastAsia="zh-CN"/>
        </w:rPr>
        <w:t>3 主导单位</w:t>
      </w:r>
      <w:r>
        <w:rPr>
          <w:rFonts w:hint="default" w:ascii="Times New Roman" w:hAnsi="Times New Roman" w:cs="Times New Roman"/>
          <w:b w:val="0"/>
          <w:bCs w:val="0"/>
          <w:highlight w:val="none"/>
        </w:rPr>
        <w:tab/>
      </w:r>
      <w:r>
        <w:rPr>
          <w:rFonts w:hint="default" w:ascii="Times New Roman" w:hAnsi="Times New Roman" w:cs="Times New Roman"/>
          <w:b w:val="0"/>
          <w:bCs w:val="0"/>
          <w:highlight w:val="none"/>
        </w:rPr>
        <w:fldChar w:fldCharType="begin"/>
      </w:r>
      <w:r>
        <w:rPr>
          <w:rFonts w:hint="default" w:ascii="Times New Roman" w:hAnsi="Times New Roman" w:cs="Times New Roman"/>
          <w:b w:val="0"/>
          <w:bCs w:val="0"/>
          <w:highlight w:val="none"/>
        </w:rPr>
        <w:instrText xml:space="preserve"> PAGEREF _Toc10640 \h </w:instrText>
      </w:r>
      <w:r>
        <w:rPr>
          <w:rFonts w:hint="default" w:ascii="Times New Roman" w:hAnsi="Times New Roman" w:cs="Times New Roman"/>
          <w:b w:val="0"/>
          <w:bCs w:val="0"/>
          <w:highlight w:val="none"/>
        </w:rPr>
        <w:fldChar w:fldCharType="separate"/>
      </w:r>
      <w:r>
        <w:rPr>
          <w:rFonts w:hint="default" w:ascii="Times New Roman" w:hAnsi="Times New Roman" w:cs="Times New Roman"/>
          <w:b w:val="0"/>
          <w:bCs w:val="0"/>
          <w:highlight w:val="none"/>
        </w:rPr>
        <w:t>5</w:t>
      </w:r>
      <w:r>
        <w:rPr>
          <w:rFonts w:hint="default" w:ascii="Times New Roman" w:hAnsi="Times New Roman" w:cs="Times New Roman"/>
          <w:b w:val="0"/>
          <w:bCs w:val="0"/>
          <w:highlight w:val="none"/>
        </w:rPr>
        <w:fldChar w:fldCharType="end"/>
      </w:r>
      <w:r>
        <w:rPr>
          <w:rFonts w:hint="default" w:ascii="Times New Roman" w:hAnsi="Times New Roman" w:cs="Times New Roman"/>
          <w:b w:val="0"/>
          <w:bCs w:val="0"/>
          <w:color w:val="auto"/>
          <w:szCs w:val="24"/>
          <w:highlight w:val="none"/>
        </w:rPr>
        <w:fldChar w:fldCharType="end"/>
      </w:r>
    </w:p>
    <w:p>
      <w:pPr>
        <w:pStyle w:val="17"/>
        <w:tabs>
          <w:tab w:val="right" w:leader="dot" w:pos="8306"/>
        </w:tabs>
        <w:rPr>
          <w:rFonts w:hint="default" w:ascii="Times New Roman" w:hAnsi="Times New Roman" w:cs="Times New Roman"/>
          <w:b w:val="0"/>
          <w:bCs w:val="0"/>
          <w:highlight w:val="none"/>
        </w:rPr>
      </w:pPr>
      <w:r>
        <w:rPr>
          <w:rFonts w:hint="default" w:ascii="Times New Roman" w:hAnsi="Times New Roman" w:cs="Times New Roman"/>
          <w:b w:val="0"/>
          <w:bCs w:val="0"/>
          <w:color w:val="auto"/>
          <w:szCs w:val="24"/>
          <w:highlight w:val="none"/>
        </w:rPr>
        <w:fldChar w:fldCharType="begin"/>
      </w:r>
      <w:r>
        <w:rPr>
          <w:rFonts w:hint="default" w:ascii="Times New Roman" w:hAnsi="Times New Roman" w:cs="Times New Roman"/>
          <w:b w:val="0"/>
          <w:bCs w:val="0"/>
          <w:szCs w:val="24"/>
          <w:highlight w:val="none"/>
        </w:rPr>
        <w:instrText xml:space="preserve"> HYPERLINK \l _Toc4267 </w:instrText>
      </w:r>
      <w:r>
        <w:rPr>
          <w:rFonts w:hint="default" w:ascii="Times New Roman" w:hAnsi="Times New Roman" w:cs="Times New Roman"/>
          <w:b w:val="0"/>
          <w:bCs w:val="0"/>
          <w:szCs w:val="24"/>
          <w:highlight w:val="none"/>
        </w:rPr>
        <w:fldChar w:fldCharType="separate"/>
      </w:r>
      <w:r>
        <w:rPr>
          <w:rFonts w:hint="default" w:ascii="Times New Roman" w:hAnsi="Times New Roman" w:eastAsia="宋体" w:cs="Times New Roman"/>
          <w:b w:val="0"/>
          <w:bCs w:val="0"/>
          <w:szCs w:val="24"/>
          <w:highlight w:val="none"/>
        </w:rPr>
        <w:t>1.</w:t>
      </w:r>
      <w:r>
        <w:rPr>
          <w:rFonts w:hint="default" w:ascii="Times New Roman" w:hAnsi="Times New Roman" w:eastAsia="宋体" w:cs="Times New Roman"/>
          <w:b w:val="0"/>
          <w:bCs w:val="0"/>
          <w:szCs w:val="24"/>
          <w:highlight w:val="none"/>
          <w:lang w:val="en-US" w:eastAsia="zh-CN"/>
        </w:rPr>
        <w:t xml:space="preserve">4 </w:t>
      </w:r>
      <w:r>
        <w:rPr>
          <w:rFonts w:hint="default" w:ascii="Times New Roman" w:hAnsi="Times New Roman" w:eastAsia="宋体" w:cs="Times New Roman"/>
          <w:b w:val="0"/>
          <w:bCs w:val="0"/>
          <w:szCs w:val="24"/>
          <w:highlight w:val="none"/>
        </w:rPr>
        <w:t>工作过程</w:t>
      </w:r>
      <w:r>
        <w:rPr>
          <w:rFonts w:hint="default" w:ascii="Times New Roman" w:hAnsi="Times New Roman" w:cs="Times New Roman"/>
          <w:b w:val="0"/>
          <w:bCs w:val="0"/>
          <w:highlight w:val="none"/>
        </w:rPr>
        <w:tab/>
      </w:r>
      <w:r>
        <w:rPr>
          <w:rFonts w:hint="default" w:ascii="Times New Roman" w:hAnsi="Times New Roman" w:cs="Times New Roman"/>
          <w:b w:val="0"/>
          <w:bCs w:val="0"/>
          <w:highlight w:val="none"/>
        </w:rPr>
        <w:fldChar w:fldCharType="begin"/>
      </w:r>
      <w:r>
        <w:rPr>
          <w:rFonts w:hint="default" w:ascii="Times New Roman" w:hAnsi="Times New Roman" w:cs="Times New Roman"/>
          <w:b w:val="0"/>
          <w:bCs w:val="0"/>
          <w:highlight w:val="none"/>
        </w:rPr>
        <w:instrText xml:space="preserve"> PAGEREF _Toc4267 \h </w:instrText>
      </w:r>
      <w:r>
        <w:rPr>
          <w:rFonts w:hint="default" w:ascii="Times New Roman" w:hAnsi="Times New Roman" w:cs="Times New Roman"/>
          <w:b w:val="0"/>
          <w:bCs w:val="0"/>
          <w:highlight w:val="none"/>
        </w:rPr>
        <w:fldChar w:fldCharType="separate"/>
      </w:r>
      <w:r>
        <w:rPr>
          <w:rFonts w:hint="default" w:ascii="Times New Roman" w:hAnsi="Times New Roman" w:cs="Times New Roman"/>
          <w:b w:val="0"/>
          <w:bCs w:val="0"/>
          <w:highlight w:val="none"/>
        </w:rPr>
        <w:t>5</w:t>
      </w:r>
      <w:r>
        <w:rPr>
          <w:rFonts w:hint="default" w:ascii="Times New Roman" w:hAnsi="Times New Roman" w:cs="Times New Roman"/>
          <w:b w:val="0"/>
          <w:bCs w:val="0"/>
          <w:highlight w:val="none"/>
        </w:rPr>
        <w:fldChar w:fldCharType="end"/>
      </w:r>
      <w:r>
        <w:rPr>
          <w:rFonts w:hint="default" w:ascii="Times New Roman" w:hAnsi="Times New Roman" w:cs="Times New Roman"/>
          <w:b w:val="0"/>
          <w:bCs w:val="0"/>
          <w:color w:val="auto"/>
          <w:szCs w:val="24"/>
          <w:highlight w:val="none"/>
        </w:rPr>
        <w:fldChar w:fldCharType="end"/>
      </w:r>
    </w:p>
    <w:p>
      <w:pPr>
        <w:pStyle w:val="17"/>
        <w:tabs>
          <w:tab w:val="right" w:leader="dot" w:pos="8306"/>
        </w:tabs>
        <w:rPr>
          <w:rFonts w:hint="default" w:ascii="Times New Roman" w:hAnsi="Times New Roman" w:cs="Times New Roman"/>
          <w:b w:val="0"/>
          <w:bCs w:val="0"/>
          <w:highlight w:val="none"/>
        </w:rPr>
      </w:pPr>
      <w:r>
        <w:rPr>
          <w:rFonts w:hint="default" w:ascii="Times New Roman" w:hAnsi="Times New Roman" w:cs="Times New Roman"/>
          <w:b w:val="0"/>
          <w:bCs w:val="0"/>
          <w:color w:val="auto"/>
          <w:szCs w:val="24"/>
          <w:highlight w:val="none"/>
        </w:rPr>
        <w:fldChar w:fldCharType="begin"/>
      </w:r>
      <w:r>
        <w:rPr>
          <w:rFonts w:hint="default" w:ascii="Times New Roman" w:hAnsi="Times New Roman" w:cs="Times New Roman"/>
          <w:b w:val="0"/>
          <w:bCs w:val="0"/>
          <w:szCs w:val="24"/>
          <w:highlight w:val="none"/>
        </w:rPr>
        <w:instrText xml:space="preserve"> HYPERLINK \l _Toc6098 </w:instrText>
      </w:r>
      <w:r>
        <w:rPr>
          <w:rFonts w:hint="default" w:ascii="Times New Roman" w:hAnsi="Times New Roman" w:cs="Times New Roman"/>
          <w:b w:val="0"/>
          <w:bCs w:val="0"/>
          <w:szCs w:val="24"/>
          <w:highlight w:val="none"/>
        </w:rPr>
        <w:fldChar w:fldCharType="separate"/>
      </w:r>
      <w:r>
        <w:rPr>
          <w:rFonts w:hint="default" w:ascii="Times New Roman" w:hAnsi="Times New Roman" w:eastAsia="宋体" w:cs="Times New Roman"/>
          <w:b w:val="0"/>
          <w:bCs w:val="0"/>
          <w:szCs w:val="24"/>
          <w:highlight w:val="none"/>
        </w:rPr>
        <w:t>1.</w:t>
      </w:r>
      <w:r>
        <w:rPr>
          <w:rFonts w:hint="default" w:ascii="Times New Roman" w:hAnsi="Times New Roman" w:eastAsia="宋体" w:cs="Times New Roman"/>
          <w:b w:val="0"/>
          <w:bCs w:val="0"/>
          <w:szCs w:val="24"/>
          <w:highlight w:val="none"/>
          <w:lang w:val="en-US" w:eastAsia="zh-CN"/>
        </w:rPr>
        <w:t>5 工作成员及任务分工</w:t>
      </w:r>
      <w:r>
        <w:rPr>
          <w:rFonts w:hint="default" w:ascii="Times New Roman" w:hAnsi="Times New Roman" w:cs="Times New Roman"/>
          <w:b w:val="0"/>
          <w:bCs w:val="0"/>
          <w:highlight w:val="none"/>
        </w:rPr>
        <w:tab/>
      </w:r>
      <w:r>
        <w:rPr>
          <w:rFonts w:hint="default" w:ascii="Times New Roman" w:hAnsi="Times New Roman" w:cs="Times New Roman"/>
          <w:b w:val="0"/>
          <w:bCs w:val="0"/>
          <w:highlight w:val="none"/>
        </w:rPr>
        <w:fldChar w:fldCharType="begin"/>
      </w:r>
      <w:r>
        <w:rPr>
          <w:rFonts w:hint="default" w:ascii="Times New Roman" w:hAnsi="Times New Roman" w:cs="Times New Roman"/>
          <w:b w:val="0"/>
          <w:bCs w:val="0"/>
          <w:highlight w:val="none"/>
        </w:rPr>
        <w:instrText xml:space="preserve"> PAGEREF _Toc6098 \h </w:instrText>
      </w:r>
      <w:r>
        <w:rPr>
          <w:rFonts w:hint="default" w:ascii="Times New Roman" w:hAnsi="Times New Roman" w:cs="Times New Roman"/>
          <w:b w:val="0"/>
          <w:bCs w:val="0"/>
          <w:highlight w:val="none"/>
        </w:rPr>
        <w:fldChar w:fldCharType="separate"/>
      </w:r>
      <w:r>
        <w:rPr>
          <w:rFonts w:hint="default" w:ascii="Times New Roman" w:hAnsi="Times New Roman" w:cs="Times New Roman"/>
          <w:b w:val="0"/>
          <w:bCs w:val="0"/>
          <w:highlight w:val="none"/>
        </w:rPr>
        <w:t>6</w:t>
      </w:r>
      <w:r>
        <w:rPr>
          <w:rFonts w:hint="default" w:ascii="Times New Roman" w:hAnsi="Times New Roman" w:cs="Times New Roman"/>
          <w:b w:val="0"/>
          <w:bCs w:val="0"/>
          <w:highlight w:val="none"/>
        </w:rPr>
        <w:fldChar w:fldCharType="end"/>
      </w:r>
      <w:r>
        <w:rPr>
          <w:rFonts w:hint="default" w:ascii="Times New Roman" w:hAnsi="Times New Roman" w:cs="Times New Roman"/>
          <w:b w:val="0"/>
          <w:bCs w:val="0"/>
          <w:color w:val="auto"/>
          <w:szCs w:val="24"/>
          <w:highlight w:val="none"/>
        </w:rPr>
        <w:fldChar w:fldCharType="end"/>
      </w:r>
    </w:p>
    <w:p>
      <w:pPr>
        <w:pStyle w:val="16"/>
        <w:tabs>
          <w:tab w:val="right" w:leader="dot" w:pos="8306"/>
        </w:tabs>
        <w:rPr>
          <w:rFonts w:hint="default" w:ascii="Times New Roman" w:hAnsi="Times New Roman" w:cs="Times New Roman"/>
          <w:b/>
          <w:bCs/>
          <w:highlight w:val="none"/>
        </w:rPr>
      </w:pPr>
      <w:r>
        <w:rPr>
          <w:rFonts w:hint="default" w:ascii="Times New Roman" w:hAnsi="Times New Roman" w:cs="Times New Roman"/>
          <w:b/>
          <w:bCs/>
          <w:color w:val="auto"/>
          <w:szCs w:val="24"/>
          <w:highlight w:val="none"/>
        </w:rPr>
        <w:fldChar w:fldCharType="begin"/>
      </w:r>
      <w:r>
        <w:rPr>
          <w:rFonts w:hint="default" w:ascii="Times New Roman" w:hAnsi="Times New Roman" w:cs="Times New Roman"/>
          <w:b/>
          <w:bCs/>
          <w:szCs w:val="24"/>
          <w:highlight w:val="none"/>
        </w:rPr>
        <w:instrText xml:space="preserve"> HYPERLINK \l _Toc27558 </w:instrText>
      </w:r>
      <w:r>
        <w:rPr>
          <w:rFonts w:hint="default" w:ascii="Times New Roman" w:hAnsi="Times New Roman" w:cs="Times New Roman"/>
          <w:b/>
          <w:bCs/>
          <w:szCs w:val="24"/>
          <w:highlight w:val="none"/>
        </w:rPr>
        <w:fldChar w:fldCharType="separate"/>
      </w:r>
      <w:r>
        <w:rPr>
          <w:rFonts w:hint="default" w:ascii="Times New Roman" w:hAnsi="Times New Roman" w:eastAsia="宋体" w:cs="Times New Roman"/>
          <w:b/>
          <w:bCs/>
          <w:szCs w:val="24"/>
          <w:highlight w:val="none"/>
          <w:lang w:val="en-US" w:eastAsia="zh-CN"/>
        </w:rPr>
        <w:t>2</w:t>
      </w:r>
      <w:r>
        <w:rPr>
          <w:rFonts w:hint="default" w:ascii="Times New Roman" w:hAnsi="Times New Roman" w:eastAsia="宋体" w:cs="Times New Roman"/>
          <w:b/>
          <w:bCs/>
          <w:szCs w:val="24"/>
          <w:highlight w:val="none"/>
        </w:rPr>
        <w:t xml:space="preserve">  标准</w:t>
      </w:r>
      <w:r>
        <w:rPr>
          <w:rFonts w:hint="default" w:ascii="Times New Roman" w:hAnsi="Times New Roman" w:eastAsia="宋体" w:cs="Times New Roman"/>
          <w:b/>
          <w:bCs/>
          <w:szCs w:val="24"/>
          <w:highlight w:val="none"/>
          <w:lang w:val="en-US" w:eastAsia="zh-CN"/>
        </w:rPr>
        <w:t>编制</w:t>
      </w:r>
      <w:r>
        <w:rPr>
          <w:rFonts w:hint="default" w:ascii="Times New Roman" w:hAnsi="Times New Roman" w:eastAsia="宋体" w:cs="Times New Roman"/>
          <w:b/>
          <w:bCs/>
          <w:szCs w:val="24"/>
          <w:highlight w:val="none"/>
        </w:rPr>
        <w:t>原则</w:t>
      </w:r>
      <w:r>
        <w:rPr>
          <w:rFonts w:hint="default" w:ascii="Times New Roman" w:hAnsi="Times New Roman" w:eastAsia="宋体" w:cs="Times New Roman"/>
          <w:b/>
          <w:bCs/>
          <w:szCs w:val="24"/>
          <w:highlight w:val="none"/>
          <w:lang w:eastAsia="zh-CN"/>
        </w:rPr>
        <w:t>、</w:t>
      </w:r>
      <w:r>
        <w:rPr>
          <w:rFonts w:hint="default" w:ascii="Times New Roman" w:hAnsi="Times New Roman" w:eastAsia="宋体" w:cs="Times New Roman"/>
          <w:b/>
          <w:bCs/>
          <w:szCs w:val="24"/>
          <w:highlight w:val="none"/>
          <w:lang w:val="en-US" w:eastAsia="zh-CN"/>
        </w:rPr>
        <w:t>方法、</w:t>
      </w:r>
      <w:r>
        <w:rPr>
          <w:rFonts w:hint="default" w:ascii="Times New Roman" w:hAnsi="Times New Roman" w:eastAsia="宋体" w:cs="Times New Roman"/>
          <w:b/>
          <w:bCs/>
          <w:szCs w:val="24"/>
          <w:highlight w:val="none"/>
        </w:rPr>
        <w:t>和技术路线</w:t>
      </w:r>
      <w:r>
        <w:rPr>
          <w:rFonts w:hint="default" w:ascii="Times New Roman" w:hAnsi="Times New Roman" w:eastAsia="宋体" w:cs="Times New Roman"/>
          <w:b/>
          <w:bCs/>
          <w:szCs w:val="24"/>
          <w:highlight w:val="none"/>
          <w:lang w:val="en-US" w:eastAsia="zh-CN"/>
        </w:rPr>
        <w:t>和依据</w:t>
      </w:r>
      <w:r>
        <w:rPr>
          <w:rFonts w:hint="default" w:ascii="Times New Roman" w:hAnsi="Times New Roman" w:cs="Times New Roman"/>
          <w:b/>
          <w:bCs/>
          <w:highlight w:val="none"/>
        </w:rPr>
        <w:tab/>
      </w:r>
      <w:r>
        <w:rPr>
          <w:rFonts w:hint="default" w:ascii="Times New Roman" w:hAnsi="Times New Roman" w:cs="Times New Roman"/>
          <w:b/>
          <w:bCs/>
          <w:highlight w:val="none"/>
        </w:rPr>
        <w:fldChar w:fldCharType="begin"/>
      </w:r>
      <w:r>
        <w:rPr>
          <w:rFonts w:hint="default" w:ascii="Times New Roman" w:hAnsi="Times New Roman" w:cs="Times New Roman"/>
          <w:b/>
          <w:bCs/>
          <w:highlight w:val="none"/>
        </w:rPr>
        <w:instrText xml:space="preserve"> PAGEREF _Toc27558 \h </w:instrText>
      </w:r>
      <w:r>
        <w:rPr>
          <w:rFonts w:hint="default" w:ascii="Times New Roman" w:hAnsi="Times New Roman" w:cs="Times New Roman"/>
          <w:b/>
          <w:bCs/>
          <w:highlight w:val="none"/>
        </w:rPr>
        <w:fldChar w:fldCharType="separate"/>
      </w:r>
      <w:r>
        <w:rPr>
          <w:rFonts w:hint="default" w:ascii="Times New Roman" w:hAnsi="Times New Roman" w:cs="Times New Roman"/>
          <w:b/>
          <w:bCs/>
          <w:highlight w:val="none"/>
        </w:rPr>
        <w:t>7</w:t>
      </w:r>
      <w:r>
        <w:rPr>
          <w:rFonts w:hint="default" w:ascii="Times New Roman" w:hAnsi="Times New Roman" w:cs="Times New Roman"/>
          <w:b/>
          <w:bCs/>
          <w:highlight w:val="none"/>
        </w:rPr>
        <w:fldChar w:fldCharType="end"/>
      </w:r>
      <w:r>
        <w:rPr>
          <w:rFonts w:hint="default" w:ascii="Times New Roman" w:hAnsi="Times New Roman" w:cs="Times New Roman"/>
          <w:b/>
          <w:bCs/>
          <w:color w:val="auto"/>
          <w:szCs w:val="24"/>
          <w:highlight w:val="none"/>
        </w:rPr>
        <w:fldChar w:fldCharType="end"/>
      </w:r>
    </w:p>
    <w:p>
      <w:pPr>
        <w:pStyle w:val="17"/>
        <w:tabs>
          <w:tab w:val="right" w:leader="dot" w:pos="8306"/>
        </w:tabs>
        <w:rPr>
          <w:rFonts w:hint="default" w:ascii="Times New Roman" w:hAnsi="Times New Roman" w:cs="Times New Roman"/>
          <w:b w:val="0"/>
          <w:bCs w:val="0"/>
          <w:highlight w:val="none"/>
        </w:rPr>
      </w:pPr>
      <w:r>
        <w:rPr>
          <w:rFonts w:hint="default" w:ascii="Times New Roman" w:hAnsi="Times New Roman" w:cs="Times New Roman"/>
          <w:b w:val="0"/>
          <w:bCs w:val="0"/>
          <w:color w:val="auto"/>
          <w:szCs w:val="24"/>
          <w:highlight w:val="none"/>
        </w:rPr>
        <w:fldChar w:fldCharType="begin"/>
      </w:r>
      <w:r>
        <w:rPr>
          <w:rFonts w:hint="default" w:ascii="Times New Roman" w:hAnsi="Times New Roman" w:cs="Times New Roman"/>
          <w:b w:val="0"/>
          <w:bCs w:val="0"/>
          <w:szCs w:val="24"/>
          <w:highlight w:val="none"/>
        </w:rPr>
        <w:instrText xml:space="preserve"> HYPERLINK \l _Toc6210 </w:instrText>
      </w:r>
      <w:r>
        <w:rPr>
          <w:rFonts w:hint="default" w:ascii="Times New Roman" w:hAnsi="Times New Roman" w:cs="Times New Roman"/>
          <w:b w:val="0"/>
          <w:bCs w:val="0"/>
          <w:szCs w:val="24"/>
          <w:highlight w:val="none"/>
        </w:rPr>
        <w:fldChar w:fldCharType="separate"/>
      </w:r>
      <w:r>
        <w:rPr>
          <w:rFonts w:hint="default" w:ascii="Times New Roman" w:hAnsi="Times New Roman" w:eastAsia="宋体" w:cs="Times New Roman"/>
          <w:b w:val="0"/>
          <w:bCs w:val="0"/>
          <w:szCs w:val="24"/>
          <w:highlight w:val="none"/>
          <w:lang w:val="en-US" w:eastAsia="zh-CN"/>
        </w:rPr>
        <w:t>2</w:t>
      </w:r>
      <w:r>
        <w:rPr>
          <w:rFonts w:hint="default" w:ascii="Times New Roman" w:hAnsi="Times New Roman" w:eastAsia="宋体" w:cs="Times New Roman"/>
          <w:b w:val="0"/>
          <w:bCs w:val="0"/>
          <w:szCs w:val="24"/>
          <w:highlight w:val="none"/>
        </w:rPr>
        <w:t xml:space="preserve">.1  </w:t>
      </w:r>
      <w:r>
        <w:rPr>
          <w:rFonts w:hint="default" w:ascii="Times New Roman" w:hAnsi="Times New Roman" w:eastAsia="宋体" w:cs="Times New Roman"/>
          <w:b w:val="0"/>
          <w:bCs w:val="0"/>
          <w:szCs w:val="24"/>
          <w:highlight w:val="none"/>
          <w:lang w:val="en-US" w:eastAsia="zh-CN"/>
        </w:rPr>
        <w:t>编制</w:t>
      </w:r>
      <w:r>
        <w:rPr>
          <w:rFonts w:hint="default" w:ascii="Times New Roman" w:hAnsi="Times New Roman" w:eastAsia="宋体" w:cs="Times New Roman"/>
          <w:b w:val="0"/>
          <w:bCs w:val="0"/>
          <w:szCs w:val="24"/>
          <w:highlight w:val="none"/>
        </w:rPr>
        <w:t>原则</w:t>
      </w:r>
      <w:r>
        <w:rPr>
          <w:rFonts w:hint="default" w:ascii="Times New Roman" w:hAnsi="Times New Roman" w:cs="Times New Roman"/>
          <w:b w:val="0"/>
          <w:bCs w:val="0"/>
          <w:highlight w:val="none"/>
        </w:rPr>
        <w:tab/>
      </w:r>
      <w:r>
        <w:rPr>
          <w:rFonts w:hint="default" w:ascii="Times New Roman" w:hAnsi="Times New Roman" w:cs="Times New Roman"/>
          <w:b w:val="0"/>
          <w:bCs w:val="0"/>
          <w:highlight w:val="none"/>
        </w:rPr>
        <w:fldChar w:fldCharType="begin"/>
      </w:r>
      <w:r>
        <w:rPr>
          <w:rFonts w:hint="default" w:ascii="Times New Roman" w:hAnsi="Times New Roman" w:cs="Times New Roman"/>
          <w:b w:val="0"/>
          <w:bCs w:val="0"/>
          <w:highlight w:val="none"/>
        </w:rPr>
        <w:instrText xml:space="preserve"> PAGEREF _Toc6210 \h </w:instrText>
      </w:r>
      <w:r>
        <w:rPr>
          <w:rFonts w:hint="default" w:ascii="Times New Roman" w:hAnsi="Times New Roman" w:cs="Times New Roman"/>
          <w:b w:val="0"/>
          <w:bCs w:val="0"/>
          <w:highlight w:val="none"/>
        </w:rPr>
        <w:fldChar w:fldCharType="separate"/>
      </w:r>
      <w:r>
        <w:rPr>
          <w:rFonts w:hint="default" w:ascii="Times New Roman" w:hAnsi="Times New Roman" w:cs="Times New Roman"/>
          <w:b w:val="0"/>
          <w:bCs w:val="0"/>
          <w:highlight w:val="none"/>
        </w:rPr>
        <w:t>7</w:t>
      </w:r>
      <w:r>
        <w:rPr>
          <w:rFonts w:hint="default" w:ascii="Times New Roman" w:hAnsi="Times New Roman" w:cs="Times New Roman"/>
          <w:b w:val="0"/>
          <w:bCs w:val="0"/>
          <w:highlight w:val="none"/>
        </w:rPr>
        <w:fldChar w:fldCharType="end"/>
      </w:r>
      <w:r>
        <w:rPr>
          <w:rFonts w:hint="default" w:ascii="Times New Roman" w:hAnsi="Times New Roman" w:cs="Times New Roman"/>
          <w:b w:val="0"/>
          <w:bCs w:val="0"/>
          <w:color w:val="auto"/>
          <w:szCs w:val="24"/>
          <w:highlight w:val="none"/>
        </w:rPr>
        <w:fldChar w:fldCharType="end"/>
      </w:r>
    </w:p>
    <w:p>
      <w:pPr>
        <w:pStyle w:val="17"/>
        <w:tabs>
          <w:tab w:val="right" w:leader="dot" w:pos="8306"/>
        </w:tabs>
        <w:rPr>
          <w:rFonts w:hint="default" w:ascii="Times New Roman" w:hAnsi="Times New Roman" w:cs="Times New Roman"/>
          <w:b w:val="0"/>
          <w:bCs w:val="0"/>
          <w:highlight w:val="none"/>
        </w:rPr>
      </w:pPr>
      <w:r>
        <w:rPr>
          <w:rFonts w:hint="default" w:ascii="Times New Roman" w:hAnsi="Times New Roman" w:cs="Times New Roman"/>
          <w:b w:val="0"/>
          <w:bCs w:val="0"/>
          <w:color w:val="auto"/>
          <w:szCs w:val="24"/>
          <w:highlight w:val="none"/>
        </w:rPr>
        <w:fldChar w:fldCharType="begin"/>
      </w:r>
      <w:r>
        <w:rPr>
          <w:rFonts w:hint="default" w:ascii="Times New Roman" w:hAnsi="Times New Roman" w:cs="Times New Roman"/>
          <w:b w:val="0"/>
          <w:bCs w:val="0"/>
          <w:szCs w:val="24"/>
          <w:highlight w:val="none"/>
        </w:rPr>
        <w:instrText xml:space="preserve"> HYPERLINK \l _Toc11863 </w:instrText>
      </w:r>
      <w:r>
        <w:rPr>
          <w:rFonts w:hint="default" w:ascii="Times New Roman" w:hAnsi="Times New Roman" w:cs="Times New Roman"/>
          <w:b w:val="0"/>
          <w:bCs w:val="0"/>
          <w:szCs w:val="24"/>
          <w:highlight w:val="none"/>
        </w:rPr>
        <w:fldChar w:fldCharType="separate"/>
      </w:r>
      <w:r>
        <w:rPr>
          <w:rFonts w:hint="default" w:ascii="Times New Roman" w:hAnsi="Times New Roman" w:eastAsia="宋体" w:cs="Times New Roman"/>
          <w:b w:val="0"/>
          <w:bCs w:val="0"/>
          <w:szCs w:val="24"/>
          <w:highlight w:val="none"/>
          <w:lang w:val="en-US" w:eastAsia="zh-CN"/>
        </w:rPr>
        <w:t>2</w:t>
      </w:r>
      <w:r>
        <w:rPr>
          <w:rFonts w:hint="default" w:ascii="Times New Roman" w:hAnsi="Times New Roman" w:eastAsia="宋体" w:cs="Times New Roman"/>
          <w:b w:val="0"/>
          <w:bCs w:val="0"/>
          <w:szCs w:val="24"/>
          <w:highlight w:val="none"/>
        </w:rPr>
        <w:t>.</w:t>
      </w:r>
      <w:r>
        <w:rPr>
          <w:rFonts w:hint="default" w:ascii="Times New Roman" w:hAnsi="Times New Roman" w:eastAsia="宋体" w:cs="Times New Roman"/>
          <w:b w:val="0"/>
          <w:bCs w:val="0"/>
          <w:szCs w:val="24"/>
          <w:highlight w:val="none"/>
          <w:lang w:val="en-US" w:eastAsia="zh-CN"/>
        </w:rPr>
        <w:t>2</w:t>
      </w:r>
      <w:r>
        <w:rPr>
          <w:rFonts w:hint="default" w:ascii="Times New Roman" w:hAnsi="Times New Roman" w:eastAsia="宋体" w:cs="Times New Roman"/>
          <w:b w:val="0"/>
          <w:bCs w:val="0"/>
          <w:szCs w:val="24"/>
          <w:highlight w:val="none"/>
        </w:rPr>
        <w:t xml:space="preserve">  </w:t>
      </w:r>
      <w:r>
        <w:rPr>
          <w:rFonts w:hint="default" w:ascii="Times New Roman" w:hAnsi="Times New Roman" w:eastAsia="宋体" w:cs="Times New Roman"/>
          <w:b w:val="0"/>
          <w:bCs w:val="0"/>
          <w:szCs w:val="24"/>
          <w:highlight w:val="none"/>
          <w:lang w:val="en-US" w:eastAsia="zh-CN"/>
        </w:rPr>
        <w:t>工作方法</w:t>
      </w:r>
      <w:r>
        <w:rPr>
          <w:rFonts w:hint="default" w:ascii="Times New Roman" w:hAnsi="Times New Roman" w:cs="Times New Roman"/>
          <w:b w:val="0"/>
          <w:bCs w:val="0"/>
          <w:highlight w:val="none"/>
        </w:rPr>
        <w:tab/>
      </w:r>
      <w:r>
        <w:rPr>
          <w:rFonts w:hint="default" w:ascii="Times New Roman" w:hAnsi="Times New Roman" w:cs="Times New Roman"/>
          <w:b w:val="0"/>
          <w:bCs w:val="0"/>
          <w:highlight w:val="none"/>
        </w:rPr>
        <w:fldChar w:fldCharType="begin"/>
      </w:r>
      <w:r>
        <w:rPr>
          <w:rFonts w:hint="default" w:ascii="Times New Roman" w:hAnsi="Times New Roman" w:cs="Times New Roman"/>
          <w:b w:val="0"/>
          <w:bCs w:val="0"/>
          <w:highlight w:val="none"/>
        </w:rPr>
        <w:instrText xml:space="preserve"> PAGEREF _Toc11863 \h </w:instrText>
      </w:r>
      <w:r>
        <w:rPr>
          <w:rFonts w:hint="default" w:ascii="Times New Roman" w:hAnsi="Times New Roman" w:cs="Times New Roman"/>
          <w:b w:val="0"/>
          <w:bCs w:val="0"/>
          <w:highlight w:val="none"/>
        </w:rPr>
        <w:fldChar w:fldCharType="separate"/>
      </w:r>
      <w:r>
        <w:rPr>
          <w:rFonts w:hint="default" w:ascii="Times New Roman" w:hAnsi="Times New Roman" w:cs="Times New Roman"/>
          <w:b w:val="0"/>
          <w:bCs w:val="0"/>
          <w:highlight w:val="none"/>
        </w:rPr>
        <w:t>7</w:t>
      </w:r>
      <w:r>
        <w:rPr>
          <w:rFonts w:hint="default" w:ascii="Times New Roman" w:hAnsi="Times New Roman" w:cs="Times New Roman"/>
          <w:b w:val="0"/>
          <w:bCs w:val="0"/>
          <w:highlight w:val="none"/>
        </w:rPr>
        <w:fldChar w:fldCharType="end"/>
      </w:r>
      <w:r>
        <w:rPr>
          <w:rFonts w:hint="default" w:ascii="Times New Roman" w:hAnsi="Times New Roman" w:cs="Times New Roman"/>
          <w:b w:val="0"/>
          <w:bCs w:val="0"/>
          <w:color w:val="auto"/>
          <w:szCs w:val="24"/>
          <w:highlight w:val="none"/>
        </w:rPr>
        <w:fldChar w:fldCharType="end"/>
      </w:r>
    </w:p>
    <w:p>
      <w:pPr>
        <w:pStyle w:val="17"/>
        <w:tabs>
          <w:tab w:val="right" w:leader="dot" w:pos="8306"/>
        </w:tabs>
        <w:rPr>
          <w:rFonts w:hint="default" w:ascii="Times New Roman" w:hAnsi="Times New Roman" w:cs="Times New Roman"/>
          <w:b w:val="0"/>
          <w:bCs w:val="0"/>
          <w:highlight w:val="none"/>
        </w:rPr>
      </w:pPr>
      <w:r>
        <w:rPr>
          <w:rFonts w:hint="default" w:ascii="Times New Roman" w:hAnsi="Times New Roman" w:cs="Times New Roman"/>
          <w:b w:val="0"/>
          <w:bCs w:val="0"/>
          <w:color w:val="auto"/>
          <w:szCs w:val="24"/>
          <w:highlight w:val="none"/>
        </w:rPr>
        <w:fldChar w:fldCharType="begin"/>
      </w:r>
      <w:r>
        <w:rPr>
          <w:rFonts w:hint="default" w:ascii="Times New Roman" w:hAnsi="Times New Roman" w:cs="Times New Roman"/>
          <w:b w:val="0"/>
          <w:bCs w:val="0"/>
          <w:szCs w:val="24"/>
          <w:highlight w:val="none"/>
        </w:rPr>
        <w:instrText xml:space="preserve"> HYPERLINK \l _Toc7114 </w:instrText>
      </w:r>
      <w:r>
        <w:rPr>
          <w:rFonts w:hint="default" w:ascii="Times New Roman" w:hAnsi="Times New Roman" w:cs="Times New Roman"/>
          <w:b w:val="0"/>
          <w:bCs w:val="0"/>
          <w:szCs w:val="24"/>
          <w:highlight w:val="none"/>
        </w:rPr>
        <w:fldChar w:fldCharType="separate"/>
      </w:r>
      <w:r>
        <w:rPr>
          <w:rFonts w:hint="default" w:ascii="Times New Roman" w:hAnsi="Times New Roman" w:eastAsia="宋体" w:cs="Times New Roman"/>
          <w:b w:val="0"/>
          <w:bCs w:val="0"/>
          <w:szCs w:val="24"/>
          <w:highlight w:val="none"/>
          <w:lang w:val="en-US" w:eastAsia="zh-CN"/>
        </w:rPr>
        <w:t>2</w:t>
      </w:r>
      <w:r>
        <w:rPr>
          <w:rFonts w:hint="default" w:ascii="Times New Roman" w:hAnsi="Times New Roman" w:eastAsia="宋体" w:cs="Times New Roman"/>
          <w:b w:val="0"/>
          <w:bCs w:val="0"/>
          <w:szCs w:val="24"/>
          <w:highlight w:val="none"/>
        </w:rPr>
        <w:t>.</w:t>
      </w:r>
      <w:r>
        <w:rPr>
          <w:rFonts w:hint="default" w:ascii="Times New Roman" w:hAnsi="Times New Roman" w:eastAsia="宋体" w:cs="Times New Roman"/>
          <w:b w:val="0"/>
          <w:bCs w:val="0"/>
          <w:szCs w:val="24"/>
          <w:highlight w:val="none"/>
          <w:lang w:val="en-US" w:eastAsia="zh-CN"/>
        </w:rPr>
        <w:t>3</w:t>
      </w:r>
      <w:r>
        <w:rPr>
          <w:rFonts w:hint="default" w:ascii="Times New Roman" w:hAnsi="Times New Roman" w:eastAsia="宋体" w:cs="Times New Roman"/>
          <w:b w:val="0"/>
          <w:bCs w:val="0"/>
          <w:szCs w:val="24"/>
          <w:highlight w:val="none"/>
        </w:rPr>
        <w:t xml:space="preserve">  技术路线</w:t>
      </w:r>
      <w:r>
        <w:rPr>
          <w:rFonts w:hint="default" w:ascii="Times New Roman" w:hAnsi="Times New Roman" w:cs="Times New Roman"/>
          <w:b w:val="0"/>
          <w:bCs w:val="0"/>
          <w:highlight w:val="none"/>
        </w:rPr>
        <w:tab/>
      </w:r>
      <w:r>
        <w:rPr>
          <w:rFonts w:hint="default" w:ascii="Times New Roman" w:hAnsi="Times New Roman" w:cs="Times New Roman"/>
          <w:b w:val="0"/>
          <w:bCs w:val="0"/>
          <w:highlight w:val="none"/>
        </w:rPr>
        <w:fldChar w:fldCharType="begin"/>
      </w:r>
      <w:r>
        <w:rPr>
          <w:rFonts w:hint="default" w:ascii="Times New Roman" w:hAnsi="Times New Roman" w:cs="Times New Roman"/>
          <w:b w:val="0"/>
          <w:bCs w:val="0"/>
          <w:highlight w:val="none"/>
        </w:rPr>
        <w:instrText xml:space="preserve"> PAGEREF _Toc7114 \h </w:instrText>
      </w:r>
      <w:r>
        <w:rPr>
          <w:rFonts w:hint="default" w:ascii="Times New Roman" w:hAnsi="Times New Roman" w:cs="Times New Roman"/>
          <w:b w:val="0"/>
          <w:bCs w:val="0"/>
          <w:highlight w:val="none"/>
        </w:rPr>
        <w:fldChar w:fldCharType="separate"/>
      </w:r>
      <w:r>
        <w:rPr>
          <w:rFonts w:hint="default" w:ascii="Times New Roman" w:hAnsi="Times New Roman" w:cs="Times New Roman"/>
          <w:b w:val="0"/>
          <w:bCs w:val="0"/>
          <w:highlight w:val="none"/>
        </w:rPr>
        <w:t>8</w:t>
      </w:r>
      <w:r>
        <w:rPr>
          <w:rFonts w:hint="default" w:ascii="Times New Roman" w:hAnsi="Times New Roman" w:cs="Times New Roman"/>
          <w:b w:val="0"/>
          <w:bCs w:val="0"/>
          <w:highlight w:val="none"/>
        </w:rPr>
        <w:fldChar w:fldCharType="end"/>
      </w:r>
      <w:r>
        <w:rPr>
          <w:rFonts w:hint="default" w:ascii="Times New Roman" w:hAnsi="Times New Roman" w:cs="Times New Roman"/>
          <w:b w:val="0"/>
          <w:bCs w:val="0"/>
          <w:color w:val="auto"/>
          <w:szCs w:val="24"/>
          <w:highlight w:val="none"/>
        </w:rPr>
        <w:fldChar w:fldCharType="end"/>
      </w:r>
    </w:p>
    <w:p>
      <w:pPr>
        <w:pStyle w:val="17"/>
        <w:tabs>
          <w:tab w:val="right" w:leader="dot" w:pos="8306"/>
        </w:tabs>
        <w:rPr>
          <w:rFonts w:hint="default" w:ascii="Times New Roman" w:hAnsi="Times New Roman" w:cs="Times New Roman"/>
          <w:b w:val="0"/>
          <w:bCs w:val="0"/>
          <w:highlight w:val="none"/>
        </w:rPr>
      </w:pPr>
      <w:r>
        <w:rPr>
          <w:rFonts w:hint="default" w:ascii="Times New Roman" w:hAnsi="Times New Roman" w:cs="Times New Roman"/>
          <w:b w:val="0"/>
          <w:bCs w:val="0"/>
          <w:color w:val="auto"/>
          <w:szCs w:val="24"/>
          <w:highlight w:val="none"/>
        </w:rPr>
        <w:fldChar w:fldCharType="begin"/>
      </w:r>
      <w:r>
        <w:rPr>
          <w:rFonts w:hint="default" w:ascii="Times New Roman" w:hAnsi="Times New Roman" w:cs="Times New Roman"/>
          <w:b w:val="0"/>
          <w:bCs w:val="0"/>
          <w:szCs w:val="24"/>
          <w:highlight w:val="none"/>
        </w:rPr>
        <w:instrText xml:space="preserve"> HYPERLINK \l _Toc31245 </w:instrText>
      </w:r>
      <w:r>
        <w:rPr>
          <w:rFonts w:hint="default" w:ascii="Times New Roman" w:hAnsi="Times New Roman" w:cs="Times New Roman"/>
          <w:b w:val="0"/>
          <w:bCs w:val="0"/>
          <w:szCs w:val="24"/>
          <w:highlight w:val="none"/>
        </w:rPr>
        <w:fldChar w:fldCharType="separate"/>
      </w:r>
      <w:r>
        <w:rPr>
          <w:rFonts w:hint="default" w:ascii="Times New Roman" w:hAnsi="Times New Roman" w:eastAsia="宋体" w:cs="Times New Roman"/>
          <w:b w:val="0"/>
          <w:bCs w:val="0"/>
          <w:szCs w:val="24"/>
          <w:highlight w:val="none"/>
          <w:lang w:val="en-US" w:eastAsia="zh-CN"/>
        </w:rPr>
        <w:t>2</w:t>
      </w:r>
      <w:r>
        <w:rPr>
          <w:rFonts w:hint="default" w:ascii="Times New Roman" w:hAnsi="Times New Roman" w:eastAsia="宋体" w:cs="Times New Roman"/>
          <w:b w:val="0"/>
          <w:bCs w:val="0"/>
          <w:szCs w:val="24"/>
          <w:highlight w:val="none"/>
        </w:rPr>
        <w:t>.</w:t>
      </w:r>
      <w:r>
        <w:rPr>
          <w:rFonts w:hint="default" w:ascii="Times New Roman" w:hAnsi="Times New Roman" w:eastAsia="宋体" w:cs="Times New Roman"/>
          <w:b w:val="0"/>
          <w:bCs w:val="0"/>
          <w:szCs w:val="24"/>
          <w:highlight w:val="none"/>
          <w:lang w:val="en-US" w:eastAsia="zh-CN"/>
        </w:rPr>
        <w:t>4</w:t>
      </w:r>
      <w:r>
        <w:rPr>
          <w:rFonts w:hint="default" w:ascii="Times New Roman" w:hAnsi="Times New Roman" w:eastAsia="宋体" w:cs="Times New Roman"/>
          <w:b w:val="0"/>
          <w:bCs w:val="0"/>
          <w:szCs w:val="24"/>
          <w:highlight w:val="none"/>
        </w:rPr>
        <w:t xml:space="preserve"> </w:t>
      </w:r>
      <w:r>
        <w:rPr>
          <w:rFonts w:hint="default" w:ascii="Times New Roman" w:hAnsi="Times New Roman" w:eastAsia="宋体" w:cs="Times New Roman"/>
          <w:b w:val="0"/>
          <w:bCs w:val="0"/>
          <w:szCs w:val="24"/>
          <w:highlight w:val="none"/>
          <w:lang w:val="en-US" w:eastAsia="zh-CN"/>
        </w:rPr>
        <w:t>编制依据</w:t>
      </w:r>
      <w:r>
        <w:rPr>
          <w:rFonts w:hint="default" w:ascii="Times New Roman" w:hAnsi="Times New Roman" w:cs="Times New Roman"/>
          <w:b w:val="0"/>
          <w:bCs w:val="0"/>
          <w:highlight w:val="none"/>
        </w:rPr>
        <w:tab/>
      </w:r>
      <w:r>
        <w:rPr>
          <w:rFonts w:hint="default" w:ascii="Times New Roman" w:hAnsi="Times New Roman" w:cs="Times New Roman"/>
          <w:b w:val="0"/>
          <w:bCs w:val="0"/>
          <w:highlight w:val="none"/>
        </w:rPr>
        <w:fldChar w:fldCharType="begin"/>
      </w:r>
      <w:r>
        <w:rPr>
          <w:rFonts w:hint="default" w:ascii="Times New Roman" w:hAnsi="Times New Roman" w:cs="Times New Roman"/>
          <w:b w:val="0"/>
          <w:bCs w:val="0"/>
          <w:highlight w:val="none"/>
        </w:rPr>
        <w:instrText xml:space="preserve"> PAGEREF _Toc31245 \h </w:instrText>
      </w:r>
      <w:r>
        <w:rPr>
          <w:rFonts w:hint="default" w:ascii="Times New Roman" w:hAnsi="Times New Roman" w:cs="Times New Roman"/>
          <w:b w:val="0"/>
          <w:bCs w:val="0"/>
          <w:highlight w:val="none"/>
        </w:rPr>
        <w:fldChar w:fldCharType="separate"/>
      </w:r>
      <w:r>
        <w:rPr>
          <w:rFonts w:hint="default" w:ascii="Times New Roman" w:hAnsi="Times New Roman" w:cs="Times New Roman"/>
          <w:b w:val="0"/>
          <w:bCs w:val="0"/>
          <w:highlight w:val="none"/>
        </w:rPr>
        <w:t>9</w:t>
      </w:r>
      <w:r>
        <w:rPr>
          <w:rFonts w:hint="default" w:ascii="Times New Roman" w:hAnsi="Times New Roman" w:cs="Times New Roman"/>
          <w:b w:val="0"/>
          <w:bCs w:val="0"/>
          <w:highlight w:val="none"/>
        </w:rPr>
        <w:fldChar w:fldCharType="end"/>
      </w:r>
      <w:r>
        <w:rPr>
          <w:rFonts w:hint="default" w:ascii="Times New Roman" w:hAnsi="Times New Roman" w:cs="Times New Roman"/>
          <w:b w:val="0"/>
          <w:bCs w:val="0"/>
          <w:color w:val="auto"/>
          <w:szCs w:val="24"/>
          <w:highlight w:val="none"/>
        </w:rPr>
        <w:fldChar w:fldCharType="end"/>
      </w:r>
    </w:p>
    <w:p>
      <w:pPr>
        <w:pStyle w:val="17"/>
        <w:tabs>
          <w:tab w:val="right" w:leader="dot" w:pos="8306"/>
        </w:tabs>
        <w:rPr>
          <w:rFonts w:hint="default" w:ascii="Times New Roman" w:hAnsi="Times New Roman" w:cs="Times New Roman"/>
          <w:b w:val="0"/>
          <w:bCs w:val="0"/>
          <w:highlight w:val="none"/>
        </w:rPr>
      </w:pPr>
      <w:r>
        <w:rPr>
          <w:rFonts w:hint="default" w:ascii="Times New Roman" w:hAnsi="Times New Roman" w:cs="Times New Roman"/>
          <w:b w:val="0"/>
          <w:bCs w:val="0"/>
          <w:color w:val="auto"/>
          <w:szCs w:val="24"/>
          <w:highlight w:val="none"/>
        </w:rPr>
        <w:fldChar w:fldCharType="begin"/>
      </w:r>
      <w:r>
        <w:rPr>
          <w:rFonts w:hint="default" w:ascii="Times New Roman" w:hAnsi="Times New Roman" w:cs="Times New Roman"/>
          <w:b w:val="0"/>
          <w:bCs w:val="0"/>
          <w:szCs w:val="24"/>
          <w:highlight w:val="none"/>
        </w:rPr>
        <w:instrText xml:space="preserve"> HYPERLINK \l _Toc2658 </w:instrText>
      </w:r>
      <w:r>
        <w:rPr>
          <w:rFonts w:hint="default" w:ascii="Times New Roman" w:hAnsi="Times New Roman" w:cs="Times New Roman"/>
          <w:b w:val="0"/>
          <w:bCs w:val="0"/>
          <w:szCs w:val="24"/>
          <w:highlight w:val="none"/>
        </w:rPr>
        <w:fldChar w:fldCharType="separate"/>
      </w:r>
      <w:r>
        <w:rPr>
          <w:rFonts w:hint="default" w:ascii="Times New Roman" w:hAnsi="Times New Roman" w:eastAsia="宋体" w:cs="Times New Roman"/>
          <w:b w:val="0"/>
          <w:bCs w:val="0"/>
          <w:szCs w:val="24"/>
          <w:highlight w:val="none"/>
          <w:lang w:val="en-US" w:eastAsia="zh-CN"/>
        </w:rPr>
        <w:t>2.5 标准主要内容说明</w:t>
      </w:r>
      <w:r>
        <w:rPr>
          <w:rFonts w:hint="default" w:ascii="Times New Roman" w:hAnsi="Times New Roman" w:cs="Times New Roman"/>
          <w:b w:val="0"/>
          <w:bCs w:val="0"/>
          <w:highlight w:val="none"/>
        </w:rPr>
        <w:tab/>
      </w:r>
      <w:r>
        <w:rPr>
          <w:rFonts w:hint="default" w:ascii="Times New Roman" w:hAnsi="Times New Roman" w:cs="Times New Roman"/>
          <w:b w:val="0"/>
          <w:bCs w:val="0"/>
          <w:highlight w:val="none"/>
        </w:rPr>
        <w:fldChar w:fldCharType="begin"/>
      </w:r>
      <w:r>
        <w:rPr>
          <w:rFonts w:hint="default" w:ascii="Times New Roman" w:hAnsi="Times New Roman" w:cs="Times New Roman"/>
          <w:b w:val="0"/>
          <w:bCs w:val="0"/>
          <w:highlight w:val="none"/>
        </w:rPr>
        <w:instrText xml:space="preserve"> PAGEREF _Toc2658 \h </w:instrText>
      </w:r>
      <w:r>
        <w:rPr>
          <w:rFonts w:hint="default" w:ascii="Times New Roman" w:hAnsi="Times New Roman" w:cs="Times New Roman"/>
          <w:b w:val="0"/>
          <w:bCs w:val="0"/>
          <w:highlight w:val="none"/>
        </w:rPr>
        <w:fldChar w:fldCharType="separate"/>
      </w:r>
      <w:r>
        <w:rPr>
          <w:rFonts w:hint="default" w:ascii="Times New Roman" w:hAnsi="Times New Roman" w:cs="Times New Roman"/>
          <w:b w:val="0"/>
          <w:bCs w:val="0"/>
          <w:highlight w:val="none"/>
        </w:rPr>
        <w:t>10</w:t>
      </w:r>
      <w:r>
        <w:rPr>
          <w:rFonts w:hint="default" w:ascii="Times New Roman" w:hAnsi="Times New Roman" w:cs="Times New Roman"/>
          <w:b w:val="0"/>
          <w:bCs w:val="0"/>
          <w:highlight w:val="none"/>
        </w:rPr>
        <w:fldChar w:fldCharType="end"/>
      </w:r>
      <w:r>
        <w:rPr>
          <w:rFonts w:hint="default" w:ascii="Times New Roman" w:hAnsi="Times New Roman" w:cs="Times New Roman"/>
          <w:b w:val="0"/>
          <w:bCs w:val="0"/>
          <w:color w:val="auto"/>
          <w:szCs w:val="24"/>
          <w:highlight w:val="none"/>
        </w:rPr>
        <w:fldChar w:fldCharType="end"/>
      </w:r>
    </w:p>
    <w:p>
      <w:pPr>
        <w:pStyle w:val="16"/>
        <w:tabs>
          <w:tab w:val="right" w:leader="dot" w:pos="8306"/>
        </w:tabs>
        <w:rPr>
          <w:rFonts w:hint="default" w:ascii="Times New Roman" w:hAnsi="Times New Roman" w:cs="Times New Roman"/>
          <w:b/>
          <w:bCs/>
          <w:highlight w:val="none"/>
        </w:rPr>
      </w:pPr>
      <w:r>
        <w:rPr>
          <w:rFonts w:hint="default" w:ascii="Times New Roman" w:hAnsi="Times New Roman" w:cs="Times New Roman"/>
          <w:b/>
          <w:bCs/>
          <w:color w:val="auto"/>
          <w:szCs w:val="24"/>
          <w:highlight w:val="none"/>
        </w:rPr>
        <w:fldChar w:fldCharType="begin"/>
      </w:r>
      <w:r>
        <w:rPr>
          <w:rFonts w:hint="default" w:ascii="Times New Roman" w:hAnsi="Times New Roman" w:cs="Times New Roman"/>
          <w:b/>
          <w:bCs/>
          <w:szCs w:val="24"/>
          <w:highlight w:val="none"/>
        </w:rPr>
        <w:instrText xml:space="preserve"> HYPERLINK \l _Toc31259 </w:instrText>
      </w:r>
      <w:r>
        <w:rPr>
          <w:rFonts w:hint="default" w:ascii="Times New Roman" w:hAnsi="Times New Roman" w:cs="Times New Roman"/>
          <w:b/>
          <w:bCs/>
          <w:szCs w:val="24"/>
          <w:highlight w:val="none"/>
        </w:rPr>
        <w:fldChar w:fldCharType="separate"/>
      </w:r>
      <w:r>
        <w:rPr>
          <w:rFonts w:hint="default" w:ascii="Times New Roman" w:hAnsi="Times New Roman" w:eastAsia="宋体" w:cs="Times New Roman"/>
          <w:b/>
          <w:bCs/>
          <w:szCs w:val="24"/>
          <w:highlight w:val="none"/>
          <w:lang w:val="en-US" w:eastAsia="zh-CN"/>
        </w:rPr>
        <w:t>3</w:t>
      </w:r>
      <w:r>
        <w:rPr>
          <w:rFonts w:hint="default" w:ascii="Times New Roman" w:hAnsi="Times New Roman" w:eastAsia="宋体" w:cs="Times New Roman"/>
          <w:b/>
          <w:bCs/>
          <w:szCs w:val="24"/>
          <w:highlight w:val="none"/>
        </w:rPr>
        <w:t xml:space="preserve"> </w:t>
      </w:r>
      <w:r>
        <w:rPr>
          <w:rFonts w:hint="default" w:ascii="Times New Roman" w:hAnsi="Times New Roman" w:eastAsia="宋体" w:cs="Times New Roman"/>
          <w:b/>
          <w:bCs/>
          <w:szCs w:val="24"/>
          <w:highlight w:val="none"/>
          <w:lang w:val="en-US" w:eastAsia="zh-CN"/>
        </w:rPr>
        <w:t xml:space="preserve"> 实证研究</w:t>
      </w:r>
      <w:r>
        <w:rPr>
          <w:rFonts w:hint="default" w:ascii="Times New Roman" w:hAnsi="Times New Roman" w:cs="Times New Roman"/>
          <w:b/>
          <w:bCs/>
          <w:highlight w:val="none"/>
        </w:rPr>
        <w:tab/>
      </w:r>
      <w:r>
        <w:rPr>
          <w:rFonts w:hint="default" w:ascii="Times New Roman" w:hAnsi="Times New Roman" w:cs="Times New Roman"/>
          <w:b/>
          <w:bCs/>
          <w:highlight w:val="none"/>
        </w:rPr>
        <w:fldChar w:fldCharType="begin"/>
      </w:r>
      <w:r>
        <w:rPr>
          <w:rFonts w:hint="default" w:ascii="Times New Roman" w:hAnsi="Times New Roman" w:cs="Times New Roman"/>
          <w:b/>
          <w:bCs/>
          <w:highlight w:val="none"/>
        </w:rPr>
        <w:instrText xml:space="preserve"> PAGEREF _Toc31259 \h </w:instrText>
      </w:r>
      <w:r>
        <w:rPr>
          <w:rFonts w:hint="default" w:ascii="Times New Roman" w:hAnsi="Times New Roman" w:cs="Times New Roman"/>
          <w:b/>
          <w:bCs/>
          <w:highlight w:val="none"/>
        </w:rPr>
        <w:fldChar w:fldCharType="separate"/>
      </w:r>
      <w:r>
        <w:rPr>
          <w:rFonts w:hint="default" w:ascii="Times New Roman" w:hAnsi="Times New Roman" w:cs="Times New Roman"/>
          <w:b/>
          <w:bCs/>
          <w:highlight w:val="none"/>
        </w:rPr>
        <w:t>13</w:t>
      </w:r>
      <w:r>
        <w:rPr>
          <w:rFonts w:hint="default" w:ascii="Times New Roman" w:hAnsi="Times New Roman" w:cs="Times New Roman"/>
          <w:b/>
          <w:bCs/>
          <w:highlight w:val="none"/>
        </w:rPr>
        <w:fldChar w:fldCharType="end"/>
      </w:r>
      <w:r>
        <w:rPr>
          <w:rFonts w:hint="default" w:ascii="Times New Roman" w:hAnsi="Times New Roman" w:cs="Times New Roman"/>
          <w:b/>
          <w:bCs/>
          <w:color w:val="auto"/>
          <w:szCs w:val="24"/>
          <w:highlight w:val="none"/>
        </w:rPr>
        <w:fldChar w:fldCharType="end"/>
      </w:r>
    </w:p>
    <w:p>
      <w:pPr>
        <w:pStyle w:val="16"/>
        <w:tabs>
          <w:tab w:val="right" w:leader="dot" w:pos="8306"/>
        </w:tabs>
        <w:rPr>
          <w:rFonts w:hint="default" w:ascii="Times New Roman" w:hAnsi="Times New Roman" w:cs="Times New Roman"/>
          <w:b/>
          <w:bCs/>
          <w:highlight w:val="none"/>
        </w:rPr>
      </w:pPr>
      <w:r>
        <w:rPr>
          <w:rFonts w:hint="default" w:ascii="Times New Roman" w:hAnsi="Times New Roman" w:cs="Times New Roman"/>
          <w:b/>
          <w:bCs/>
          <w:color w:val="auto"/>
          <w:szCs w:val="24"/>
          <w:highlight w:val="none"/>
        </w:rPr>
        <w:fldChar w:fldCharType="begin"/>
      </w:r>
      <w:r>
        <w:rPr>
          <w:rFonts w:hint="default" w:ascii="Times New Roman" w:hAnsi="Times New Roman" w:cs="Times New Roman"/>
          <w:b/>
          <w:bCs/>
          <w:szCs w:val="24"/>
          <w:highlight w:val="none"/>
        </w:rPr>
        <w:instrText xml:space="preserve"> HYPERLINK \l _Toc22946 </w:instrText>
      </w:r>
      <w:r>
        <w:rPr>
          <w:rFonts w:hint="default" w:ascii="Times New Roman" w:hAnsi="Times New Roman" w:cs="Times New Roman"/>
          <w:b/>
          <w:bCs/>
          <w:szCs w:val="24"/>
          <w:highlight w:val="none"/>
        </w:rPr>
        <w:fldChar w:fldCharType="separate"/>
      </w:r>
      <w:r>
        <w:rPr>
          <w:rFonts w:hint="default" w:ascii="Times New Roman" w:hAnsi="Times New Roman" w:eastAsia="宋体" w:cs="Times New Roman"/>
          <w:b/>
          <w:bCs/>
          <w:szCs w:val="24"/>
          <w:highlight w:val="none"/>
          <w:lang w:val="en-US" w:eastAsia="zh-CN"/>
        </w:rPr>
        <w:t>4  知识产权</w:t>
      </w:r>
      <w:r>
        <w:rPr>
          <w:rFonts w:hint="default" w:ascii="Times New Roman" w:hAnsi="Times New Roman" w:cs="Times New Roman"/>
          <w:b/>
          <w:bCs/>
          <w:highlight w:val="none"/>
        </w:rPr>
        <w:tab/>
      </w:r>
      <w:r>
        <w:rPr>
          <w:rFonts w:hint="default" w:ascii="Times New Roman" w:hAnsi="Times New Roman" w:cs="Times New Roman"/>
          <w:b/>
          <w:bCs/>
          <w:highlight w:val="none"/>
        </w:rPr>
        <w:fldChar w:fldCharType="begin"/>
      </w:r>
      <w:r>
        <w:rPr>
          <w:rFonts w:hint="default" w:ascii="Times New Roman" w:hAnsi="Times New Roman" w:cs="Times New Roman"/>
          <w:b/>
          <w:bCs/>
          <w:highlight w:val="none"/>
        </w:rPr>
        <w:instrText xml:space="preserve"> PAGEREF _Toc22946 \h </w:instrText>
      </w:r>
      <w:r>
        <w:rPr>
          <w:rFonts w:hint="default" w:ascii="Times New Roman" w:hAnsi="Times New Roman" w:cs="Times New Roman"/>
          <w:b/>
          <w:bCs/>
          <w:highlight w:val="none"/>
        </w:rPr>
        <w:fldChar w:fldCharType="separate"/>
      </w:r>
      <w:r>
        <w:rPr>
          <w:rFonts w:hint="default" w:ascii="Times New Roman" w:hAnsi="Times New Roman" w:cs="Times New Roman"/>
          <w:b/>
          <w:bCs/>
          <w:highlight w:val="none"/>
        </w:rPr>
        <w:t>13</w:t>
      </w:r>
      <w:r>
        <w:rPr>
          <w:rFonts w:hint="default" w:ascii="Times New Roman" w:hAnsi="Times New Roman" w:cs="Times New Roman"/>
          <w:b/>
          <w:bCs/>
          <w:highlight w:val="none"/>
        </w:rPr>
        <w:fldChar w:fldCharType="end"/>
      </w:r>
      <w:r>
        <w:rPr>
          <w:rFonts w:hint="default" w:ascii="Times New Roman" w:hAnsi="Times New Roman" w:cs="Times New Roman"/>
          <w:b/>
          <w:bCs/>
          <w:color w:val="auto"/>
          <w:szCs w:val="24"/>
          <w:highlight w:val="none"/>
        </w:rPr>
        <w:fldChar w:fldCharType="end"/>
      </w:r>
    </w:p>
    <w:p>
      <w:pPr>
        <w:pStyle w:val="16"/>
        <w:tabs>
          <w:tab w:val="right" w:leader="dot" w:pos="8306"/>
        </w:tabs>
        <w:rPr>
          <w:rFonts w:hint="default" w:ascii="Times New Roman" w:hAnsi="Times New Roman" w:cs="Times New Roman"/>
          <w:b/>
          <w:bCs/>
          <w:highlight w:val="none"/>
        </w:rPr>
      </w:pPr>
      <w:r>
        <w:rPr>
          <w:rFonts w:hint="default" w:ascii="Times New Roman" w:hAnsi="Times New Roman" w:cs="Times New Roman"/>
          <w:b/>
          <w:bCs/>
          <w:color w:val="auto"/>
          <w:szCs w:val="24"/>
          <w:highlight w:val="none"/>
        </w:rPr>
        <w:fldChar w:fldCharType="begin"/>
      </w:r>
      <w:r>
        <w:rPr>
          <w:rFonts w:hint="default" w:ascii="Times New Roman" w:hAnsi="Times New Roman" w:cs="Times New Roman"/>
          <w:b/>
          <w:bCs/>
          <w:szCs w:val="24"/>
          <w:highlight w:val="none"/>
        </w:rPr>
        <w:instrText xml:space="preserve"> HYPERLINK \l _Toc14539 </w:instrText>
      </w:r>
      <w:r>
        <w:rPr>
          <w:rFonts w:hint="default" w:ascii="Times New Roman" w:hAnsi="Times New Roman" w:cs="Times New Roman"/>
          <w:b/>
          <w:bCs/>
          <w:szCs w:val="24"/>
          <w:highlight w:val="none"/>
        </w:rPr>
        <w:fldChar w:fldCharType="separate"/>
      </w:r>
      <w:r>
        <w:rPr>
          <w:rFonts w:hint="default" w:ascii="Times New Roman" w:hAnsi="Times New Roman" w:eastAsia="宋体" w:cs="Times New Roman"/>
          <w:b/>
          <w:bCs/>
          <w:szCs w:val="24"/>
          <w:highlight w:val="none"/>
          <w:lang w:val="en-US" w:eastAsia="zh-CN"/>
        </w:rPr>
        <w:t>5</w:t>
      </w:r>
      <w:r>
        <w:rPr>
          <w:rFonts w:hint="default" w:ascii="Times New Roman" w:hAnsi="Times New Roman" w:eastAsia="宋体" w:cs="Times New Roman"/>
          <w:b/>
          <w:bCs/>
          <w:szCs w:val="24"/>
          <w:highlight w:val="none"/>
        </w:rPr>
        <w:t xml:space="preserve"> </w:t>
      </w:r>
      <w:r>
        <w:rPr>
          <w:rFonts w:hint="default" w:ascii="Times New Roman" w:hAnsi="Times New Roman" w:eastAsia="宋体" w:cs="Times New Roman"/>
          <w:b/>
          <w:bCs/>
          <w:szCs w:val="24"/>
          <w:highlight w:val="none"/>
          <w:lang w:val="en-US" w:eastAsia="zh-CN"/>
        </w:rPr>
        <w:t xml:space="preserve"> 采标情况</w:t>
      </w:r>
      <w:r>
        <w:rPr>
          <w:rFonts w:hint="default" w:ascii="Times New Roman" w:hAnsi="Times New Roman" w:cs="Times New Roman"/>
          <w:b/>
          <w:bCs/>
          <w:highlight w:val="none"/>
        </w:rPr>
        <w:tab/>
      </w:r>
      <w:r>
        <w:rPr>
          <w:rFonts w:hint="default" w:ascii="Times New Roman" w:hAnsi="Times New Roman" w:cs="Times New Roman"/>
          <w:b/>
          <w:bCs/>
          <w:highlight w:val="none"/>
        </w:rPr>
        <w:fldChar w:fldCharType="begin"/>
      </w:r>
      <w:r>
        <w:rPr>
          <w:rFonts w:hint="default" w:ascii="Times New Roman" w:hAnsi="Times New Roman" w:cs="Times New Roman"/>
          <w:b/>
          <w:bCs/>
          <w:highlight w:val="none"/>
        </w:rPr>
        <w:instrText xml:space="preserve"> PAGEREF _Toc14539 \h </w:instrText>
      </w:r>
      <w:r>
        <w:rPr>
          <w:rFonts w:hint="default" w:ascii="Times New Roman" w:hAnsi="Times New Roman" w:cs="Times New Roman"/>
          <w:b/>
          <w:bCs/>
          <w:highlight w:val="none"/>
        </w:rPr>
        <w:fldChar w:fldCharType="separate"/>
      </w:r>
      <w:r>
        <w:rPr>
          <w:rFonts w:hint="default" w:ascii="Times New Roman" w:hAnsi="Times New Roman" w:cs="Times New Roman"/>
          <w:b/>
          <w:bCs/>
          <w:highlight w:val="none"/>
        </w:rPr>
        <w:t>13</w:t>
      </w:r>
      <w:r>
        <w:rPr>
          <w:rFonts w:hint="default" w:ascii="Times New Roman" w:hAnsi="Times New Roman" w:cs="Times New Roman"/>
          <w:b/>
          <w:bCs/>
          <w:highlight w:val="none"/>
        </w:rPr>
        <w:fldChar w:fldCharType="end"/>
      </w:r>
      <w:r>
        <w:rPr>
          <w:rFonts w:hint="default" w:ascii="Times New Roman" w:hAnsi="Times New Roman" w:cs="Times New Roman"/>
          <w:b/>
          <w:bCs/>
          <w:color w:val="auto"/>
          <w:szCs w:val="24"/>
          <w:highlight w:val="none"/>
        </w:rPr>
        <w:fldChar w:fldCharType="end"/>
      </w:r>
    </w:p>
    <w:p>
      <w:pPr>
        <w:pStyle w:val="17"/>
        <w:tabs>
          <w:tab w:val="right" w:leader="dot" w:pos="8306"/>
        </w:tabs>
        <w:rPr>
          <w:rFonts w:hint="default" w:ascii="Times New Roman" w:hAnsi="Times New Roman" w:cs="Times New Roman"/>
          <w:b w:val="0"/>
          <w:bCs w:val="0"/>
          <w:highlight w:val="none"/>
        </w:rPr>
      </w:pPr>
      <w:r>
        <w:rPr>
          <w:rFonts w:hint="default" w:ascii="Times New Roman" w:hAnsi="Times New Roman" w:cs="Times New Roman"/>
          <w:b w:val="0"/>
          <w:bCs w:val="0"/>
          <w:color w:val="auto"/>
          <w:szCs w:val="24"/>
          <w:highlight w:val="none"/>
        </w:rPr>
        <w:fldChar w:fldCharType="begin"/>
      </w:r>
      <w:r>
        <w:rPr>
          <w:rFonts w:hint="default" w:ascii="Times New Roman" w:hAnsi="Times New Roman" w:cs="Times New Roman"/>
          <w:b w:val="0"/>
          <w:bCs w:val="0"/>
          <w:szCs w:val="24"/>
          <w:highlight w:val="none"/>
        </w:rPr>
        <w:instrText xml:space="preserve"> HYPERLINK \l _Toc4676 </w:instrText>
      </w:r>
      <w:r>
        <w:rPr>
          <w:rFonts w:hint="default" w:ascii="Times New Roman" w:hAnsi="Times New Roman" w:cs="Times New Roman"/>
          <w:b w:val="0"/>
          <w:bCs w:val="0"/>
          <w:szCs w:val="24"/>
          <w:highlight w:val="none"/>
        </w:rPr>
        <w:fldChar w:fldCharType="separate"/>
      </w:r>
      <w:r>
        <w:rPr>
          <w:rFonts w:hint="default" w:ascii="Times New Roman" w:hAnsi="Times New Roman" w:eastAsia="宋体" w:cs="Times New Roman"/>
          <w:b w:val="0"/>
          <w:bCs w:val="0"/>
          <w:szCs w:val="24"/>
          <w:highlight w:val="none"/>
          <w:lang w:val="en-US" w:eastAsia="zh-CN"/>
        </w:rPr>
        <w:t>5</w:t>
      </w:r>
      <w:r>
        <w:rPr>
          <w:rFonts w:hint="default" w:ascii="Times New Roman" w:hAnsi="Times New Roman" w:eastAsia="宋体" w:cs="Times New Roman"/>
          <w:b w:val="0"/>
          <w:bCs w:val="0"/>
          <w:szCs w:val="24"/>
          <w:highlight w:val="none"/>
        </w:rPr>
        <w:t>.1</w:t>
      </w:r>
      <w:r>
        <w:rPr>
          <w:rFonts w:hint="default" w:ascii="Times New Roman" w:hAnsi="Times New Roman" w:eastAsia="宋体" w:cs="Times New Roman"/>
          <w:b w:val="0"/>
          <w:bCs w:val="0"/>
          <w:szCs w:val="24"/>
          <w:highlight w:val="none"/>
          <w:lang w:val="en-US" w:eastAsia="zh-CN"/>
        </w:rPr>
        <w:t xml:space="preserve"> 国外相关标准情况</w:t>
      </w:r>
      <w:r>
        <w:rPr>
          <w:rFonts w:hint="default" w:ascii="Times New Roman" w:hAnsi="Times New Roman" w:cs="Times New Roman"/>
          <w:b w:val="0"/>
          <w:bCs w:val="0"/>
          <w:highlight w:val="none"/>
        </w:rPr>
        <w:tab/>
      </w:r>
      <w:r>
        <w:rPr>
          <w:rFonts w:hint="default" w:ascii="Times New Roman" w:hAnsi="Times New Roman" w:cs="Times New Roman"/>
          <w:b w:val="0"/>
          <w:bCs w:val="0"/>
          <w:highlight w:val="none"/>
        </w:rPr>
        <w:fldChar w:fldCharType="begin"/>
      </w:r>
      <w:r>
        <w:rPr>
          <w:rFonts w:hint="default" w:ascii="Times New Roman" w:hAnsi="Times New Roman" w:cs="Times New Roman"/>
          <w:b w:val="0"/>
          <w:bCs w:val="0"/>
          <w:highlight w:val="none"/>
        </w:rPr>
        <w:instrText xml:space="preserve"> PAGEREF _Toc4676 \h </w:instrText>
      </w:r>
      <w:r>
        <w:rPr>
          <w:rFonts w:hint="default" w:ascii="Times New Roman" w:hAnsi="Times New Roman" w:cs="Times New Roman"/>
          <w:b w:val="0"/>
          <w:bCs w:val="0"/>
          <w:highlight w:val="none"/>
        </w:rPr>
        <w:fldChar w:fldCharType="separate"/>
      </w:r>
      <w:r>
        <w:rPr>
          <w:rFonts w:hint="default" w:ascii="Times New Roman" w:hAnsi="Times New Roman" w:cs="Times New Roman"/>
          <w:b w:val="0"/>
          <w:bCs w:val="0"/>
          <w:highlight w:val="none"/>
        </w:rPr>
        <w:t>14</w:t>
      </w:r>
      <w:r>
        <w:rPr>
          <w:rFonts w:hint="default" w:ascii="Times New Roman" w:hAnsi="Times New Roman" w:cs="Times New Roman"/>
          <w:b w:val="0"/>
          <w:bCs w:val="0"/>
          <w:highlight w:val="none"/>
        </w:rPr>
        <w:fldChar w:fldCharType="end"/>
      </w:r>
      <w:r>
        <w:rPr>
          <w:rFonts w:hint="default" w:ascii="Times New Roman" w:hAnsi="Times New Roman" w:cs="Times New Roman"/>
          <w:b w:val="0"/>
          <w:bCs w:val="0"/>
          <w:color w:val="auto"/>
          <w:szCs w:val="24"/>
          <w:highlight w:val="none"/>
        </w:rPr>
        <w:fldChar w:fldCharType="end"/>
      </w:r>
    </w:p>
    <w:p>
      <w:pPr>
        <w:pStyle w:val="17"/>
        <w:tabs>
          <w:tab w:val="right" w:leader="dot" w:pos="8306"/>
        </w:tabs>
        <w:rPr>
          <w:rFonts w:hint="default" w:ascii="Times New Roman" w:hAnsi="Times New Roman" w:cs="Times New Roman"/>
          <w:b w:val="0"/>
          <w:bCs w:val="0"/>
          <w:highlight w:val="none"/>
        </w:rPr>
      </w:pPr>
      <w:r>
        <w:rPr>
          <w:rFonts w:hint="default" w:ascii="Times New Roman" w:hAnsi="Times New Roman" w:cs="Times New Roman"/>
          <w:b w:val="0"/>
          <w:bCs w:val="0"/>
          <w:color w:val="auto"/>
          <w:szCs w:val="24"/>
          <w:highlight w:val="none"/>
        </w:rPr>
        <w:fldChar w:fldCharType="begin"/>
      </w:r>
      <w:r>
        <w:rPr>
          <w:rFonts w:hint="default" w:ascii="Times New Roman" w:hAnsi="Times New Roman" w:cs="Times New Roman"/>
          <w:b w:val="0"/>
          <w:bCs w:val="0"/>
          <w:szCs w:val="24"/>
          <w:highlight w:val="none"/>
        </w:rPr>
        <w:instrText xml:space="preserve"> HYPERLINK \l _Toc4204 </w:instrText>
      </w:r>
      <w:r>
        <w:rPr>
          <w:rFonts w:hint="default" w:ascii="Times New Roman" w:hAnsi="Times New Roman" w:cs="Times New Roman"/>
          <w:b w:val="0"/>
          <w:bCs w:val="0"/>
          <w:szCs w:val="24"/>
          <w:highlight w:val="none"/>
        </w:rPr>
        <w:fldChar w:fldCharType="separate"/>
      </w:r>
      <w:r>
        <w:rPr>
          <w:rFonts w:hint="default" w:ascii="Times New Roman" w:hAnsi="Times New Roman" w:eastAsia="宋体" w:cs="Times New Roman"/>
          <w:b w:val="0"/>
          <w:bCs w:val="0"/>
          <w:szCs w:val="24"/>
          <w:highlight w:val="none"/>
          <w:lang w:val="en-US" w:eastAsia="zh-CN"/>
        </w:rPr>
        <w:t>5</w:t>
      </w:r>
      <w:r>
        <w:rPr>
          <w:rFonts w:hint="default" w:ascii="Times New Roman" w:hAnsi="Times New Roman" w:eastAsia="宋体" w:cs="Times New Roman"/>
          <w:b w:val="0"/>
          <w:bCs w:val="0"/>
          <w:szCs w:val="24"/>
          <w:highlight w:val="none"/>
        </w:rPr>
        <w:t>.</w:t>
      </w:r>
      <w:r>
        <w:rPr>
          <w:rFonts w:hint="default" w:ascii="Times New Roman" w:hAnsi="Times New Roman" w:eastAsia="宋体" w:cs="Times New Roman"/>
          <w:b w:val="0"/>
          <w:bCs w:val="0"/>
          <w:szCs w:val="24"/>
          <w:highlight w:val="none"/>
          <w:lang w:val="en-US" w:eastAsia="zh-CN"/>
        </w:rPr>
        <w:t>2 国内相关标准情况</w:t>
      </w:r>
      <w:r>
        <w:rPr>
          <w:rFonts w:hint="default" w:ascii="Times New Roman" w:hAnsi="Times New Roman" w:cs="Times New Roman"/>
          <w:b w:val="0"/>
          <w:bCs w:val="0"/>
          <w:highlight w:val="none"/>
        </w:rPr>
        <w:tab/>
      </w:r>
      <w:r>
        <w:rPr>
          <w:rFonts w:hint="default" w:ascii="Times New Roman" w:hAnsi="Times New Roman" w:cs="Times New Roman"/>
          <w:b w:val="0"/>
          <w:bCs w:val="0"/>
          <w:highlight w:val="none"/>
        </w:rPr>
        <w:fldChar w:fldCharType="begin"/>
      </w:r>
      <w:r>
        <w:rPr>
          <w:rFonts w:hint="default" w:ascii="Times New Roman" w:hAnsi="Times New Roman" w:cs="Times New Roman"/>
          <w:b w:val="0"/>
          <w:bCs w:val="0"/>
          <w:highlight w:val="none"/>
        </w:rPr>
        <w:instrText xml:space="preserve"> PAGEREF _Toc4204 \h </w:instrText>
      </w:r>
      <w:r>
        <w:rPr>
          <w:rFonts w:hint="default" w:ascii="Times New Roman" w:hAnsi="Times New Roman" w:cs="Times New Roman"/>
          <w:b w:val="0"/>
          <w:bCs w:val="0"/>
          <w:highlight w:val="none"/>
        </w:rPr>
        <w:fldChar w:fldCharType="separate"/>
      </w:r>
      <w:r>
        <w:rPr>
          <w:rFonts w:hint="default" w:ascii="Times New Roman" w:hAnsi="Times New Roman" w:cs="Times New Roman"/>
          <w:b w:val="0"/>
          <w:bCs w:val="0"/>
          <w:highlight w:val="none"/>
        </w:rPr>
        <w:t>15</w:t>
      </w:r>
      <w:r>
        <w:rPr>
          <w:rFonts w:hint="default" w:ascii="Times New Roman" w:hAnsi="Times New Roman" w:cs="Times New Roman"/>
          <w:b w:val="0"/>
          <w:bCs w:val="0"/>
          <w:highlight w:val="none"/>
        </w:rPr>
        <w:fldChar w:fldCharType="end"/>
      </w:r>
      <w:r>
        <w:rPr>
          <w:rFonts w:hint="default" w:ascii="Times New Roman" w:hAnsi="Times New Roman" w:cs="Times New Roman"/>
          <w:b w:val="0"/>
          <w:bCs w:val="0"/>
          <w:color w:val="auto"/>
          <w:szCs w:val="24"/>
          <w:highlight w:val="none"/>
        </w:rPr>
        <w:fldChar w:fldCharType="end"/>
      </w:r>
    </w:p>
    <w:p>
      <w:pPr>
        <w:pStyle w:val="16"/>
        <w:tabs>
          <w:tab w:val="right" w:leader="dot" w:pos="8306"/>
        </w:tabs>
        <w:rPr>
          <w:rFonts w:hint="default" w:ascii="Times New Roman" w:hAnsi="Times New Roman" w:cs="Times New Roman"/>
          <w:b/>
          <w:bCs/>
          <w:highlight w:val="none"/>
        </w:rPr>
      </w:pPr>
      <w:r>
        <w:rPr>
          <w:rFonts w:hint="default" w:ascii="Times New Roman" w:hAnsi="Times New Roman" w:cs="Times New Roman"/>
          <w:b/>
          <w:bCs/>
          <w:color w:val="auto"/>
          <w:szCs w:val="24"/>
          <w:highlight w:val="none"/>
        </w:rPr>
        <w:fldChar w:fldCharType="begin"/>
      </w:r>
      <w:r>
        <w:rPr>
          <w:rFonts w:hint="default" w:ascii="Times New Roman" w:hAnsi="Times New Roman" w:cs="Times New Roman"/>
          <w:b/>
          <w:bCs/>
          <w:szCs w:val="24"/>
          <w:highlight w:val="none"/>
        </w:rPr>
        <w:instrText xml:space="preserve"> HYPERLINK \l _Toc26609 </w:instrText>
      </w:r>
      <w:r>
        <w:rPr>
          <w:rFonts w:hint="default" w:ascii="Times New Roman" w:hAnsi="Times New Roman" w:cs="Times New Roman"/>
          <w:b/>
          <w:bCs/>
          <w:szCs w:val="24"/>
          <w:highlight w:val="none"/>
        </w:rPr>
        <w:fldChar w:fldCharType="separate"/>
      </w:r>
      <w:r>
        <w:rPr>
          <w:rFonts w:hint="default" w:ascii="Times New Roman" w:hAnsi="Times New Roman" w:eastAsia="宋体" w:cs="Times New Roman"/>
          <w:b/>
          <w:bCs/>
          <w:szCs w:val="24"/>
          <w:highlight w:val="none"/>
          <w:lang w:val="en-US" w:eastAsia="zh-CN"/>
        </w:rPr>
        <w:t>6 重大意见分歧的处理</w:t>
      </w:r>
      <w:r>
        <w:rPr>
          <w:rFonts w:hint="default" w:ascii="Times New Roman" w:hAnsi="Times New Roman" w:cs="Times New Roman"/>
          <w:b/>
          <w:bCs/>
          <w:highlight w:val="none"/>
        </w:rPr>
        <w:tab/>
      </w:r>
      <w:r>
        <w:rPr>
          <w:rFonts w:hint="default" w:ascii="Times New Roman" w:hAnsi="Times New Roman" w:cs="Times New Roman"/>
          <w:b/>
          <w:bCs/>
          <w:highlight w:val="none"/>
        </w:rPr>
        <w:fldChar w:fldCharType="begin"/>
      </w:r>
      <w:r>
        <w:rPr>
          <w:rFonts w:hint="default" w:ascii="Times New Roman" w:hAnsi="Times New Roman" w:cs="Times New Roman"/>
          <w:b/>
          <w:bCs/>
          <w:highlight w:val="none"/>
        </w:rPr>
        <w:instrText xml:space="preserve"> PAGEREF _Toc26609 \h </w:instrText>
      </w:r>
      <w:r>
        <w:rPr>
          <w:rFonts w:hint="default" w:ascii="Times New Roman" w:hAnsi="Times New Roman" w:cs="Times New Roman"/>
          <w:b/>
          <w:bCs/>
          <w:highlight w:val="none"/>
        </w:rPr>
        <w:fldChar w:fldCharType="separate"/>
      </w:r>
      <w:r>
        <w:rPr>
          <w:rFonts w:hint="default" w:ascii="Times New Roman" w:hAnsi="Times New Roman" w:cs="Times New Roman"/>
          <w:b/>
          <w:bCs/>
          <w:highlight w:val="none"/>
        </w:rPr>
        <w:t>16</w:t>
      </w:r>
      <w:r>
        <w:rPr>
          <w:rFonts w:hint="default" w:ascii="Times New Roman" w:hAnsi="Times New Roman" w:cs="Times New Roman"/>
          <w:b/>
          <w:bCs/>
          <w:highlight w:val="none"/>
        </w:rPr>
        <w:fldChar w:fldCharType="end"/>
      </w:r>
      <w:r>
        <w:rPr>
          <w:rFonts w:hint="default" w:ascii="Times New Roman" w:hAnsi="Times New Roman" w:cs="Times New Roman"/>
          <w:b/>
          <w:bCs/>
          <w:color w:val="auto"/>
          <w:szCs w:val="24"/>
          <w:highlight w:val="none"/>
        </w:rPr>
        <w:fldChar w:fldCharType="end"/>
      </w:r>
    </w:p>
    <w:p>
      <w:pPr>
        <w:pStyle w:val="16"/>
        <w:tabs>
          <w:tab w:val="right" w:leader="dot" w:pos="8306"/>
        </w:tabs>
        <w:rPr>
          <w:rFonts w:hint="default" w:ascii="Times New Roman" w:hAnsi="Times New Roman" w:cs="Times New Roman"/>
          <w:b/>
          <w:bCs/>
          <w:highlight w:val="none"/>
        </w:rPr>
      </w:pPr>
      <w:r>
        <w:rPr>
          <w:rFonts w:hint="default" w:ascii="Times New Roman" w:hAnsi="Times New Roman" w:cs="Times New Roman"/>
          <w:b/>
          <w:bCs/>
          <w:color w:val="auto"/>
          <w:szCs w:val="24"/>
          <w:highlight w:val="none"/>
        </w:rPr>
        <w:fldChar w:fldCharType="begin"/>
      </w:r>
      <w:r>
        <w:rPr>
          <w:rFonts w:hint="default" w:ascii="Times New Roman" w:hAnsi="Times New Roman" w:cs="Times New Roman"/>
          <w:b/>
          <w:bCs/>
          <w:szCs w:val="24"/>
          <w:highlight w:val="none"/>
        </w:rPr>
        <w:instrText xml:space="preserve"> HYPERLINK \l _Toc22102 </w:instrText>
      </w:r>
      <w:r>
        <w:rPr>
          <w:rFonts w:hint="default" w:ascii="Times New Roman" w:hAnsi="Times New Roman" w:cs="Times New Roman"/>
          <w:b/>
          <w:bCs/>
          <w:szCs w:val="24"/>
          <w:highlight w:val="none"/>
        </w:rPr>
        <w:fldChar w:fldCharType="separate"/>
      </w:r>
      <w:r>
        <w:rPr>
          <w:rFonts w:hint="default" w:ascii="Times New Roman" w:hAnsi="Times New Roman" w:eastAsia="宋体" w:cs="Times New Roman"/>
          <w:b/>
          <w:bCs/>
          <w:szCs w:val="24"/>
          <w:highlight w:val="none"/>
          <w:lang w:val="en-US" w:eastAsia="zh-CN"/>
        </w:rPr>
        <w:t>7</w:t>
      </w:r>
      <w:r>
        <w:rPr>
          <w:rFonts w:hint="default" w:ascii="Times New Roman" w:hAnsi="Times New Roman" w:eastAsia="宋体" w:cs="Times New Roman"/>
          <w:b/>
          <w:bCs/>
          <w:szCs w:val="24"/>
          <w:highlight w:val="none"/>
        </w:rPr>
        <w:t xml:space="preserve"> 标准实施建议</w:t>
      </w:r>
      <w:r>
        <w:rPr>
          <w:rFonts w:hint="default" w:ascii="Times New Roman" w:hAnsi="Times New Roman" w:cs="Times New Roman"/>
          <w:b/>
          <w:bCs/>
          <w:highlight w:val="none"/>
        </w:rPr>
        <w:tab/>
      </w:r>
      <w:r>
        <w:rPr>
          <w:rFonts w:hint="default" w:ascii="Times New Roman" w:hAnsi="Times New Roman" w:cs="Times New Roman"/>
          <w:b/>
          <w:bCs/>
          <w:highlight w:val="none"/>
        </w:rPr>
        <w:fldChar w:fldCharType="begin"/>
      </w:r>
      <w:r>
        <w:rPr>
          <w:rFonts w:hint="default" w:ascii="Times New Roman" w:hAnsi="Times New Roman" w:cs="Times New Roman"/>
          <w:b/>
          <w:bCs/>
          <w:highlight w:val="none"/>
        </w:rPr>
        <w:instrText xml:space="preserve"> PAGEREF _Toc22102 \h </w:instrText>
      </w:r>
      <w:r>
        <w:rPr>
          <w:rFonts w:hint="default" w:ascii="Times New Roman" w:hAnsi="Times New Roman" w:cs="Times New Roman"/>
          <w:b/>
          <w:bCs/>
          <w:highlight w:val="none"/>
        </w:rPr>
        <w:fldChar w:fldCharType="separate"/>
      </w:r>
      <w:r>
        <w:rPr>
          <w:rFonts w:hint="default" w:ascii="Times New Roman" w:hAnsi="Times New Roman" w:cs="Times New Roman"/>
          <w:b/>
          <w:bCs/>
          <w:highlight w:val="none"/>
        </w:rPr>
        <w:t>16</w:t>
      </w:r>
      <w:r>
        <w:rPr>
          <w:rFonts w:hint="default" w:ascii="Times New Roman" w:hAnsi="Times New Roman" w:cs="Times New Roman"/>
          <w:b/>
          <w:bCs/>
          <w:highlight w:val="none"/>
        </w:rPr>
        <w:fldChar w:fldCharType="end"/>
      </w:r>
      <w:r>
        <w:rPr>
          <w:rFonts w:hint="default" w:ascii="Times New Roman" w:hAnsi="Times New Roman" w:cs="Times New Roman"/>
          <w:b/>
          <w:bCs/>
          <w:color w:val="auto"/>
          <w:szCs w:val="24"/>
          <w:highlight w:val="none"/>
        </w:rPr>
        <w:fldChar w:fldCharType="end"/>
      </w:r>
    </w:p>
    <w:p>
      <w:pPr>
        <w:spacing w:line="360" w:lineRule="auto"/>
        <w:rPr>
          <w:rFonts w:hint="default" w:ascii="Times New Roman" w:hAnsi="Times New Roman" w:cs="Times New Roman"/>
          <w:color w:val="auto"/>
          <w:sz w:val="24"/>
          <w:szCs w:val="24"/>
          <w:highlight w:val="none"/>
        </w:rPr>
      </w:pPr>
      <w:r>
        <w:rPr>
          <w:rFonts w:hint="default" w:ascii="Times New Roman" w:hAnsi="Times New Roman" w:cs="Times New Roman"/>
          <w:b w:val="0"/>
          <w:bCs w:val="0"/>
          <w:color w:val="auto"/>
          <w:szCs w:val="24"/>
          <w:highlight w:val="none"/>
        </w:rPr>
        <w:fldChar w:fldCharType="end"/>
      </w:r>
    </w:p>
    <w:p>
      <w:pPr>
        <w:pStyle w:val="4"/>
        <w:spacing w:line="360" w:lineRule="auto"/>
        <w:rPr>
          <w:rFonts w:hint="default" w:ascii="Times New Roman" w:hAnsi="Times New Roman" w:eastAsia="宋体" w:cs="Times New Roman"/>
          <w:b/>
          <w:color w:val="auto"/>
          <w:sz w:val="24"/>
          <w:szCs w:val="24"/>
          <w:highlight w:val="none"/>
        </w:rPr>
        <w:sectPr>
          <w:footerReference r:id="rId5" w:type="default"/>
          <w:pgSz w:w="11906" w:h="16838"/>
          <w:pgMar w:top="1440" w:right="1800" w:bottom="1440" w:left="1800" w:header="851" w:footer="992" w:gutter="0"/>
          <w:pgNumType w:fmt="decimal" w:start="1"/>
          <w:cols w:space="720" w:num="1"/>
          <w:docGrid w:type="lines" w:linePitch="312" w:charSpace="0"/>
        </w:sectPr>
      </w:pPr>
    </w:p>
    <w:p>
      <w:pPr>
        <w:pStyle w:val="4"/>
        <w:numPr>
          <w:ilvl w:val="255"/>
          <w:numId w:val="0"/>
        </w:numPr>
        <w:spacing w:line="360" w:lineRule="auto"/>
        <w:rPr>
          <w:rFonts w:hint="default" w:ascii="Times New Roman" w:hAnsi="Times New Roman" w:eastAsia="宋体" w:cs="Times New Roman"/>
          <w:b/>
          <w:color w:val="auto"/>
          <w:sz w:val="24"/>
          <w:szCs w:val="24"/>
          <w:highlight w:val="none"/>
          <w:lang w:val="en-US" w:eastAsia="zh-CN"/>
        </w:rPr>
      </w:pPr>
      <w:bookmarkStart w:id="22" w:name="_Toc5854_WPSOffice_Level1"/>
      <w:bookmarkStart w:id="23" w:name="_Toc30145"/>
      <w:bookmarkStart w:id="24" w:name="_Toc29463"/>
      <w:r>
        <w:rPr>
          <w:rFonts w:hint="default" w:ascii="Times New Roman" w:hAnsi="Times New Roman" w:eastAsia="宋体" w:cs="Times New Roman"/>
          <w:b/>
          <w:color w:val="auto"/>
          <w:sz w:val="24"/>
          <w:szCs w:val="24"/>
          <w:highlight w:val="none"/>
        </w:rPr>
        <w:t xml:space="preserve">1  </w:t>
      </w:r>
      <w:bookmarkEnd w:id="22"/>
      <w:bookmarkEnd w:id="23"/>
      <w:r>
        <w:rPr>
          <w:rFonts w:hint="eastAsia" w:ascii="Times New Roman" w:hAnsi="Times New Roman" w:eastAsia="宋体" w:cs="Times New Roman"/>
          <w:b/>
          <w:color w:val="auto"/>
          <w:sz w:val="24"/>
          <w:szCs w:val="24"/>
          <w:highlight w:val="none"/>
          <w:lang w:val="en-US" w:eastAsia="zh-CN"/>
        </w:rPr>
        <w:t>工作概况</w:t>
      </w:r>
      <w:bookmarkEnd w:id="24"/>
    </w:p>
    <w:p>
      <w:pPr>
        <w:pStyle w:val="5"/>
        <w:numPr>
          <w:ilvl w:val="0"/>
          <w:numId w:val="0"/>
        </w:numPr>
        <w:spacing w:before="0" w:after="0" w:line="360" w:lineRule="auto"/>
        <w:rPr>
          <w:rFonts w:hint="default" w:ascii="Times New Roman" w:hAnsi="Times New Roman" w:eastAsia="宋体" w:cs="Times New Roman"/>
          <w:b/>
          <w:color w:val="auto"/>
          <w:szCs w:val="24"/>
          <w:highlight w:val="none"/>
        </w:rPr>
      </w:pPr>
      <w:bookmarkStart w:id="25" w:name="_Toc236806819"/>
      <w:bookmarkStart w:id="26" w:name="_Toc32408"/>
      <w:bookmarkStart w:id="27" w:name="_Toc22725_WPSOffice_Level2"/>
      <w:bookmarkStart w:id="28" w:name="_Toc16426"/>
      <w:r>
        <w:rPr>
          <w:rFonts w:hint="default" w:ascii="Times New Roman" w:hAnsi="Times New Roman" w:eastAsia="宋体" w:cs="Times New Roman"/>
          <w:b/>
          <w:color w:val="auto"/>
          <w:szCs w:val="24"/>
          <w:highlight w:val="none"/>
        </w:rPr>
        <w:t>1.1任务来源</w:t>
      </w:r>
      <w:bookmarkEnd w:id="25"/>
      <w:bookmarkEnd w:id="26"/>
      <w:bookmarkEnd w:id="27"/>
      <w:bookmarkEnd w:id="28"/>
    </w:p>
    <w:p>
      <w:pPr>
        <w:spacing w:line="360" w:lineRule="auto"/>
        <w:ind w:firstLine="480" w:firstLineChars="20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水利部于2004年颁布《入河排污口监督管理办法》（水利部第22号令），印发《水功能区管理办法》（水资源[2003]233号）、《入河排污口管理技术导则》（SL 532-2011）等文件用于指导入河排污口设置论证报告编制，全国水利部门先后开展了入河排污口设置审批工作。</w:t>
      </w:r>
    </w:p>
    <w:p>
      <w:pPr>
        <w:spacing w:line="360" w:lineRule="auto"/>
        <w:ind w:firstLine="480" w:firstLineChars="20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2018年3月</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中共中央《深化党和国家机构改革方案》将水利部入河排污口设置管理职责</w:t>
      </w:r>
      <w:r>
        <w:rPr>
          <w:rFonts w:hint="default" w:ascii="Times New Roman" w:hAnsi="Times New Roman" w:cs="Times New Roman"/>
          <w:color w:val="auto"/>
          <w:sz w:val="24"/>
          <w:szCs w:val="24"/>
          <w:highlight w:val="none"/>
          <w:lang w:eastAsia="zh-CN"/>
        </w:rPr>
        <w:t>转隶</w:t>
      </w:r>
      <w:r>
        <w:rPr>
          <w:rFonts w:hint="default" w:ascii="Times New Roman" w:hAnsi="Times New Roman" w:cs="Times New Roman"/>
          <w:color w:val="auto"/>
          <w:sz w:val="24"/>
          <w:szCs w:val="24"/>
          <w:highlight w:val="none"/>
        </w:rPr>
        <w:t>至生态环境部</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2019年1月中共陕西省委办公厅、陕西省人民政府办公厅《关于印发&lt;陕西省生态环境厅职能配置内设机构和人员编制规定&gt;的通知》（陕办字〔2019〕24号），入河排污口设置监督管理工作已划入生态环境部门。</w:t>
      </w:r>
    </w:p>
    <w:p>
      <w:pPr>
        <w:spacing w:line="360" w:lineRule="auto"/>
        <w:ind w:firstLine="480" w:firstLineChars="200"/>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rPr>
        <w:t>2022年10月，国务院办公厅发布《关于加强入河入海排污口监督管理工作的实施意见》（国办函〔2022〕17号）</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2022年1</w:t>
      </w:r>
      <w:r>
        <w:rPr>
          <w:rFonts w:hint="default" w:ascii="Times New Roman" w:hAnsi="Times New Roman" w:cs="Times New Roman"/>
          <w:color w:val="auto"/>
          <w:sz w:val="24"/>
          <w:szCs w:val="24"/>
          <w:highlight w:val="none"/>
          <w:lang w:val="en-US" w:eastAsia="zh-CN"/>
        </w:rPr>
        <w:t>2</w:t>
      </w:r>
      <w:r>
        <w:rPr>
          <w:rFonts w:hint="default" w:ascii="Times New Roman" w:hAnsi="Times New Roman" w:cs="Times New Roman"/>
          <w:color w:val="auto"/>
          <w:sz w:val="24"/>
          <w:szCs w:val="24"/>
          <w:highlight w:val="none"/>
        </w:rPr>
        <w:t>月，</w:t>
      </w:r>
      <w:r>
        <w:rPr>
          <w:rFonts w:hint="default" w:ascii="Times New Roman" w:hAnsi="Times New Roman" w:cs="Times New Roman"/>
          <w:color w:val="auto"/>
          <w:sz w:val="24"/>
          <w:szCs w:val="24"/>
          <w:highlight w:val="none"/>
          <w:lang w:eastAsia="zh-CN"/>
        </w:rPr>
        <w:t>生态环境部办公厅、水利部办公厅</w:t>
      </w:r>
      <w:r>
        <w:rPr>
          <w:rFonts w:hint="default" w:ascii="Times New Roman" w:hAnsi="Times New Roman" w:cs="Times New Roman"/>
          <w:color w:val="auto"/>
          <w:sz w:val="24"/>
          <w:szCs w:val="24"/>
          <w:highlight w:val="none"/>
          <w:lang w:val="en-US" w:eastAsia="zh-CN"/>
        </w:rPr>
        <w:t>联合发布《</w:t>
      </w:r>
      <w:r>
        <w:rPr>
          <w:rFonts w:hint="default" w:ascii="Times New Roman" w:hAnsi="Times New Roman" w:cs="Times New Roman"/>
          <w:color w:val="auto"/>
          <w:sz w:val="24"/>
          <w:szCs w:val="24"/>
          <w:highlight w:val="none"/>
          <w:lang w:eastAsia="zh-CN"/>
        </w:rPr>
        <w:t>关于贯彻落实</w:t>
      </w:r>
      <w:r>
        <w:rPr>
          <w:rFonts w:hint="default" w:ascii="Times New Roman" w:hAnsi="Times New Roman" w:cs="Times New Roman"/>
          <w:color w:val="auto"/>
          <w:sz w:val="24"/>
          <w:szCs w:val="24"/>
          <w:highlight w:val="none"/>
          <w:lang w:val="en-US" w:eastAsia="zh-CN"/>
        </w:rPr>
        <w:t>&lt;</w:t>
      </w:r>
      <w:r>
        <w:rPr>
          <w:rFonts w:hint="default" w:ascii="Times New Roman" w:hAnsi="Times New Roman" w:cs="Times New Roman"/>
          <w:color w:val="auto"/>
          <w:sz w:val="24"/>
          <w:szCs w:val="24"/>
          <w:highlight w:val="none"/>
          <w:lang w:eastAsia="zh-CN"/>
        </w:rPr>
        <w:t>国务院办公厅关于加强入河入海排污口监督管理工作的实施意见</w:t>
      </w:r>
      <w:r>
        <w:rPr>
          <w:rFonts w:hint="default" w:ascii="Times New Roman" w:hAnsi="Times New Roman" w:cs="Times New Roman"/>
          <w:color w:val="auto"/>
          <w:sz w:val="24"/>
          <w:szCs w:val="24"/>
          <w:highlight w:val="none"/>
          <w:lang w:val="en-US" w:eastAsia="zh-CN"/>
        </w:rPr>
        <w:t>&gt;</w:t>
      </w:r>
      <w:r>
        <w:rPr>
          <w:rFonts w:hint="default" w:ascii="Times New Roman" w:hAnsi="Times New Roman" w:cs="Times New Roman"/>
          <w:color w:val="auto"/>
          <w:sz w:val="24"/>
          <w:szCs w:val="24"/>
          <w:highlight w:val="none"/>
          <w:lang w:eastAsia="zh-CN"/>
        </w:rPr>
        <w:t>》（环办水体〔2022〕34号），</w:t>
      </w:r>
      <w:r>
        <w:rPr>
          <w:rFonts w:hint="default" w:ascii="Times New Roman" w:hAnsi="Times New Roman" w:cs="Times New Roman"/>
          <w:color w:val="auto"/>
          <w:sz w:val="24"/>
          <w:szCs w:val="24"/>
          <w:highlight w:val="none"/>
          <w:lang w:val="en-US" w:eastAsia="zh-CN"/>
        </w:rPr>
        <w:t>生态环境部自负责</w:t>
      </w:r>
      <w:r>
        <w:rPr>
          <w:rFonts w:hint="default" w:ascii="Times New Roman" w:hAnsi="Times New Roman" w:cs="Times New Roman"/>
          <w:color w:val="auto"/>
          <w:sz w:val="24"/>
          <w:szCs w:val="24"/>
          <w:highlight w:val="none"/>
        </w:rPr>
        <w:t>入河排污口设置监督管理工作</w:t>
      </w:r>
      <w:r>
        <w:rPr>
          <w:rFonts w:hint="default" w:ascii="Times New Roman" w:hAnsi="Times New Roman" w:cs="Times New Roman"/>
          <w:color w:val="auto"/>
          <w:sz w:val="24"/>
          <w:szCs w:val="24"/>
          <w:highlight w:val="none"/>
          <w:lang w:val="en-US" w:eastAsia="zh-CN"/>
        </w:rPr>
        <w:t>以来，先后发布了</w:t>
      </w:r>
      <w:r>
        <w:rPr>
          <w:rFonts w:hint="default" w:ascii="Times New Roman" w:hAnsi="Times New Roman" w:cs="Times New Roman"/>
          <w:color w:val="auto"/>
          <w:sz w:val="24"/>
          <w:szCs w:val="24"/>
          <w:highlight w:val="none"/>
        </w:rPr>
        <w:t>《入河排污口监督管理办法》</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lang w:val="en-US" w:eastAsia="zh-CN"/>
        </w:rPr>
        <w:t>部令 第35号</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《入河入海排污口监督管理技术指南 入</w:t>
      </w:r>
      <w:r>
        <w:rPr>
          <w:rFonts w:hint="default" w:ascii="Times New Roman" w:hAnsi="Times New Roman" w:cs="Times New Roman"/>
          <w:color w:val="auto"/>
          <w:sz w:val="24"/>
          <w:szCs w:val="24"/>
          <w:highlight w:val="none"/>
          <w:lang w:val="en-US" w:eastAsia="zh-CN"/>
        </w:rPr>
        <w:t>河</w:t>
      </w:r>
      <w:r>
        <w:rPr>
          <w:rFonts w:hint="default" w:ascii="Times New Roman" w:hAnsi="Times New Roman" w:cs="Times New Roman"/>
          <w:color w:val="auto"/>
          <w:sz w:val="24"/>
          <w:szCs w:val="24"/>
          <w:highlight w:val="none"/>
        </w:rPr>
        <w:t>排污口设置》</w:t>
      </w:r>
      <w:r>
        <w:rPr>
          <w:rFonts w:hint="default" w:ascii="Times New Roman" w:hAnsi="Times New Roman" w:cs="Times New Roman"/>
          <w:color w:val="auto"/>
          <w:sz w:val="24"/>
          <w:szCs w:val="24"/>
          <w:highlight w:val="none"/>
          <w:lang w:val="en-US" w:eastAsia="zh-CN"/>
        </w:rPr>
        <w:t>等一系列文件，为入河排污口设置论证报告编制提供了技术指导</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lang w:val="en-US" w:eastAsia="zh-CN"/>
        </w:rPr>
        <w:t>但是，技术评估作为入河排污口设置审批的核心环节，国内和陕西省缺少专门的入河排污口设置技术评估文件指导和规范其工作，因此亟需统一评估标准，规范入河排污口设置技术评估工作。</w:t>
      </w:r>
    </w:p>
    <w:p>
      <w:pPr>
        <w:spacing w:line="360" w:lineRule="auto"/>
        <w:ind w:firstLine="480" w:firstLineChars="20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eastAsia="zh-CN"/>
        </w:rPr>
        <w:t>为</w:t>
      </w:r>
      <w:r>
        <w:rPr>
          <w:rFonts w:hint="default" w:ascii="Times New Roman" w:hAnsi="Times New Roman" w:cs="Times New Roman"/>
          <w:color w:val="auto"/>
          <w:sz w:val="24"/>
          <w:szCs w:val="24"/>
          <w:highlight w:val="none"/>
          <w:lang w:val="en-US" w:eastAsia="zh-CN"/>
        </w:rPr>
        <w:t>填补</w:t>
      </w:r>
      <w:r>
        <w:rPr>
          <w:rFonts w:hint="default" w:ascii="Times New Roman" w:hAnsi="Times New Roman" w:cs="Times New Roman"/>
          <w:color w:val="auto"/>
          <w:sz w:val="24"/>
          <w:szCs w:val="24"/>
          <w:highlight w:val="none"/>
        </w:rPr>
        <w:t>入河排污口设置</w:t>
      </w:r>
      <w:r>
        <w:rPr>
          <w:rFonts w:hint="default" w:ascii="Times New Roman" w:hAnsi="Times New Roman" w:cs="Times New Roman"/>
          <w:color w:val="auto"/>
          <w:sz w:val="24"/>
          <w:szCs w:val="24"/>
          <w:highlight w:val="none"/>
          <w:lang w:val="en-US" w:eastAsia="zh-CN"/>
        </w:rPr>
        <w:t>技术评估指导文件的空白，规范入河排污口设置技术评估行为，提高入河排污口设置论证报告审批质量，</w:t>
      </w:r>
      <w:r>
        <w:rPr>
          <w:rFonts w:hint="default" w:ascii="Times New Roman" w:hAnsi="Times New Roman" w:cs="Times New Roman"/>
          <w:color w:val="auto"/>
          <w:sz w:val="24"/>
          <w:szCs w:val="24"/>
          <w:highlight w:val="none"/>
          <w:lang w:eastAsia="zh-CN"/>
        </w:rPr>
        <w:t>推进</w:t>
      </w:r>
      <w:r>
        <w:rPr>
          <w:rFonts w:hint="default" w:ascii="Times New Roman" w:hAnsi="Times New Roman" w:cs="Times New Roman"/>
          <w:color w:val="auto"/>
          <w:sz w:val="24"/>
          <w:szCs w:val="24"/>
          <w:highlight w:val="none"/>
        </w:rPr>
        <w:t>入河排污口设置审批工作高效开展，为</w:t>
      </w:r>
      <w:r>
        <w:rPr>
          <w:rFonts w:hint="default" w:ascii="Times New Roman" w:hAnsi="Times New Roman" w:cs="Times New Roman"/>
          <w:color w:val="auto"/>
          <w:sz w:val="24"/>
          <w:szCs w:val="24"/>
          <w:highlight w:val="none"/>
          <w:lang w:val="en-US" w:eastAsia="zh-CN"/>
        </w:rPr>
        <w:t>地方生态环境主管部门（审批部门）</w:t>
      </w:r>
      <w:r>
        <w:rPr>
          <w:rFonts w:hint="default" w:ascii="Times New Roman" w:hAnsi="Times New Roman" w:cs="Times New Roman"/>
          <w:color w:val="auto"/>
          <w:sz w:val="24"/>
          <w:szCs w:val="24"/>
          <w:highlight w:val="none"/>
        </w:rPr>
        <w:t>科学审批入河排污口提供技术支撑，更好地服务企业，</w:t>
      </w:r>
      <w:r>
        <w:rPr>
          <w:rFonts w:hint="default" w:ascii="Times New Roman" w:hAnsi="Times New Roman" w:cs="Times New Roman"/>
          <w:color w:val="auto"/>
          <w:sz w:val="24"/>
          <w:szCs w:val="24"/>
          <w:highlight w:val="none"/>
          <w:lang w:val="en-US" w:eastAsia="zh-CN"/>
        </w:rPr>
        <w:t>2024年4月，</w:t>
      </w:r>
      <w:r>
        <w:rPr>
          <w:rFonts w:hint="default" w:ascii="Times New Roman" w:hAnsi="Times New Roman" w:cs="Times New Roman"/>
          <w:color w:val="auto"/>
          <w:sz w:val="24"/>
          <w:szCs w:val="24"/>
          <w:highlight w:val="none"/>
        </w:rPr>
        <w:t>《</w:t>
      </w:r>
      <w:r>
        <w:rPr>
          <w:rFonts w:hint="eastAsia" w:ascii="Times New Roman" w:hAnsi="Times New Roman" w:cs="Times New Roman"/>
          <w:color w:val="auto"/>
          <w:sz w:val="24"/>
          <w:szCs w:val="24"/>
          <w:highlight w:val="none"/>
          <w:lang w:eastAsia="zh-CN"/>
        </w:rPr>
        <w:t>入河排污口设置评估技术指南</w:t>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lang w:val="en-US" w:eastAsia="zh-CN"/>
        </w:rPr>
        <w:t>列入2024年度第一批陕西省生态环境地方标准制修订项目计划，</w:t>
      </w:r>
      <w:r>
        <w:rPr>
          <w:rFonts w:hint="default" w:ascii="Times New Roman" w:hAnsi="Times New Roman" w:cs="Times New Roman"/>
          <w:color w:val="auto"/>
          <w:sz w:val="24"/>
          <w:szCs w:val="24"/>
          <w:highlight w:val="none"/>
        </w:rPr>
        <w:t>陕西省生态环境厅委托陕西省环境调查评估中心承担《</w:t>
      </w:r>
      <w:r>
        <w:rPr>
          <w:rFonts w:hint="eastAsia" w:ascii="Times New Roman" w:hAnsi="Times New Roman" w:cs="Times New Roman"/>
          <w:color w:val="auto"/>
          <w:sz w:val="24"/>
          <w:szCs w:val="24"/>
          <w:highlight w:val="none"/>
          <w:lang w:eastAsia="zh-CN"/>
        </w:rPr>
        <w:t>入河排污口设置评估技术指南</w:t>
      </w:r>
      <w:r>
        <w:rPr>
          <w:rFonts w:hint="default" w:ascii="Times New Roman" w:hAnsi="Times New Roman" w:cs="Times New Roman"/>
          <w:color w:val="auto"/>
          <w:sz w:val="24"/>
          <w:szCs w:val="24"/>
          <w:highlight w:val="none"/>
        </w:rPr>
        <w:t>》的编制工作，中圣环境科技发展有限公司</w:t>
      </w:r>
      <w:r>
        <w:rPr>
          <w:rFonts w:hint="default" w:ascii="Times New Roman" w:hAnsi="Times New Roman" w:cs="Times New Roman"/>
          <w:color w:val="auto"/>
          <w:sz w:val="24"/>
          <w:szCs w:val="24"/>
          <w:highlight w:val="none"/>
          <w:lang w:val="en-US" w:eastAsia="zh-CN"/>
        </w:rPr>
        <w:t>和</w:t>
      </w:r>
      <w:r>
        <w:rPr>
          <w:rFonts w:hint="default" w:ascii="Times New Roman" w:hAnsi="Times New Roman" w:cs="Times New Roman"/>
          <w:color w:val="auto"/>
          <w:sz w:val="24"/>
          <w:szCs w:val="24"/>
          <w:highlight w:val="none"/>
          <w:lang w:eastAsia="zh-CN"/>
        </w:rPr>
        <w:t>汉中市环境工程规划设计</w:t>
      </w:r>
      <w:r>
        <w:rPr>
          <w:rFonts w:hint="default" w:ascii="Times New Roman" w:hAnsi="Times New Roman" w:cs="Times New Roman"/>
          <w:color w:val="auto"/>
          <w:sz w:val="24"/>
          <w:szCs w:val="24"/>
          <w:highlight w:val="none"/>
          <w:lang w:val="en-US" w:eastAsia="zh-CN"/>
        </w:rPr>
        <w:t>集团有限公司等单位</w:t>
      </w:r>
      <w:r>
        <w:rPr>
          <w:rFonts w:hint="default" w:ascii="Times New Roman" w:hAnsi="Times New Roman" w:cs="Times New Roman"/>
          <w:color w:val="auto"/>
          <w:sz w:val="24"/>
          <w:szCs w:val="24"/>
          <w:highlight w:val="none"/>
        </w:rPr>
        <w:t>作为协作单位共同参与编制工作。</w:t>
      </w:r>
    </w:p>
    <w:p>
      <w:pPr>
        <w:pStyle w:val="5"/>
        <w:numPr>
          <w:ilvl w:val="0"/>
          <w:numId w:val="0"/>
        </w:numPr>
        <w:spacing w:before="0" w:after="0" w:line="360" w:lineRule="auto"/>
        <w:rPr>
          <w:rFonts w:hint="default" w:ascii="Times New Roman" w:hAnsi="Times New Roman" w:eastAsia="宋体" w:cs="Times New Roman"/>
          <w:b/>
          <w:color w:val="auto"/>
          <w:szCs w:val="24"/>
          <w:highlight w:val="none"/>
          <w:lang w:val="en-US" w:eastAsia="zh-CN"/>
        </w:rPr>
      </w:pPr>
      <w:bookmarkStart w:id="29" w:name="_Toc2875"/>
      <w:bookmarkStart w:id="30" w:name="_Toc25459"/>
      <w:bookmarkStart w:id="31" w:name="_Toc4537_WPSOffice_Level2"/>
      <w:r>
        <w:rPr>
          <w:rFonts w:hint="eastAsia" w:ascii="Times New Roman" w:hAnsi="Times New Roman" w:eastAsia="宋体" w:cs="Times New Roman"/>
          <w:b/>
          <w:color w:val="auto"/>
          <w:szCs w:val="24"/>
          <w:highlight w:val="none"/>
          <w:lang w:val="en-US" w:eastAsia="zh-CN"/>
        </w:rPr>
        <w:t>1.2</w:t>
      </w:r>
      <w:r>
        <w:rPr>
          <w:rFonts w:hint="default" w:ascii="Times New Roman" w:hAnsi="Times New Roman" w:eastAsia="宋体" w:cs="Times New Roman"/>
          <w:b/>
          <w:color w:val="auto"/>
          <w:szCs w:val="24"/>
          <w:highlight w:val="none"/>
        </w:rPr>
        <w:t xml:space="preserve"> </w:t>
      </w:r>
      <w:r>
        <w:rPr>
          <w:rFonts w:hint="eastAsia" w:ascii="Times New Roman" w:hAnsi="Times New Roman" w:eastAsia="宋体" w:cs="Times New Roman"/>
          <w:b/>
          <w:color w:val="auto"/>
          <w:szCs w:val="24"/>
          <w:highlight w:val="none"/>
          <w:lang w:val="en-US" w:eastAsia="zh-CN"/>
        </w:rPr>
        <w:t>目的意义</w:t>
      </w:r>
      <w:bookmarkEnd w:id="29"/>
    </w:p>
    <w:p>
      <w:pPr>
        <w:spacing w:line="360" w:lineRule="auto"/>
        <w:ind w:firstLine="482" w:firstLineChars="200"/>
        <w:outlineLvl w:val="2"/>
        <w:rPr>
          <w:rFonts w:hint="default" w:ascii="Times New Roman" w:hAnsi="Times New Roman" w:cs="Times New Roman"/>
          <w:b/>
          <w:bCs/>
          <w:color w:val="auto"/>
          <w:sz w:val="24"/>
          <w:szCs w:val="24"/>
          <w:highlight w:val="none"/>
          <w:lang w:val="en-US" w:eastAsia="zh-CN"/>
        </w:rPr>
      </w:pPr>
      <w:bookmarkStart w:id="32" w:name="_Toc6485"/>
      <w:r>
        <w:rPr>
          <w:rFonts w:hint="eastAsia" w:ascii="Times New Roman" w:hAnsi="Times New Roman" w:cs="Times New Roman"/>
          <w:b/>
          <w:bCs/>
          <w:color w:val="auto"/>
          <w:sz w:val="24"/>
          <w:szCs w:val="24"/>
          <w:highlight w:val="none"/>
          <w:lang w:val="en-US" w:eastAsia="zh-CN"/>
        </w:rPr>
        <w:t>1.</w:t>
      </w:r>
      <w:r>
        <w:rPr>
          <w:rFonts w:hint="default" w:ascii="Times New Roman" w:hAnsi="Times New Roman" w:cs="Times New Roman"/>
          <w:b/>
          <w:bCs/>
          <w:color w:val="auto"/>
          <w:sz w:val="24"/>
          <w:szCs w:val="24"/>
          <w:highlight w:val="none"/>
          <w:lang w:val="en-US" w:eastAsia="zh-CN"/>
        </w:rPr>
        <w:t>2.1 本标准的定位</w:t>
      </w:r>
      <w:bookmarkEnd w:id="32"/>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2024年10月，生态环境部发布《入河排污口监督管理办法》（部令 第35号），对入河排污口设置审批程序、权限、监测监管等作出了具体规定，是目前入河排污口设置实施重要文件。《入河排污口监督管理办法》第十三条规定入河排污口设置审批程序包括申请、受理、审查、决定。其中审查具体指审批部门对受理的申请材料进行审查，并可以根据需要，组织专家评审、听证或者现场查勘。组织专家评审、听证或者现场查勘，不得向申请单位收取任何费用。</w:t>
      </w:r>
      <w:r>
        <w:rPr>
          <w:rFonts w:hint="eastAsia" w:ascii="Times New Roman" w:hAnsi="Times New Roman" w:cs="Times New Roman"/>
          <w:color w:val="auto"/>
          <w:sz w:val="24"/>
          <w:szCs w:val="24"/>
          <w:highlight w:val="none"/>
          <w:lang w:val="en-US" w:eastAsia="zh-CN"/>
        </w:rPr>
        <w:t>同时，陕西省生态环境厅发布的</w:t>
      </w:r>
      <w:r>
        <w:rPr>
          <w:rFonts w:hint="default" w:ascii="Times New Roman" w:hAnsi="Times New Roman" w:cs="Times New Roman"/>
          <w:color w:val="auto"/>
          <w:sz w:val="24"/>
          <w:szCs w:val="24"/>
          <w:highlight w:val="none"/>
          <w:lang w:val="en-US" w:eastAsia="zh-CN"/>
        </w:rPr>
        <w:t>《关于规范我省入河排污口设置审批工作的通知》（陕环发〔2023〕22号）</w:t>
      </w:r>
      <w:r>
        <w:rPr>
          <w:rFonts w:hint="eastAsia" w:ascii="Times New Roman" w:hAnsi="Times New Roman" w:cs="Times New Roman"/>
          <w:color w:val="auto"/>
          <w:sz w:val="24"/>
          <w:szCs w:val="24"/>
          <w:highlight w:val="none"/>
          <w:lang w:val="en-US" w:eastAsia="zh-CN"/>
        </w:rPr>
        <w:t>明确了省级入河排污口设置审批流程，其中在“</w:t>
      </w:r>
      <w:r>
        <w:rPr>
          <w:rFonts w:hint="default" w:ascii="Times New Roman" w:hAnsi="Times New Roman" w:cs="Times New Roman"/>
          <w:color w:val="auto"/>
          <w:sz w:val="24"/>
          <w:szCs w:val="24"/>
          <w:highlight w:val="none"/>
          <w:lang w:val="en-US" w:eastAsia="zh-CN"/>
        </w:rPr>
        <w:t>评审评估</w:t>
      </w:r>
      <w:r>
        <w:rPr>
          <w:rFonts w:hint="eastAsia" w:ascii="Times New Roman" w:hAnsi="Times New Roman" w:cs="Times New Roman"/>
          <w:color w:val="auto"/>
          <w:sz w:val="24"/>
          <w:szCs w:val="24"/>
          <w:highlight w:val="none"/>
          <w:lang w:val="en-US" w:eastAsia="zh-CN"/>
        </w:rPr>
        <w:t>”阶段，</w:t>
      </w:r>
      <w:r>
        <w:rPr>
          <w:rFonts w:hint="default" w:ascii="Times New Roman" w:hAnsi="Times New Roman" w:cs="Times New Roman"/>
          <w:color w:val="auto"/>
          <w:sz w:val="24"/>
          <w:szCs w:val="24"/>
          <w:highlight w:val="none"/>
          <w:lang w:val="en-US" w:eastAsia="zh-CN"/>
        </w:rPr>
        <w:t>入河排污口设置申请文件受理后，省生态环境厅委托技术评估机构负责组织专家进行评审</w:t>
      </w:r>
      <w:r>
        <w:rPr>
          <w:rFonts w:hint="eastAsia" w:ascii="Times New Roman" w:hAnsi="Times New Roman" w:cs="Times New Roman"/>
          <w:color w:val="auto"/>
          <w:sz w:val="24"/>
          <w:szCs w:val="24"/>
          <w:highlight w:val="none"/>
          <w:lang w:val="en-US" w:eastAsia="zh-CN"/>
        </w:rPr>
        <w:t>（</w:t>
      </w:r>
      <w:r>
        <w:rPr>
          <w:rFonts w:hint="default" w:ascii="Times New Roman" w:hAnsi="Times New Roman" w:cs="Times New Roman"/>
          <w:color w:val="auto"/>
          <w:sz w:val="24"/>
          <w:szCs w:val="24"/>
          <w:highlight w:val="none"/>
          <w:lang w:val="en-US" w:eastAsia="zh-CN"/>
        </w:rPr>
        <w:t>现场查勘、技术审查等形式</w:t>
      </w:r>
      <w:r>
        <w:rPr>
          <w:rFonts w:hint="eastAsia" w:ascii="Times New Roman" w:hAnsi="Times New Roman" w:cs="Times New Roman"/>
          <w:color w:val="auto"/>
          <w:sz w:val="24"/>
          <w:szCs w:val="24"/>
          <w:highlight w:val="none"/>
          <w:lang w:val="en-US" w:eastAsia="zh-CN"/>
        </w:rPr>
        <w:t>），</w:t>
      </w:r>
      <w:r>
        <w:rPr>
          <w:rFonts w:hint="default" w:ascii="Times New Roman" w:hAnsi="Times New Roman" w:cs="Times New Roman"/>
          <w:color w:val="auto"/>
          <w:sz w:val="24"/>
          <w:szCs w:val="24"/>
          <w:highlight w:val="none"/>
          <w:lang w:val="en-US" w:eastAsia="zh-CN"/>
        </w:rPr>
        <w:t>形成专家意见，并在20个工作日内出具技术评估报告，确有特殊情况的，可适当延期，期限不超过30个工作日。</w:t>
      </w:r>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 xml:space="preserve">本标准旨在指导和规范陕西省入河排污口设置论证报告技术评估工作，提高入河排污口设置论证报告审批质量。对照《生态环境标准管理办法》（生态环境部令第17号）第三十六条 为规范各类生态环境保护管理工作的技术要求，制定生态环境管理技术规范，包括大气、水、海洋、土壤、固体废物、化学品、核与辐射安全、声与振动、自然生态、应对气候变化等领域的管理技术指南、导则、规程、规范等，本标准为技术指南类，属于生态环境管理技术规范。 </w:t>
      </w:r>
    </w:p>
    <w:p>
      <w:pPr>
        <w:spacing w:line="360" w:lineRule="auto"/>
        <w:ind w:firstLine="482" w:firstLineChars="200"/>
        <w:outlineLvl w:val="2"/>
        <w:rPr>
          <w:rFonts w:hint="default" w:ascii="Times New Roman" w:hAnsi="Times New Roman" w:cs="Times New Roman"/>
          <w:b/>
          <w:bCs/>
          <w:color w:val="auto"/>
          <w:sz w:val="24"/>
          <w:szCs w:val="24"/>
          <w:highlight w:val="none"/>
          <w:lang w:val="en-US" w:eastAsia="zh-CN"/>
        </w:rPr>
      </w:pPr>
      <w:bookmarkStart w:id="33" w:name="_Toc20113"/>
      <w:r>
        <w:rPr>
          <w:rFonts w:hint="eastAsia" w:ascii="Times New Roman" w:hAnsi="Times New Roman" w:cs="Times New Roman"/>
          <w:b/>
          <w:bCs/>
          <w:color w:val="auto"/>
          <w:sz w:val="24"/>
          <w:szCs w:val="24"/>
          <w:highlight w:val="none"/>
          <w:lang w:val="en-US" w:eastAsia="zh-CN"/>
        </w:rPr>
        <w:t>1.</w:t>
      </w:r>
      <w:r>
        <w:rPr>
          <w:rFonts w:hint="default" w:ascii="Times New Roman" w:hAnsi="Times New Roman" w:cs="Times New Roman"/>
          <w:b/>
          <w:bCs/>
          <w:color w:val="auto"/>
          <w:sz w:val="24"/>
          <w:szCs w:val="24"/>
          <w:highlight w:val="none"/>
          <w:lang w:val="en-US" w:eastAsia="zh-CN"/>
        </w:rPr>
        <w:t>2.2 本标准的作用</w:t>
      </w:r>
      <w:bookmarkEnd w:id="33"/>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加强入河排污口监督管理，是深入打好污染防治攻坚战的重要抓手，对于促进绿色发展，保护和建设美丽河湖具有重要作用。入河排污口设置审批作为入河排污口监督管理的重要环节，控制入河污染物排放，间接影响着水生态环境质量。</w:t>
      </w:r>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目前，生态环境部已经发布了《入河入海排污口监督管理技术指南  入河排污口设置》（HJ 1386-2024）等十多个入河排污口设置相关标准，明确了入河排污口设置论证报告具体内容用以指导入河排污口设置申请单位和第三方技术服务机构编制报告。但是，缺少入河排污口设置技术评估的专门文件来指导和规范技术评估工作，因此，需制订一个科学、规范的《技术指南》用于指导和规范陕西省入河排污口设置论证报告技术评估工作，统一评估人员的审查尺度、工作深度和范围，最终为生态环境主管部门（审批部门）提供客观、公正的评估报告，为生态环境主管部门（审批部门）决策提供科学依据，保障评估内容和评估结果的完整性、真实性和准确性。</w:t>
      </w:r>
    </w:p>
    <w:p>
      <w:pPr>
        <w:spacing w:line="360" w:lineRule="auto"/>
        <w:ind w:firstLine="482" w:firstLineChars="200"/>
        <w:outlineLvl w:val="2"/>
        <w:rPr>
          <w:rFonts w:hint="default" w:ascii="Times New Roman" w:hAnsi="Times New Roman" w:cs="Times New Roman"/>
          <w:b/>
          <w:bCs/>
          <w:color w:val="auto"/>
          <w:sz w:val="24"/>
          <w:szCs w:val="24"/>
          <w:highlight w:val="none"/>
          <w:lang w:val="en-US" w:eastAsia="zh-CN"/>
        </w:rPr>
      </w:pPr>
      <w:bookmarkStart w:id="34" w:name="_Toc18415"/>
      <w:r>
        <w:rPr>
          <w:rFonts w:hint="eastAsia" w:ascii="Times New Roman" w:hAnsi="Times New Roman" w:cs="Times New Roman"/>
          <w:b/>
          <w:bCs/>
          <w:color w:val="auto"/>
          <w:sz w:val="24"/>
          <w:szCs w:val="24"/>
          <w:highlight w:val="none"/>
          <w:lang w:val="en-US" w:eastAsia="zh-CN"/>
        </w:rPr>
        <w:t>1.</w:t>
      </w:r>
      <w:r>
        <w:rPr>
          <w:rFonts w:hint="default" w:ascii="Times New Roman" w:hAnsi="Times New Roman" w:cs="Times New Roman"/>
          <w:b/>
          <w:bCs/>
          <w:color w:val="auto"/>
          <w:sz w:val="24"/>
          <w:szCs w:val="24"/>
          <w:highlight w:val="none"/>
          <w:lang w:val="en-US" w:eastAsia="zh-CN"/>
        </w:rPr>
        <w:t>2.3 本标准制定的必要性</w:t>
      </w:r>
      <w:bookmarkEnd w:id="34"/>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default" w:ascii="Times New Roman" w:hAnsi="Times New Roman" w:cs="Times New Roman"/>
          <w:b/>
          <w:bCs/>
          <w:color w:val="auto"/>
          <w:sz w:val="24"/>
          <w:szCs w:val="24"/>
          <w:highlight w:val="none"/>
          <w:lang w:val="en-US" w:eastAsia="zh-CN"/>
        </w:rPr>
      </w:pPr>
      <w:bookmarkStart w:id="35" w:name="_Toc6989"/>
      <w:r>
        <w:rPr>
          <w:rFonts w:hint="eastAsia" w:ascii="Times New Roman" w:hAnsi="Times New Roman" w:cs="Times New Roman"/>
          <w:b/>
          <w:bCs/>
          <w:color w:val="auto"/>
          <w:sz w:val="24"/>
          <w:szCs w:val="24"/>
          <w:highlight w:val="none"/>
          <w:lang w:val="en-US" w:eastAsia="zh-CN"/>
        </w:rPr>
        <w:t>（1）</w:t>
      </w:r>
      <w:r>
        <w:rPr>
          <w:rFonts w:hint="default" w:ascii="Times New Roman" w:hAnsi="Times New Roman" w:cs="Times New Roman"/>
          <w:b/>
          <w:bCs/>
          <w:color w:val="auto"/>
          <w:sz w:val="24"/>
          <w:szCs w:val="24"/>
          <w:highlight w:val="none"/>
          <w:lang w:val="en-US" w:eastAsia="zh-CN"/>
        </w:rPr>
        <w:t>落实国家法律法规的刚性要求</w:t>
      </w:r>
      <w:bookmarkEnd w:id="35"/>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《中华人民共和国水法》《中华人民共和国水污染防治法》《中华人民共和国长江保护法》《中华人民共和国黄河保护法》《</w:t>
      </w:r>
      <w:r>
        <w:rPr>
          <w:rFonts w:hint="default" w:ascii="Times New Roman" w:hAnsi="Times New Roman" w:cs="Times New Roman"/>
          <w:color w:val="auto"/>
          <w:sz w:val="24"/>
          <w:szCs w:val="24"/>
          <w:highlight w:val="none"/>
        </w:rPr>
        <w:t>入河排污口监督管理办法</w:t>
      </w:r>
      <w:r>
        <w:rPr>
          <w:rFonts w:hint="default" w:ascii="Times New Roman" w:hAnsi="Times New Roman" w:cs="Times New Roman"/>
          <w:color w:val="auto"/>
          <w:sz w:val="24"/>
          <w:szCs w:val="24"/>
          <w:highlight w:val="none"/>
          <w:lang w:val="en-US" w:eastAsia="zh-CN"/>
        </w:rPr>
        <w:t>》等均对入河排污口设置提出明确的管理要求。标准的制定是落实相关法律法规、部门规章的具体化，为入河排污口设置技术评估工作提供了明确的依据，确保入河排污口设置技术评估工作有章可循。</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default" w:ascii="Times New Roman" w:hAnsi="Times New Roman" w:cs="Times New Roman"/>
          <w:b/>
          <w:bCs/>
          <w:color w:val="auto"/>
          <w:sz w:val="24"/>
          <w:szCs w:val="24"/>
          <w:highlight w:val="none"/>
          <w:lang w:val="en-US" w:eastAsia="zh-CN"/>
        </w:rPr>
      </w:pPr>
      <w:bookmarkStart w:id="36" w:name="_Toc10996"/>
      <w:r>
        <w:rPr>
          <w:rFonts w:hint="eastAsia" w:ascii="Times New Roman" w:hAnsi="Times New Roman" w:cs="Times New Roman"/>
          <w:b/>
          <w:bCs/>
          <w:color w:val="auto"/>
          <w:sz w:val="24"/>
          <w:szCs w:val="24"/>
          <w:highlight w:val="none"/>
          <w:lang w:val="en-US" w:eastAsia="zh-CN"/>
        </w:rPr>
        <w:t>（2）</w:t>
      </w:r>
      <w:r>
        <w:rPr>
          <w:rFonts w:hint="default" w:ascii="Times New Roman" w:hAnsi="Times New Roman" w:cs="Times New Roman"/>
          <w:b/>
          <w:bCs/>
          <w:color w:val="auto"/>
          <w:sz w:val="24"/>
          <w:szCs w:val="24"/>
          <w:highlight w:val="none"/>
          <w:lang w:val="en-US" w:eastAsia="zh-CN"/>
        </w:rPr>
        <w:t>填补入河排污口设置技术评估领域的空白</w:t>
      </w:r>
      <w:bookmarkEnd w:id="36"/>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自2018年起，入河排污口设置审批工作由水利部门</w:t>
      </w:r>
      <w:r>
        <w:rPr>
          <w:rFonts w:hint="default" w:ascii="Times New Roman" w:hAnsi="Times New Roman" w:cs="Times New Roman"/>
          <w:color w:val="auto"/>
          <w:sz w:val="24"/>
          <w:szCs w:val="24"/>
          <w:highlight w:val="none"/>
        </w:rPr>
        <w:t>划</w:t>
      </w:r>
      <w:r>
        <w:rPr>
          <w:rFonts w:hint="default" w:ascii="Times New Roman" w:hAnsi="Times New Roman" w:cs="Times New Roman"/>
          <w:color w:val="auto"/>
          <w:sz w:val="24"/>
          <w:szCs w:val="24"/>
          <w:highlight w:val="none"/>
          <w:lang w:val="en-US" w:eastAsia="zh-CN"/>
        </w:rPr>
        <w:t>转至</w:t>
      </w:r>
      <w:r>
        <w:rPr>
          <w:rFonts w:hint="default" w:ascii="Times New Roman" w:hAnsi="Times New Roman" w:cs="Times New Roman"/>
          <w:color w:val="auto"/>
          <w:sz w:val="24"/>
          <w:szCs w:val="24"/>
          <w:highlight w:val="none"/>
        </w:rPr>
        <w:t>生态环境部门</w:t>
      </w:r>
      <w:r>
        <w:rPr>
          <w:rFonts w:hint="default" w:ascii="Times New Roman" w:hAnsi="Times New Roman" w:cs="Times New Roman"/>
          <w:color w:val="auto"/>
          <w:sz w:val="24"/>
          <w:szCs w:val="24"/>
          <w:highlight w:val="none"/>
          <w:lang w:val="en-US" w:eastAsia="zh-CN"/>
        </w:rPr>
        <w:t>以来，由于地方生态环境主管部门（审批部门）负责入河排污口设置审批工作时间短，且入河排污口设置论证报告涉及行业领域多、专业性强且工作技术要求高；加之最新的入河排污口设置相关规范政策文件陆续发布，目前陕西省部分地方生态环境主管部门（审批部门）仍存在入河排污口设置技术评估标准模糊、尺度不统一等问题。标准的制定将填补这一领域的空白，统一评估标准，做到一把尺子量到底，可为地方生态环境主管部门（审批部门）提供科学规范的技术支撑，避免“自由裁量权”滥用。</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default" w:ascii="Times New Roman" w:hAnsi="Times New Roman" w:cs="Times New Roman"/>
          <w:b/>
          <w:bCs/>
          <w:color w:val="auto"/>
          <w:sz w:val="24"/>
          <w:szCs w:val="24"/>
          <w:highlight w:val="none"/>
          <w:lang w:val="en-US" w:eastAsia="zh-CN"/>
        </w:rPr>
      </w:pPr>
      <w:bookmarkStart w:id="37" w:name="_Toc1899"/>
      <w:r>
        <w:rPr>
          <w:rFonts w:hint="eastAsia" w:ascii="Times New Roman" w:hAnsi="Times New Roman" w:cs="Times New Roman"/>
          <w:b/>
          <w:bCs/>
          <w:color w:val="auto"/>
          <w:sz w:val="24"/>
          <w:szCs w:val="24"/>
          <w:highlight w:val="none"/>
          <w:lang w:val="en-US" w:eastAsia="zh-CN"/>
        </w:rPr>
        <w:t>（3）</w:t>
      </w:r>
      <w:r>
        <w:rPr>
          <w:rFonts w:hint="default" w:ascii="Times New Roman" w:hAnsi="Times New Roman" w:cs="Times New Roman"/>
          <w:b/>
          <w:bCs/>
          <w:color w:val="auto"/>
          <w:sz w:val="24"/>
          <w:szCs w:val="24"/>
          <w:highlight w:val="none"/>
          <w:lang w:val="en-US" w:eastAsia="zh-CN"/>
        </w:rPr>
        <w:t>规范入河排污口设置审批的迫切需求</w:t>
      </w:r>
      <w:bookmarkEnd w:id="37"/>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2018年3月，中共中央印发《深化党和国家机构改革方案》，入河排污口设置管理职责整合至生态环境部，为做好职责整合后的各项工作，生态环境部下发文件《关于做好入河排污口和水功能区划相关工作的通知》（环办水体〔2019〕36号），明确了入河排污口设置管理工作的有关要求。根据《国务院办公厅关于全面实行行政许可事项清单管理的通知》</w:t>
      </w:r>
      <w:r>
        <w:rPr>
          <w:rFonts w:hint="eastAsia"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国办发〔2022〕2号</w:t>
      </w:r>
      <w:r>
        <w:rPr>
          <w:rFonts w:hint="eastAsia"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和《生态环境部《关于发布&lt;生态环境领域行政许可事项实施规范&gt;的公告</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公告2023年第7号</w:t>
      </w:r>
      <w:r>
        <w:rPr>
          <w:rFonts w:hint="eastAsia"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江河、湖泊新建、改建或者扩大排污口审批纳入行政许可事项目录，依法依规实施行政许可。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rPr>
        <w:t>20</w:t>
      </w:r>
      <w:r>
        <w:rPr>
          <w:rFonts w:hint="default" w:ascii="Times New Roman" w:hAnsi="Times New Roman" w:cs="Times New Roman"/>
          <w:color w:val="auto"/>
          <w:sz w:val="24"/>
          <w:szCs w:val="24"/>
          <w:highlight w:val="none"/>
          <w:lang w:val="en-US" w:eastAsia="zh-CN"/>
        </w:rPr>
        <w:t>23</w:t>
      </w:r>
      <w:r>
        <w:rPr>
          <w:rFonts w:hint="default" w:ascii="Times New Roman" w:hAnsi="Times New Roman" w:cs="Times New Roman"/>
          <w:color w:val="auto"/>
          <w:sz w:val="24"/>
          <w:szCs w:val="24"/>
          <w:highlight w:val="none"/>
        </w:rPr>
        <w:t>年9月，陕西省生态环境厅印发了《陕西省生态环境厅关于</w:t>
      </w:r>
      <w:r>
        <w:rPr>
          <w:rFonts w:hint="default" w:ascii="Times New Roman" w:hAnsi="Times New Roman" w:cs="Times New Roman"/>
          <w:color w:val="auto"/>
          <w:sz w:val="24"/>
          <w:szCs w:val="24"/>
          <w:highlight w:val="none"/>
          <w:lang w:val="en-US" w:eastAsia="zh-CN"/>
        </w:rPr>
        <w:t>规范我省入河排污口设置审批工作的通知</w:t>
      </w:r>
      <w:r>
        <w:rPr>
          <w:rFonts w:hint="default" w:ascii="Times New Roman" w:hAnsi="Times New Roman" w:cs="Times New Roman"/>
          <w:color w:val="auto"/>
          <w:sz w:val="24"/>
          <w:szCs w:val="24"/>
          <w:highlight w:val="none"/>
        </w:rPr>
        <w:t>》（陕环</w:t>
      </w:r>
      <w:r>
        <w:rPr>
          <w:rFonts w:hint="default" w:ascii="Times New Roman" w:hAnsi="Times New Roman" w:cs="Times New Roman"/>
          <w:color w:val="auto"/>
          <w:sz w:val="24"/>
          <w:szCs w:val="24"/>
          <w:highlight w:val="none"/>
          <w:lang w:val="en-US" w:eastAsia="zh-CN"/>
        </w:rPr>
        <w:t>发</w:t>
      </w:r>
      <w:r>
        <w:rPr>
          <w:rFonts w:hint="default" w:ascii="Times New Roman" w:hAnsi="Times New Roman" w:cs="Times New Roman"/>
          <w:color w:val="auto"/>
          <w:sz w:val="24"/>
          <w:szCs w:val="24"/>
          <w:highlight w:val="none"/>
        </w:rPr>
        <w:t>〔20</w:t>
      </w:r>
      <w:r>
        <w:rPr>
          <w:rFonts w:hint="default" w:ascii="Times New Roman" w:hAnsi="Times New Roman" w:cs="Times New Roman"/>
          <w:color w:val="auto"/>
          <w:sz w:val="24"/>
          <w:szCs w:val="24"/>
          <w:highlight w:val="none"/>
          <w:lang w:val="en-US" w:eastAsia="zh-CN"/>
        </w:rPr>
        <w:t>23</w:t>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lang w:val="en-US" w:eastAsia="zh-CN"/>
        </w:rPr>
        <w:t>22</w:t>
      </w:r>
      <w:r>
        <w:rPr>
          <w:rFonts w:hint="default" w:ascii="Times New Roman" w:hAnsi="Times New Roman" w:cs="Times New Roman"/>
          <w:color w:val="auto"/>
          <w:sz w:val="24"/>
          <w:szCs w:val="24"/>
          <w:highlight w:val="none"/>
        </w:rPr>
        <w:t>号），</w:t>
      </w:r>
      <w:r>
        <w:rPr>
          <w:rFonts w:hint="default" w:ascii="Times New Roman" w:hAnsi="Times New Roman" w:cs="Times New Roman"/>
          <w:color w:val="auto"/>
          <w:sz w:val="24"/>
          <w:szCs w:val="24"/>
          <w:highlight w:val="none"/>
          <w:lang w:val="en-US" w:eastAsia="zh-CN"/>
        </w:rPr>
        <w:t>明确了审批范围和审批权限</w:t>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lang w:val="en-US" w:eastAsia="zh-CN"/>
        </w:rPr>
        <w:t>但针对如何开展入河排污口设置论证报告技术评估，国内和陕西省尚未出台相关的标准规范，且现状通过入河排污口排查整治新发现未开展入河排污口审批的排污口较多，加之</w:t>
      </w:r>
      <w:r>
        <w:rPr>
          <w:rFonts w:hint="default" w:ascii="Times New Roman" w:hAnsi="Times New Roman" w:cs="Times New Roman"/>
          <w:color w:val="auto"/>
          <w:sz w:val="24"/>
          <w:szCs w:val="24"/>
          <w:highlight w:val="none"/>
        </w:rPr>
        <w:t>评估人员</w:t>
      </w:r>
      <w:r>
        <w:rPr>
          <w:rFonts w:hint="default" w:ascii="Times New Roman" w:hAnsi="Times New Roman" w:cs="Times New Roman"/>
          <w:color w:val="auto"/>
          <w:sz w:val="24"/>
          <w:szCs w:val="24"/>
          <w:highlight w:val="none"/>
          <w:lang w:val="en-US" w:eastAsia="zh-CN"/>
        </w:rPr>
        <w:t>专业背景不一、技术深度和工作经验差异，问题解决能力参差，对同一事项的理解和判断会有所差异</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lang w:val="en-US" w:eastAsia="zh-CN"/>
        </w:rPr>
        <w:t>因此亟需出台相关标准</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lang w:val="en-US" w:eastAsia="zh-CN"/>
        </w:rPr>
        <w:t>以提高入河排污口设置论证报告技术评估质量，保障技术评估报告内容的真实性、准确性和完整性，为后续入河排污口监管提供准确依据。</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default" w:ascii="Times New Roman" w:hAnsi="Times New Roman" w:cs="Times New Roman"/>
          <w:b/>
          <w:bCs/>
          <w:color w:val="auto"/>
          <w:sz w:val="24"/>
          <w:szCs w:val="24"/>
          <w:highlight w:val="none"/>
          <w:lang w:val="en-US" w:eastAsia="zh-CN"/>
        </w:rPr>
      </w:pPr>
      <w:bookmarkStart w:id="38" w:name="_Toc31404"/>
      <w:r>
        <w:rPr>
          <w:rFonts w:hint="eastAsia" w:ascii="Times New Roman" w:hAnsi="Times New Roman" w:cs="Times New Roman"/>
          <w:b/>
          <w:bCs/>
          <w:color w:val="auto"/>
          <w:sz w:val="24"/>
          <w:szCs w:val="24"/>
          <w:highlight w:val="none"/>
          <w:lang w:val="en-US" w:eastAsia="zh-CN"/>
        </w:rPr>
        <w:t>（4）</w:t>
      </w:r>
      <w:r>
        <w:rPr>
          <w:rFonts w:hint="default" w:ascii="Times New Roman" w:hAnsi="Times New Roman" w:cs="Times New Roman"/>
          <w:b/>
          <w:bCs/>
          <w:color w:val="auto"/>
          <w:sz w:val="24"/>
          <w:szCs w:val="24"/>
          <w:highlight w:val="none"/>
          <w:lang w:val="en-US" w:eastAsia="zh-CN"/>
        </w:rPr>
        <w:t>促进区域公平开展环境管理的需求</w:t>
      </w:r>
      <w:bookmarkEnd w:id="38"/>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因河流水体具有流动性，污染物可能随水流被携带至下游区域，对下游</w:t>
      </w:r>
      <w:r>
        <w:rPr>
          <w:rFonts w:hint="eastAsia" w:ascii="Times New Roman" w:hAnsi="Times New Roman" w:cs="Times New Roman"/>
          <w:color w:val="auto"/>
          <w:sz w:val="24"/>
          <w:szCs w:val="24"/>
          <w:highlight w:val="none"/>
          <w:lang w:val="en-US" w:eastAsia="zh-CN"/>
        </w:rPr>
        <w:t>区域</w:t>
      </w:r>
      <w:r>
        <w:rPr>
          <w:rFonts w:hint="default" w:ascii="Times New Roman" w:hAnsi="Times New Roman" w:cs="Times New Roman"/>
          <w:color w:val="auto"/>
          <w:sz w:val="24"/>
          <w:szCs w:val="24"/>
          <w:highlight w:val="none"/>
          <w:lang w:val="en-US" w:eastAsia="zh-CN"/>
        </w:rPr>
        <w:t>的水环境质量构成潜在威胁。这种跨市界、县界或共用水域的污染物迁移，往往因地方保护主义而引发排污争端，不利于流域的整体治理和保护。因此，通过制定统一的标准，可以确保不同地市、县区间在审批和管理入河排污口时遵循相同的原则和尺度，减少因标准不一而引发的争议和冲突，还能促进流域内各地之间的协同合作，推动流域协同治理的深入发展，确保河流水环境得到有效保护和改善。同时，这也有助于提升公众对环境保护的信心和参与度，形成全社会共同关注、共同参与水环境保护的良好氛围。</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default" w:ascii="Times New Roman" w:hAnsi="Times New Roman" w:cs="Times New Roman"/>
          <w:b/>
          <w:bCs/>
          <w:color w:val="auto"/>
          <w:sz w:val="24"/>
          <w:szCs w:val="24"/>
          <w:highlight w:val="none"/>
          <w:lang w:val="en-US" w:eastAsia="zh-CN"/>
        </w:rPr>
      </w:pPr>
      <w:bookmarkStart w:id="39" w:name="_Toc17959"/>
      <w:r>
        <w:rPr>
          <w:rFonts w:hint="eastAsia" w:ascii="Times New Roman" w:hAnsi="Times New Roman" w:cs="Times New Roman"/>
          <w:b/>
          <w:bCs/>
          <w:color w:val="auto"/>
          <w:sz w:val="24"/>
          <w:szCs w:val="24"/>
          <w:highlight w:val="none"/>
          <w:lang w:val="en-US" w:eastAsia="zh-CN"/>
        </w:rPr>
        <w:t>（5）</w:t>
      </w:r>
      <w:r>
        <w:rPr>
          <w:rFonts w:hint="default" w:ascii="Times New Roman" w:hAnsi="Times New Roman" w:cs="Times New Roman"/>
          <w:b/>
          <w:bCs/>
          <w:color w:val="auto"/>
          <w:sz w:val="24"/>
          <w:szCs w:val="24"/>
          <w:highlight w:val="none"/>
          <w:lang w:val="en-US" w:eastAsia="zh-CN"/>
        </w:rPr>
        <w:t>改善陕西省水生态环境质量的重要手段</w:t>
      </w:r>
      <w:bookmarkEnd w:id="39"/>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val="en-US" w:eastAsia="zh-CN"/>
        </w:rPr>
        <w:t>根据陕西省生态环境厅发布的《陕西省2024年12月暨1-12月水环境质量状况》2024年1-12月，陕西省111个国控断面中，剔除本底影响后，Ⅰ～Ⅲ类107个，占96.4%（Ⅰ类8个，占7.2%；Ⅱ类78个，占70.3%；Ⅲ类21个，占18.9%）；Ⅳ～Ⅴ类断面4个，占3.6%；无劣Ⅴ类断面。现状省内仍存在Ⅳ类、Ⅴ类水质，通过规范入河排污口设置审批，有助于掌握入河排污口设置申请单位污染物入河量等基本情况，从源头减少污染物入河量，同时打通水上岸上，强化入河排污口事中事后监管，为实施入河排污口“受纳水体-排污口-排污通道-排污单位”全程监管提供了机制保障，</w:t>
      </w:r>
      <w:r>
        <w:rPr>
          <w:rFonts w:hint="default" w:ascii="Times New Roman" w:hAnsi="Times New Roman" w:cs="Times New Roman"/>
          <w:color w:val="auto"/>
          <w:sz w:val="24"/>
          <w:szCs w:val="24"/>
          <w:highlight w:val="none"/>
        </w:rPr>
        <w:t>对入河排污口实施有效管控，提高环境监管效能，推动</w:t>
      </w:r>
      <w:r>
        <w:rPr>
          <w:rFonts w:hint="default" w:ascii="Times New Roman" w:hAnsi="Times New Roman" w:cs="Times New Roman"/>
          <w:color w:val="auto"/>
          <w:sz w:val="24"/>
          <w:szCs w:val="24"/>
          <w:highlight w:val="none"/>
          <w:lang w:val="en-US" w:eastAsia="zh-CN"/>
        </w:rPr>
        <w:t>持续</w:t>
      </w:r>
      <w:r>
        <w:rPr>
          <w:rFonts w:hint="default" w:ascii="Times New Roman" w:hAnsi="Times New Roman" w:cs="Times New Roman"/>
          <w:color w:val="auto"/>
          <w:sz w:val="24"/>
          <w:szCs w:val="24"/>
          <w:highlight w:val="none"/>
        </w:rPr>
        <w:t>改善</w:t>
      </w:r>
      <w:r>
        <w:rPr>
          <w:rFonts w:hint="default" w:ascii="Times New Roman" w:hAnsi="Times New Roman" w:cs="Times New Roman"/>
          <w:color w:val="auto"/>
          <w:sz w:val="24"/>
          <w:szCs w:val="24"/>
          <w:highlight w:val="none"/>
          <w:lang w:val="en-US" w:eastAsia="zh-CN"/>
        </w:rPr>
        <w:t>陕西省</w:t>
      </w:r>
      <w:r>
        <w:rPr>
          <w:rFonts w:hint="default" w:ascii="Times New Roman" w:hAnsi="Times New Roman" w:cs="Times New Roman"/>
          <w:color w:val="auto"/>
          <w:sz w:val="24"/>
          <w:szCs w:val="24"/>
          <w:highlight w:val="none"/>
        </w:rPr>
        <w:t>水</w:t>
      </w:r>
      <w:r>
        <w:rPr>
          <w:rFonts w:hint="default" w:ascii="Times New Roman" w:hAnsi="Times New Roman" w:cs="Times New Roman"/>
          <w:color w:val="auto"/>
          <w:sz w:val="24"/>
          <w:szCs w:val="24"/>
          <w:highlight w:val="none"/>
          <w:lang w:val="en-US" w:eastAsia="zh-CN"/>
        </w:rPr>
        <w:t>生态</w:t>
      </w:r>
      <w:r>
        <w:rPr>
          <w:rFonts w:hint="default" w:ascii="Times New Roman" w:hAnsi="Times New Roman" w:cs="Times New Roman"/>
          <w:color w:val="auto"/>
          <w:sz w:val="24"/>
          <w:szCs w:val="24"/>
          <w:highlight w:val="none"/>
        </w:rPr>
        <w:t>环境质量具有重要意义。</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default" w:ascii="Times New Roman" w:hAnsi="Times New Roman" w:cs="Times New Roman"/>
          <w:b/>
          <w:bCs/>
          <w:color w:val="auto"/>
          <w:sz w:val="24"/>
          <w:szCs w:val="24"/>
          <w:highlight w:val="none"/>
          <w:lang w:val="en-US" w:eastAsia="zh-CN"/>
        </w:rPr>
      </w:pPr>
      <w:bookmarkStart w:id="40" w:name="_Toc30318"/>
      <w:r>
        <w:rPr>
          <w:rFonts w:hint="eastAsia" w:ascii="Times New Roman" w:hAnsi="Times New Roman" w:cs="Times New Roman"/>
          <w:b/>
          <w:bCs/>
          <w:color w:val="auto"/>
          <w:sz w:val="24"/>
          <w:szCs w:val="24"/>
          <w:highlight w:val="none"/>
          <w:lang w:val="en-US" w:eastAsia="zh-CN"/>
        </w:rPr>
        <w:t>（6）</w:t>
      </w:r>
      <w:r>
        <w:rPr>
          <w:rFonts w:hint="default" w:ascii="Times New Roman" w:hAnsi="Times New Roman" w:cs="Times New Roman"/>
          <w:b/>
          <w:bCs/>
          <w:color w:val="auto"/>
          <w:sz w:val="24"/>
          <w:szCs w:val="24"/>
          <w:highlight w:val="none"/>
          <w:lang w:val="en-US" w:eastAsia="zh-CN"/>
        </w:rPr>
        <w:t>提升环境管理效能与科学性的需要</w:t>
      </w:r>
      <w:bookmarkEnd w:id="40"/>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在传统的环境管理模式中，往往存在“重审批、轻监管”的现象，即在入河排污口的设置过程中，过于注重前期的审批环节，而忽视了后续的监管和管理。这种管理模式容易导致审批与监管脱节，影响管理效能和科学性。标准的制定将明确入河排污口设置前的评估、规范化建设以及运行中的监测规范等全周期技术要求，规范全流程管理，确保入河排污口的设置、建设和运行均符合相关标准和要求，从而提高管理的效能和科学性，推动入河排污口设置的精细化管理。通过实施精细化管理，可以及时发现和解决入河排污口存在的问题，防止污染物对水体造成污染，保护水环境质量和生态安全。</w:t>
      </w:r>
    </w:p>
    <w:p>
      <w:pPr>
        <w:pStyle w:val="5"/>
        <w:numPr>
          <w:ilvl w:val="0"/>
          <w:numId w:val="0"/>
        </w:numPr>
        <w:spacing w:before="0" w:after="0" w:line="360" w:lineRule="auto"/>
        <w:rPr>
          <w:rFonts w:hint="default" w:ascii="Times New Roman" w:hAnsi="Times New Roman" w:eastAsia="宋体" w:cs="Times New Roman"/>
          <w:b/>
          <w:color w:val="auto"/>
          <w:szCs w:val="24"/>
          <w:highlight w:val="none"/>
          <w:lang w:val="en-US" w:eastAsia="zh-CN"/>
        </w:rPr>
      </w:pPr>
      <w:bookmarkStart w:id="41" w:name="_Toc10640"/>
      <w:r>
        <w:rPr>
          <w:rFonts w:hint="default" w:ascii="Times New Roman" w:hAnsi="Times New Roman" w:eastAsia="宋体" w:cs="Times New Roman"/>
          <w:b/>
          <w:color w:val="auto"/>
          <w:szCs w:val="24"/>
          <w:highlight w:val="none"/>
        </w:rPr>
        <w:t>1.</w:t>
      </w:r>
      <w:r>
        <w:rPr>
          <w:rFonts w:hint="eastAsia" w:ascii="Times New Roman" w:hAnsi="Times New Roman" w:eastAsia="宋体" w:cs="Times New Roman"/>
          <w:b/>
          <w:color w:val="auto"/>
          <w:szCs w:val="24"/>
          <w:highlight w:val="none"/>
          <w:lang w:val="en-US" w:eastAsia="zh-CN"/>
        </w:rPr>
        <w:t>3 主导单位</w:t>
      </w:r>
      <w:bookmarkEnd w:id="41"/>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本标准主导单位为陕西省环境调查评估中心。</w:t>
      </w:r>
    </w:p>
    <w:p>
      <w:pPr>
        <w:pStyle w:val="5"/>
        <w:numPr>
          <w:ilvl w:val="0"/>
          <w:numId w:val="0"/>
        </w:numPr>
        <w:spacing w:before="0" w:after="0" w:line="360" w:lineRule="auto"/>
        <w:rPr>
          <w:rFonts w:hint="default" w:ascii="Times New Roman" w:hAnsi="Times New Roman" w:eastAsia="宋体" w:cs="Times New Roman"/>
          <w:b/>
          <w:color w:val="auto"/>
          <w:szCs w:val="24"/>
          <w:highlight w:val="none"/>
        </w:rPr>
      </w:pPr>
      <w:bookmarkStart w:id="42" w:name="_Toc4267"/>
      <w:r>
        <w:rPr>
          <w:rFonts w:hint="default" w:ascii="Times New Roman" w:hAnsi="Times New Roman" w:eastAsia="宋体" w:cs="Times New Roman"/>
          <w:b/>
          <w:color w:val="auto"/>
          <w:szCs w:val="24"/>
          <w:highlight w:val="none"/>
        </w:rPr>
        <w:t>1.</w:t>
      </w:r>
      <w:r>
        <w:rPr>
          <w:rFonts w:hint="eastAsia" w:ascii="Times New Roman" w:hAnsi="Times New Roman" w:eastAsia="宋体" w:cs="Times New Roman"/>
          <w:b/>
          <w:color w:val="auto"/>
          <w:szCs w:val="24"/>
          <w:highlight w:val="none"/>
          <w:lang w:val="en-US" w:eastAsia="zh-CN"/>
        </w:rPr>
        <w:t xml:space="preserve">4 </w:t>
      </w:r>
      <w:r>
        <w:rPr>
          <w:rFonts w:hint="default" w:ascii="Times New Roman" w:hAnsi="Times New Roman" w:eastAsia="宋体" w:cs="Times New Roman"/>
          <w:b/>
          <w:color w:val="auto"/>
          <w:szCs w:val="24"/>
          <w:highlight w:val="none"/>
        </w:rPr>
        <w:t>工作过程</w:t>
      </w:r>
      <w:bookmarkEnd w:id="30"/>
      <w:bookmarkEnd w:id="31"/>
      <w:bookmarkEnd w:id="42"/>
    </w:p>
    <w:p>
      <w:pPr>
        <w:spacing w:line="360" w:lineRule="auto"/>
        <w:ind w:firstLine="480" w:firstLineChars="20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（1）成立标准编制小组</w:t>
      </w:r>
    </w:p>
    <w:p>
      <w:pPr>
        <w:spacing w:line="360" w:lineRule="auto"/>
        <w:ind w:firstLine="480" w:firstLineChars="20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2021年4月，由陕西省环境调查评估中心组织中圣环境科技发展有限公司</w:t>
      </w:r>
      <w:r>
        <w:rPr>
          <w:rFonts w:hint="eastAsia"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lang w:eastAsia="zh-CN"/>
        </w:rPr>
        <w:t>汉中市环境工程规划设计</w:t>
      </w:r>
      <w:r>
        <w:rPr>
          <w:rFonts w:hint="default" w:ascii="Times New Roman" w:hAnsi="Times New Roman" w:cs="Times New Roman"/>
          <w:color w:val="auto"/>
          <w:sz w:val="24"/>
          <w:szCs w:val="24"/>
          <w:highlight w:val="none"/>
          <w:lang w:val="en-US" w:eastAsia="zh-CN"/>
        </w:rPr>
        <w:t>集团有限公司</w:t>
      </w:r>
      <w:r>
        <w:rPr>
          <w:rFonts w:hint="eastAsia" w:ascii="Times New Roman" w:hAnsi="Times New Roman" w:cs="Times New Roman"/>
          <w:color w:val="auto"/>
          <w:sz w:val="24"/>
          <w:szCs w:val="24"/>
          <w:highlight w:val="none"/>
          <w:lang w:val="en-US" w:eastAsia="zh-CN"/>
        </w:rPr>
        <w:t>等单位</w:t>
      </w:r>
      <w:r>
        <w:rPr>
          <w:rFonts w:hint="default" w:ascii="Times New Roman" w:hAnsi="Times New Roman" w:cs="Times New Roman"/>
          <w:color w:val="auto"/>
          <w:sz w:val="24"/>
          <w:szCs w:val="24"/>
          <w:highlight w:val="none"/>
        </w:rPr>
        <w:t>成立</w:t>
      </w:r>
      <w:r>
        <w:rPr>
          <w:rFonts w:hint="eastAsia" w:ascii="Times New Roman" w:hAnsi="Times New Roman" w:cs="Times New Roman"/>
          <w:color w:val="auto"/>
          <w:sz w:val="24"/>
          <w:szCs w:val="24"/>
          <w:highlight w:val="none"/>
          <w:lang w:val="en-US" w:eastAsia="zh-CN"/>
        </w:rPr>
        <w:t>标准</w:t>
      </w:r>
      <w:r>
        <w:rPr>
          <w:rFonts w:hint="default" w:ascii="Times New Roman" w:hAnsi="Times New Roman" w:cs="Times New Roman"/>
          <w:color w:val="auto"/>
          <w:sz w:val="24"/>
          <w:szCs w:val="24"/>
          <w:highlight w:val="none"/>
        </w:rPr>
        <w:t>编制组</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lang w:val="en-US" w:eastAsia="zh-CN"/>
        </w:rPr>
        <w:t>通过多次内部专题研讨，确定了工作方案，明确了任务分工制定了具体工作计划</w:t>
      </w:r>
      <w:r>
        <w:rPr>
          <w:rFonts w:hint="default" w:ascii="Times New Roman" w:hAnsi="Times New Roman" w:cs="Times New Roman"/>
          <w:color w:val="auto"/>
          <w:sz w:val="24"/>
          <w:szCs w:val="24"/>
          <w:highlight w:val="none"/>
        </w:rPr>
        <w:t>。</w:t>
      </w:r>
    </w:p>
    <w:p>
      <w:pPr>
        <w:spacing w:line="360" w:lineRule="auto"/>
        <w:ind w:firstLine="480" w:firstLineChars="20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（2）确定主要工作内容</w:t>
      </w:r>
    </w:p>
    <w:p>
      <w:pPr>
        <w:spacing w:line="360" w:lineRule="auto"/>
        <w:ind w:firstLine="480" w:firstLineChars="20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任务下达后，根据制定</w:t>
      </w:r>
      <w:r>
        <w:rPr>
          <w:rFonts w:hint="eastAsia" w:ascii="Times New Roman" w:hAnsi="Times New Roman" w:cs="Times New Roman"/>
          <w:color w:val="auto"/>
          <w:sz w:val="24"/>
          <w:szCs w:val="24"/>
          <w:highlight w:val="none"/>
          <w:lang w:val="en-US" w:eastAsia="zh-CN"/>
        </w:rPr>
        <w:t>标准</w:t>
      </w:r>
      <w:r>
        <w:rPr>
          <w:rFonts w:hint="default" w:ascii="Times New Roman" w:hAnsi="Times New Roman" w:cs="Times New Roman"/>
          <w:color w:val="auto"/>
          <w:sz w:val="24"/>
          <w:szCs w:val="24"/>
          <w:highlight w:val="none"/>
        </w:rPr>
        <w:t>的相关要求，标准编制小组针对标准的主要内容、工作方法等开展讨论，确定</w:t>
      </w:r>
      <w:r>
        <w:rPr>
          <w:rFonts w:hint="eastAsia" w:ascii="Times New Roman" w:hAnsi="Times New Roman" w:cs="Times New Roman"/>
          <w:color w:val="auto"/>
          <w:sz w:val="24"/>
          <w:szCs w:val="24"/>
          <w:highlight w:val="none"/>
          <w:lang w:val="en-US" w:eastAsia="zh-CN"/>
        </w:rPr>
        <w:t>本标准</w:t>
      </w:r>
      <w:r>
        <w:rPr>
          <w:rFonts w:hint="default" w:ascii="Times New Roman" w:hAnsi="Times New Roman" w:cs="Times New Roman"/>
          <w:color w:val="auto"/>
          <w:sz w:val="24"/>
          <w:szCs w:val="24"/>
          <w:highlight w:val="none"/>
        </w:rPr>
        <w:t>的主要工作内容，并开展以下几方面工作：</w:t>
      </w:r>
    </w:p>
    <w:p>
      <w:pPr>
        <w:spacing w:line="360" w:lineRule="auto"/>
        <w:ind w:firstLine="480" w:firstLineChars="20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①</w:t>
      </w:r>
      <w:r>
        <w:rPr>
          <w:rFonts w:hint="default" w:ascii="Times New Roman" w:hAnsi="Times New Roman" w:cs="Times New Roman"/>
          <w:color w:val="auto"/>
          <w:sz w:val="24"/>
          <w:szCs w:val="24"/>
          <w:highlight w:val="none"/>
          <w:lang w:val="en-US" w:eastAsia="zh-CN"/>
        </w:rPr>
        <w:t>开展陕西省</w:t>
      </w:r>
      <w:r>
        <w:rPr>
          <w:rFonts w:hint="default" w:ascii="Times New Roman" w:hAnsi="Times New Roman" w:cs="Times New Roman"/>
          <w:color w:val="auto"/>
          <w:sz w:val="24"/>
          <w:szCs w:val="24"/>
          <w:highlight w:val="none"/>
        </w:rPr>
        <w:t>入河排污口设置及审批</w:t>
      </w:r>
      <w:r>
        <w:rPr>
          <w:rFonts w:hint="default" w:ascii="Times New Roman" w:hAnsi="Times New Roman" w:cs="Times New Roman"/>
          <w:color w:val="auto"/>
          <w:sz w:val="24"/>
          <w:szCs w:val="24"/>
          <w:highlight w:val="none"/>
          <w:lang w:val="en-US" w:eastAsia="zh-CN"/>
        </w:rPr>
        <w:t>现状</w:t>
      </w:r>
      <w:r>
        <w:rPr>
          <w:rFonts w:hint="default" w:ascii="Times New Roman" w:hAnsi="Times New Roman" w:cs="Times New Roman"/>
          <w:color w:val="auto"/>
          <w:sz w:val="24"/>
          <w:szCs w:val="24"/>
          <w:highlight w:val="none"/>
        </w:rPr>
        <w:t>的资料</w:t>
      </w:r>
      <w:r>
        <w:rPr>
          <w:rFonts w:hint="default" w:ascii="Times New Roman" w:hAnsi="Times New Roman" w:cs="Times New Roman"/>
          <w:color w:val="auto"/>
          <w:sz w:val="24"/>
          <w:szCs w:val="24"/>
          <w:highlight w:val="none"/>
          <w:lang w:val="en-US" w:eastAsia="zh-CN"/>
        </w:rPr>
        <w:t>调研</w:t>
      </w:r>
      <w:r>
        <w:rPr>
          <w:rFonts w:hint="default" w:ascii="Times New Roman" w:hAnsi="Times New Roman" w:cs="Times New Roman"/>
          <w:color w:val="auto"/>
          <w:sz w:val="24"/>
          <w:szCs w:val="24"/>
          <w:highlight w:val="none"/>
        </w:rPr>
        <w:t>，包括入河排污口数量、分布特点、审批现状等</w:t>
      </w:r>
      <w:r>
        <w:rPr>
          <w:rFonts w:hint="default" w:ascii="Times New Roman" w:hAnsi="Times New Roman" w:cs="Times New Roman"/>
          <w:color w:val="auto"/>
          <w:sz w:val="24"/>
          <w:szCs w:val="24"/>
          <w:highlight w:val="none"/>
          <w:lang w:val="en-US" w:eastAsia="zh-CN"/>
        </w:rPr>
        <w:t>，摸清入河排污口设置现状</w:t>
      </w:r>
      <w:r>
        <w:rPr>
          <w:rFonts w:hint="default" w:ascii="Times New Roman" w:hAnsi="Times New Roman" w:cs="Times New Roman"/>
          <w:color w:val="auto"/>
          <w:sz w:val="24"/>
          <w:szCs w:val="24"/>
          <w:highlight w:val="none"/>
        </w:rPr>
        <w:t>；</w:t>
      </w:r>
    </w:p>
    <w:p>
      <w:pPr>
        <w:spacing w:line="360" w:lineRule="auto"/>
        <w:ind w:firstLine="480" w:firstLineChars="20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rPr>
        <w:t>②</w:t>
      </w:r>
      <w:r>
        <w:rPr>
          <w:rFonts w:hint="default" w:ascii="Times New Roman" w:hAnsi="Times New Roman" w:cs="Times New Roman"/>
          <w:color w:val="auto"/>
          <w:sz w:val="24"/>
          <w:szCs w:val="24"/>
          <w:highlight w:val="none"/>
          <w:lang w:val="en-US" w:eastAsia="zh-CN"/>
        </w:rPr>
        <w:t>对关中、陕南、陕北典型入河排污口现场考察，梳理陕西省入河排污口监管现状；</w:t>
      </w:r>
    </w:p>
    <w:p>
      <w:pPr>
        <w:spacing w:line="360" w:lineRule="auto"/>
        <w:ind w:firstLine="480" w:firstLineChars="20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③掌握国内入河排污口设置及审批的相关标准，包括相关法律法规、技术导则、政策文件等；</w:t>
      </w:r>
    </w:p>
    <w:p>
      <w:pPr>
        <w:spacing w:line="360" w:lineRule="auto"/>
        <w:ind w:firstLine="480" w:firstLineChars="200"/>
        <w:rPr>
          <w:rFonts w:hint="default" w:ascii="Times New Roman" w:hAnsi="Times New Roman" w:eastAsia="宋体" w:cs="Times New Roman"/>
          <w:color w:val="auto"/>
          <w:sz w:val="24"/>
          <w:szCs w:val="24"/>
          <w:highlight w:val="none"/>
          <w:lang w:eastAsia="zh-CN"/>
        </w:rPr>
      </w:pPr>
      <w:r>
        <w:rPr>
          <w:rFonts w:hint="default" w:ascii="Times New Roman" w:hAnsi="Times New Roman" w:cs="Times New Roman"/>
          <w:color w:val="auto"/>
          <w:sz w:val="24"/>
          <w:szCs w:val="24"/>
          <w:highlight w:val="none"/>
          <w:lang w:val="en-US" w:eastAsia="zh-CN"/>
        </w:rPr>
        <w:t>④</w:t>
      </w:r>
      <w:r>
        <w:rPr>
          <w:rFonts w:hint="default" w:ascii="Times New Roman" w:hAnsi="Times New Roman" w:cs="Times New Roman"/>
          <w:color w:val="auto"/>
          <w:sz w:val="24"/>
          <w:szCs w:val="24"/>
          <w:highlight w:val="none"/>
        </w:rPr>
        <w:t>开展现场调研，分别与</w:t>
      </w:r>
      <w:r>
        <w:rPr>
          <w:rFonts w:hint="default" w:ascii="Times New Roman" w:hAnsi="Times New Roman" w:cs="Times New Roman"/>
          <w:color w:val="auto"/>
          <w:sz w:val="24"/>
          <w:szCs w:val="24"/>
          <w:highlight w:val="none"/>
          <w:lang w:val="en-US" w:eastAsia="zh-CN"/>
        </w:rPr>
        <w:t>地方生态环境主管部门（审批部门）工作</w:t>
      </w:r>
      <w:r>
        <w:rPr>
          <w:rFonts w:hint="default" w:ascii="Times New Roman" w:hAnsi="Times New Roman" w:cs="Times New Roman"/>
          <w:color w:val="auto"/>
          <w:sz w:val="24"/>
          <w:szCs w:val="24"/>
          <w:highlight w:val="none"/>
        </w:rPr>
        <w:t>人员进行了座谈与</w:t>
      </w:r>
      <w:r>
        <w:rPr>
          <w:rFonts w:hint="default" w:ascii="Times New Roman" w:hAnsi="Times New Roman" w:cs="Times New Roman"/>
          <w:color w:val="auto"/>
          <w:sz w:val="24"/>
          <w:szCs w:val="24"/>
          <w:highlight w:val="none"/>
          <w:lang w:val="en-US" w:eastAsia="zh-CN"/>
        </w:rPr>
        <w:t>沟通</w:t>
      </w:r>
      <w:r>
        <w:rPr>
          <w:rFonts w:hint="default" w:ascii="Times New Roman" w:hAnsi="Times New Roman" w:cs="Times New Roman"/>
          <w:color w:val="auto"/>
          <w:sz w:val="24"/>
          <w:szCs w:val="24"/>
          <w:highlight w:val="none"/>
        </w:rPr>
        <w:t>交流，了解</w:t>
      </w:r>
      <w:r>
        <w:rPr>
          <w:rFonts w:hint="default" w:ascii="Times New Roman" w:hAnsi="Times New Roman" w:cs="Times New Roman"/>
          <w:color w:val="auto"/>
          <w:sz w:val="24"/>
          <w:szCs w:val="24"/>
          <w:highlight w:val="none"/>
          <w:lang w:val="en-US" w:eastAsia="zh-CN"/>
        </w:rPr>
        <w:t>地方入河排污口设置</w:t>
      </w:r>
      <w:r>
        <w:rPr>
          <w:rFonts w:hint="default" w:ascii="Times New Roman" w:hAnsi="Times New Roman" w:cs="Times New Roman"/>
          <w:color w:val="auto"/>
          <w:sz w:val="24"/>
          <w:szCs w:val="24"/>
          <w:highlight w:val="none"/>
        </w:rPr>
        <w:t>审批现状</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lang w:val="en-US" w:eastAsia="zh-CN"/>
        </w:rPr>
        <w:t>遇到的问题以及审批工作</w:t>
      </w:r>
      <w:r>
        <w:rPr>
          <w:rFonts w:hint="default" w:ascii="Times New Roman" w:hAnsi="Times New Roman" w:cs="Times New Roman"/>
          <w:color w:val="auto"/>
          <w:sz w:val="24"/>
          <w:szCs w:val="24"/>
          <w:highlight w:val="none"/>
        </w:rPr>
        <w:t>需求等</w:t>
      </w:r>
      <w:r>
        <w:rPr>
          <w:rFonts w:hint="default" w:ascii="Times New Roman" w:hAnsi="Times New Roman" w:cs="Times New Roman"/>
          <w:color w:val="auto"/>
          <w:sz w:val="24"/>
          <w:szCs w:val="24"/>
          <w:highlight w:val="none"/>
          <w:lang w:eastAsia="zh-CN"/>
        </w:rPr>
        <w:t>。</w:t>
      </w:r>
    </w:p>
    <w:p>
      <w:pPr>
        <w:spacing w:line="360" w:lineRule="auto"/>
        <w:ind w:firstLine="480" w:firstLineChars="20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lang w:val="en-US" w:eastAsia="zh-CN"/>
        </w:rPr>
        <w:t>3</w:t>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lang w:val="en-US" w:eastAsia="zh-CN"/>
        </w:rPr>
        <w:t>形成标准初稿</w:t>
      </w:r>
    </w:p>
    <w:p>
      <w:pPr>
        <w:spacing w:line="360" w:lineRule="auto"/>
        <w:ind w:firstLine="480" w:firstLineChars="20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2024年5月~12月，编制组在前期工作基础上，结合多次内部研讨意见和建议，</w:t>
      </w:r>
      <w:r>
        <w:rPr>
          <w:rFonts w:hint="default" w:ascii="Times New Roman" w:hAnsi="Times New Roman" w:cs="Times New Roman"/>
          <w:color w:val="auto"/>
          <w:sz w:val="24"/>
          <w:szCs w:val="24"/>
          <w:highlight w:val="none"/>
        </w:rPr>
        <w:t>编制</w:t>
      </w:r>
      <w:r>
        <w:rPr>
          <w:rFonts w:hint="default" w:ascii="Times New Roman" w:hAnsi="Times New Roman" w:cs="Times New Roman"/>
          <w:color w:val="auto"/>
          <w:sz w:val="24"/>
          <w:szCs w:val="24"/>
          <w:highlight w:val="none"/>
          <w:lang w:val="en-US" w:eastAsia="zh-CN"/>
        </w:rPr>
        <w:t>完成</w:t>
      </w:r>
      <w:r>
        <w:rPr>
          <w:rFonts w:hint="default" w:ascii="Times New Roman" w:hAnsi="Times New Roman" w:cs="Times New Roman"/>
          <w:color w:val="auto"/>
          <w:sz w:val="24"/>
          <w:szCs w:val="24"/>
          <w:highlight w:val="none"/>
        </w:rPr>
        <w:t>了初稿。</w:t>
      </w:r>
      <w:r>
        <w:rPr>
          <w:rFonts w:hint="default" w:ascii="Times New Roman" w:hAnsi="Times New Roman" w:cs="Times New Roman"/>
          <w:color w:val="auto"/>
          <w:sz w:val="24"/>
          <w:szCs w:val="24"/>
          <w:highlight w:val="none"/>
          <w:lang w:val="en-US" w:eastAsia="zh-CN"/>
        </w:rPr>
        <w:t>先后2次组织生态环境部环境规划院、生态环境部黄河流域生态环境监督管理局等单位行业专家对适用范围、术语定义、评估程序、原则以及要点进行咨询和研讨，据此修改了</w:t>
      </w:r>
      <w:r>
        <w:rPr>
          <w:rFonts w:hint="default" w:ascii="Times New Roman" w:hAnsi="Times New Roman" w:cs="Times New Roman"/>
          <w:color w:val="auto"/>
          <w:sz w:val="24"/>
          <w:szCs w:val="24"/>
          <w:highlight w:val="none"/>
        </w:rPr>
        <w:t>初稿</w:t>
      </w:r>
      <w:r>
        <w:rPr>
          <w:rFonts w:hint="default" w:ascii="Times New Roman" w:hAnsi="Times New Roman" w:cs="Times New Roman"/>
          <w:color w:val="auto"/>
          <w:sz w:val="24"/>
          <w:szCs w:val="24"/>
          <w:highlight w:val="none"/>
          <w:lang w:eastAsia="zh-CN"/>
        </w:rPr>
        <w:t>。</w:t>
      </w:r>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2024年12月生态环境部发布</w:t>
      </w:r>
      <w:r>
        <w:rPr>
          <w:rFonts w:hint="default" w:ascii="Times New Roman" w:hAnsi="Times New Roman" w:cs="Times New Roman"/>
          <w:color w:val="auto"/>
          <w:sz w:val="24"/>
          <w:szCs w:val="24"/>
          <w:highlight w:val="none"/>
        </w:rPr>
        <w:t>《入河入海排污口监督管理技术指南 入</w:t>
      </w:r>
      <w:r>
        <w:rPr>
          <w:rFonts w:hint="default" w:ascii="Times New Roman" w:hAnsi="Times New Roman" w:cs="Times New Roman"/>
          <w:color w:val="auto"/>
          <w:sz w:val="24"/>
          <w:szCs w:val="24"/>
          <w:highlight w:val="none"/>
          <w:lang w:val="en-US" w:eastAsia="zh-CN"/>
        </w:rPr>
        <w:t>河</w:t>
      </w:r>
      <w:r>
        <w:rPr>
          <w:rFonts w:hint="default" w:ascii="Times New Roman" w:hAnsi="Times New Roman" w:cs="Times New Roman"/>
          <w:color w:val="auto"/>
          <w:sz w:val="24"/>
          <w:szCs w:val="24"/>
          <w:highlight w:val="none"/>
        </w:rPr>
        <w:t>排污口设置》</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lang w:val="en-US" w:eastAsia="zh-CN"/>
        </w:rPr>
        <w:t>HJ1386-2024</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lang w:val="en-US" w:eastAsia="zh-CN"/>
        </w:rPr>
        <w:t>后，编制组结合其对入河排污口设置论证报告编制的最新要求，经多次内部研讨，对初稿进行了新一轮修改完善；2025年2月组织陕西省标准化研究院、陕西省环境监测中心站等行业专家对标准框架结构、具体内容等进行咨询研讨，并根据专家意见进一步修改完善标准内容。</w:t>
      </w:r>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w:t>
      </w:r>
      <w:r>
        <w:rPr>
          <w:rFonts w:hint="default" w:ascii="Times New Roman" w:hAnsi="Times New Roman" w:cs="Times New Roman"/>
          <w:color w:val="auto"/>
          <w:sz w:val="24"/>
          <w:szCs w:val="24"/>
          <w:highlight w:val="none"/>
          <w:lang w:val="en-US" w:eastAsia="zh-CN"/>
        </w:rPr>
        <w:t>7</w:t>
      </w:r>
      <w:r>
        <w:rPr>
          <w:rFonts w:hint="eastAsia" w:ascii="Times New Roman" w:hAnsi="Times New Roman" w:cs="Times New Roman"/>
          <w:color w:val="auto"/>
          <w:sz w:val="24"/>
          <w:szCs w:val="24"/>
          <w:highlight w:val="none"/>
          <w:lang w:val="en-US" w:eastAsia="zh-CN"/>
        </w:rPr>
        <w:t>）征求意见稿技术审查。</w:t>
      </w:r>
      <w:r>
        <w:rPr>
          <w:rFonts w:hint="default" w:ascii="Times New Roman" w:hAnsi="Times New Roman" w:cs="Times New Roman"/>
          <w:color w:val="auto"/>
          <w:sz w:val="24"/>
          <w:szCs w:val="24"/>
          <w:highlight w:val="none"/>
          <w:lang w:val="en-US" w:eastAsia="zh-CN"/>
        </w:rPr>
        <w:t>202</w:t>
      </w:r>
      <w:r>
        <w:rPr>
          <w:rFonts w:hint="eastAsia" w:ascii="Times New Roman" w:hAnsi="Times New Roman" w:cs="Times New Roman"/>
          <w:color w:val="auto"/>
          <w:sz w:val="24"/>
          <w:szCs w:val="24"/>
          <w:highlight w:val="none"/>
          <w:lang w:val="en-US" w:eastAsia="zh-CN"/>
        </w:rPr>
        <w:t>5年3月6日，</w:t>
      </w:r>
      <w:r>
        <w:rPr>
          <w:rFonts w:hint="default" w:ascii="Times New Roman" w:hAnsi="Times New Roman" w:cs="Times New Roman"/>
          <w:color w:val="auto"/>
          <w:sz w:val="24"/>
          <w:szCs w:val="24"/>
          <w:highlight w:val="none"/>
          <w:lang w:val="en-US" w:eastAsia="zh-CN"/>
        </w:rPr>
        <w:t>陕西省生态环境保护标准化技术委员会</w:t>
      </w:r>
      <w:r>
        <w:rPr>
          <w:rFonts w:hint="eastAsia" w:ascii="Times New Roman" w:hAnsi="Times New Roman" w:cs="Times New Roman"/>
          <w:color w:val="auto"/>
          <w:sz w:val="24"/>
          <w:szCs w:val="24"/>
          <w:highlight w:val="none"/>
          <w:lang w:val="en-US" w:eastAsia="zh-CN"/>
        </w:rPr>
        <w:t>组织召开了《入河排污口设置 评估技术指南》（征求意见稿）技术审查会，审议专家就本标准内容进行评议，通过了技术审查，并根据意见完成了修改。</w:t>
      </w:r>
    </w:p>
    <w:p>
      <w:pPr>
        <w:pStyle w:val="5"/>
        <w:numPr>
          <w:ilvl w:val="0"/>
          <w:numId w:val="0"/>
        </w:numPr>
        <w:spacing w:before="0" w:after="0" w:line="360" w:lineRule="auto"/>
        <w:rPr>
          <w:rFonts w:hint="default" w:ascii="Times New Roman" w:hAnsi="Times New Roman" w:eastAsia="宋体" w:cs="Times New Roman"/>
          <w:b/>
          <w:color w:val="auto"/>
          <w:szCs w:val="24"/>
          <w:highlight w:val="none"/>
          <w:lang w:val="en-US" w:eastAsia="zh-CN"/>
        </w:rPr>
      </w:pPr>
      <w:bookmarkStart w:id="43" w:name="_Toc6098"/>
      <w:r>
        <w:rPr>
          <w:rFonts w:hint="default" w:ascii="Times New Roman" w:hAnsi="Times New Roman" w:eastAsia="宋体" w:cs="Times New Roman"/>
          <w:b/>
          <w:color w:val="auto"/>
          <w:szCs w:val="24"/>
          <w:highlight w:val="none"/>
        </w:rPr>
        <w:t>1.</w:t>
      </w:r>
      <w:r>
        <w:rPr>
          <w:rFonts w:hint="eastAsia" w:ascii="Times New Roman" w:hAnsi="Times New Roman" w:eastAsia="宋体" w:cs="Times New Roman"/>
          <w:b/>
          <w:color w:val="auto"/>
          <w:szCs w:val="24"/>
          <w:highlight w:val="none"/>
          <w:lang w:val="en-US" w:eastAsia="zh-CN"/>
        </w:rPr>
        <w:t>5 工作成员及任务分工</w:t>
      </w:r>
      <w:bookmarkEnd w:id="43"/>
    </w:p>
    <w:p>
      <w:pPr>
        <w:spacing w:line="360" w:lineRule="auto"/>
        <w:ind w:firstLine="480" w:firstLineChars="200"/>
        <w:rPr>
          <w:rFonts w:hint="eastAsia"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工作成员：项目承担单位为陕西省环境调查评估中心，工作成员包括西安建筑科技大学、中圣环境科技发展有限公司、榆林市环境工程评估中心、汉中市环境工程规划设计集团有限公司、中煤科工西安研究院（集团）有限公司、西安中地环境科技有限公司。</w:t>
      </w:r>
    </w:p>
    <w:p>
      <w:pPr>
        <w:spacing w:line="360" w:lineRule="auto"/>
        <w:ind w:firstLine="480" w:firstLineChars="200"/>
        <w:rPr>
          <w:rFonts w:hint="eastAsia"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任务分工：陕西省环境调查评估中心为项目主导单位，全面负责标准制定以及修改工作，组织成员单位进行专题研讨。中圣环境科技发展有限公司、汉中市环境工程规划设计集团有限公司主要负责工作方案和工作计划制定、前期调研、标准编制及修改工作。西安建筑科技大学、榆林市环境工程评估中心、中煤科工西安研究院（集团）有限公司和西安中地环境科技有限公司主要负责前期调研、资料收集、标准编制及相关修改工作，本标准的起草工作组成员及任务分工见表1。</w:t>
      </w:r>
    </w:p>
    <w:p>
      <w:pPr>
        <w:pStyle w:val="2"/>
        <w:ind w:left="0" w:leftChars="0" w:firstLine="0" w:firstLineChars="0"/>
        <w:jc w:val="center"/>
        <w:rPr>
          <w:rFonts w:hint="default"/>
          <w:lang w:val="en-US" w:eastAsia="zh-CN"/>
        </w:rPr>
      </w:pPr>
      <w:r>
        <w:rPr>
          <w:rFonts w:hint="eastAsia" w:ascii="黑体" w:hAnsi="黑体" w:eastAsia="黑体" w:cs="黑体"/>
          <w:b w:val="0"/>
          <w:bCs w:val="0"/>
          <w:color w:val="auto"/>
          <w:sz w:val="21"/>
          <w:szCs w:val="21"/>
          <w:lang w:val="en-US" w:eastAsia="zh-CN"/>
        </w:rPr>
        <w:t>表1 标准起草人任务分工</w:t>
      </w:r>
    </w:p>
    <w:tbl>
      <w:tblPr>
        <w:tblStyle w:val="23"/>
        <w:tblW w:w="87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921"/>
        <w:gridCol w:w="1136"/>
        <w:gridCol w:w="3879"/>
        <w:gridCol w:w="2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vAlign w:val="center"/>
          </w:tcPr>
          <w:p>
            <w:pPr>
              <w:jc w:val="center"/>
              <w:rPr>
                <w:rFonts w:hint="default"/>
                <w:b/>
                <w:bCs/>
                <w:color w:val="auto"/>
                <w:highlight w:val="none"/>
                <w:vertAlign w:val="baseline"/>
                <w:lang w:val="en-US" w:eastAsia="zh-CN"/>
              </w:rPr>
            </w:pPr>
            <w:bookmarkStart w:id="44" w:name="_Toc520231416"/>
            <w:bookmarkStart w:id="45" w:name="_Toc22484314"/>
            <w:bookmarkStart w:id="46" w:name="_Toc520232856"/>
            <w:bookmarkStart w:id="47" w:name="_Toc520232082"/>
            <w:bookmarkStart w:id="48" w:name="_Toc22484324"/>
            <w:bookmarkStart w:id="49" w:name="_Toc357"/>
            <w:bookmarkStart w:id="50" w:name="_Toc4537_WPSOffice_Level1"/>
            <w:r>
              <w:rPr>
                <w:rFonts w:hint="eastAsia"/>
                <w:b/>
                <w:bCs/>
                <w:color w:val="auto"/>
                <w:highlight w:val="none"/>
                <w:vertAlign w:val="baseline"/>
                <w:lang w:val="en-US" w:eastAsia="zh-CN"/>
              </w:rPr>
              <w:t>序号</w:t>
            </w:r>
          </w:p>
        </w:tc>
        <w:tc>
          <w:tcPr>
            <w:tcW w:w="921" w:type="dxa"/>
            <w:vAlign w:val="center"/>
          </w:tcPr>
          <w:p>
            <w:pPr>
              <w:jc w:val="center"/>
              <w:rPr>
                <w:rFonts w:hint="default"/>
                <w:b/>
                <w:bCs/>
                <w:color w:val="auto"/>
                <w:highlight w:val="none"/>
                <w:vertAlign w:val="baseline"/>
                <w:lang w:val="en-US" w:eastAsia="zh-CN"/>
              </w:rPr>
            </w:pPr>
            <w:r>
              <w:rPr>
                <w:rFonts w:hint="eastAsia"/>
                <w:b/>
                <w:bCs/>
                <w:color w:val="auto"/>
                <w:highlight w:val="none"/>
                <w:vertAlign w:val="baseline"/>
                <w:lang w:val="en-US" w:eastAsia="zh-CN"/>
              </w:rPr>
              <w:t>姓名</w:t>
            </w:r>
          </w:p>
        </w:tc>
        <w:tc>
          <w:tcPr>
            <w:tcW w:w="1136" w:type="dxa"/>
            <w:vAlign w:val="center"/>
          </w:tcPr>
          <w:p>
            <w:pPr>
              <w:jc w:val="center"/>
              <w:rPr>
                <w:rFonts w:hint="default"/>
                <w:b/>
                <w:bCs/>
                <w:color w:val="auto"/>
                <w:highlight w:val="none"/>
                <w:vertAlign w:val="baseline"/>
                <w:lang w:val="en-US" w:eastAsia="zh-CN"/>
              </w:rPr>
            </w:pPr>
            <w:r>
              <w:rPr>
                <w:rFonts w:hint="eastAsia"/>
                <w:b/>
                <w:bCs/>
                <w:color w:val="auto"/>
                <w:highlight w:val="none"/>
                <w:vertAlign w:val="baseline"/>
                <w:lang w:val="en-US" w:eastAsia="zh-CN"/>
              </w:rPr>
              <w:t>职称</w:t>
            </w:r>
          </w:p>
        </w:tc>
        <w:tc>
          <w:tcPr>
            <w:tcW w:w="3879" w:type="dxa"/>
            <w:vAlign w:val="center"/>
          </w:tcPr>
          <w:p>
            <w:pPr>
              <w:jc w:val="center"/>
              <w:rPr>
                <w:rFonts w:hint="default"/>
                <w:b/>
                <w:bCs/>
                <w:color w:val="auto"/>
                <w:highlight w:val="none"/>
                <w:vertAlign w:val="baseline"/>
                <w:lang w:val="en-US" w:eastAsia="zh-CN"/>
              </w:rPr>
            </w:pPr>
            <w:r>
              <w:rPr>
                <w:rFonts w:hint="eastAsia"/>
                <w:b/>
                <w:bCs/>
                <w:color w:val="auto"/>
                <w:highlight w:val="none"/>
                <w:vertAlign w:val="baseline"/>
                <w:lang w:val="en-US" w:eastAsia="zh-CN"/>
              </w:rPr>
              <w:t>工作单位</w:t>
            </w:r>
          </w:p>
        </w:tc>
        <w:tc>
          <w:tcPr>
            <w:tcW w:w="2185" w:type="dxa"/>
            <w:vAlign w:val="center"/>
          </w:tcPr>
          <w:p>
            <w:pPr>
              <w:jc w:val="center"/>
              <w:rPr>
                <w:rFonts w:hint="default"/>
                <w:b/>
                <w:bCs/>
                <w:color w:val="auto"/>
                <w:highlight w:val="none"/>
                <w:vertAlign w:val="baseline"/>
                <w:lang w:val="en-US" w:eastAsia="zh-CN"/>
              </w:rPr>
            </w:pPr>
            <w:r>
              <w:rPr>
                <w:rFonts w:hint="eastAsia"/>
                <w:b/>
                <w:bCs/>
                <w:color w:val="auto"/>
                <w:highlight w:val="none"/>
                <w:vertAlign w:val="baseline"/>
                <w:lang w:val="en-US" w:eastAsia="zh-CN"/>
              </w:rPr>
              <w:t>主要工作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vAlign w:val="center"/>
          </w:tcPr>
          <w:p>
            <w:pPr>
              <w:jc w:val="center"/>
              <w:rPr>
                <w:rFonts w:hint="default"/>
                <w:color w:val="auto"/>
                <w:highlight w:val="none"/>
                <w:vertAlign w:val="baseline"/>
                <w:lang w:val="en-US" w:eastAsia="zh-CN"/>
              </w:rPr>
            </w:pPr>
            <w:r>
              <w:rPr>
                <w:rFonts w:hint="eastAsia"/>
                <w:color w:val="auto"/>
                <w:highlight w:val="none"/>
                <w:vertAlign w:val="baseline"/>
                <w:lang w:val="en-US" w:eastAsia="zh-CN"/>
              </w:rPr>
              <w:t>1</w:t>
            </w:r>
          </w:p>
        </w:tc>
        <w:tc>
          <w:tcPr>
            <w:tcW w:w="921" w:type="dxa"/>
            <w:vAlign w:val="center"/>
          </w:tcPr>
          <w:p>
            <w:pPr>
              <w:jc w:val="center"/>
              <w:rPr>
                <w:rFonts w:hint="default"/>
                <w:color w:val="auto"/>
                <w:highlight w:val="none"/>
                <w:vertAlign w:val="baseline"/>
                <w:lang w:val="en-US" w:eastAsia="zh-CN"/>
              </w:rPr>
            </w:pPr>
            <w:r>
              <w:rPr>
                <w:rFonts w:hint="eastAsia"/>
                <w:color w:val="auto"/>
                <w:highlight w:val="none"/>
                <w:vertAlign w:val="baseline"/>
                <w:lang w:val="en-US" w:eastAsia="zh-CN"/>
              </w:rPr>
              <w:t>李娟</w:t>
            </w:r>
          </w:p>
        </w:tc>
        <w:tc>
          <w:tcPr>
            <w:tcW w:w="1136" w:type="dxa"/>
            <w:vAlign w:val="center"/>
          </w:tcPr>
          <w:p>
            <w:pPr>
              <w:jc w:val="center"/>
              <w:rPr>
                <w:rFonts w:hint="default"/>
                <w:color w:val="auto"/>
                <w:highlight w:val="none"/>
                <w:vertAlign w:val="baseline"/>
                <w:lang w:val="en-US" w:eastAsia="zh-CN"/>
              </w:rPr>
            </w:pPr>
            <w:r>
              <w:rPr>
                <w:rFonts w:hint="eastAsia"/>
                <w:color w:val="auto"/>
                <w:highlight w:val="none"/>
                <w:vertAlign w:val="baseline"/>
                <w:lang w:val="en-US" w:eastAsia="zh-CN"/>
              </w:rPr>
              <w:t>高工</w:t>
            </w:r>
          </w:p>
        </w:tc>
        <w:tc>
          <w:tcPr>
            <w:tcW w:w="3879" w:type="dxa"/>
            <w:vAlign w:val="center"/>
          </w:tcPr>
          <w:p>
            <w:pPr>
              <w:jc w:val="center"/>
              <w:rPr>
                <w:rFonts w:hint="default"/>
                <w:color w:val="auto"/>
                <w:highlight w:val="none"/>
                <w:vertAlign w:val="baseline"/>
                <w:lang w:val="en-US" w:eastAsia="zh-CN"/>
              </w:rPr>
            </w:pPr>
            <w:r>
              <w:rPr>
                <w:rFonts w:hint="eastAsia"/>
                <w:color w:val="auto"/>
                <w:highlight w:val="none"/>
                <w:vertAlign w:val="baseline"/>
                <w:lang w:val="en-US" w:eastAsia="zh-CN"/>
              </w:rPr>
              <w:t>陕西省环境调查评估中心</w:t>
            </w:r>
          </w:p>
        </w:tc>
        <w:tc>
          <w:tcPr>
            <w:tcW w:w="2185" w:type="dxa"/>
            <w:vAlign w:val="center"/>
          </w:tcPr>
          <w:p>
            <w:pPr>
              <w:jc w:val="center"/>
              <w:rPr>
                <w:rFonts w:hint="default"/>
                <w:color w:val="auto"/>
                <w:highlight w:val="none"/>
                <w:vertAlign w:val="baseline"/>
                <w:lang w:val="en-US" w:eastAsia="zh-CN"/>
              </w:rPr>
            </w:pPr>
            <w:r>
              <w:rPr>
                <w:rFonts w:hint="eastAsia"/>
                <w:color w:val="auto"/>
                <w:highlight w:val="none"/>
                <w:vertAlign w:val="baseline"/>
                <w:lang w:val="en-US" w:eastAsia="zh-CN"/>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vAlign w:val="center"/>
          </w:tcPr>
          <w:p>
            <w:pPr>
              <w:jc w:val="center"/>
              <w:rPr>
                <w:rFonts w:hint="default"/>
                <w:color w:val="auto"/>
                <w:highlight w:val="none"/>
                <w:vertAlign w:val="baseline"/>
                <w:lang w:val="en-US" w:eastAsia="zh-CN"/>
              </w:rPr>
            </w:pPr>
            <w:r>
              <w:rPr>
                <w:rFonts w:hint="eastAsia"/>
                <w:color w:val="auto"/>
                <w:highlight w:val="none"/>
                <w:vertAlign w:val="baseline"/>
                <w:lang w:val="en-US" w:eastAsia="zh-CN"/>
              </w:rPr>
              <w:t>2</w:t>
            </w:r>
          </w:p>
        </w:tc>
        <w:tc>
          <w:tcPr>
            <w:tcW w:w="921" w:type="dxa"/>
            <w:vAlign w:val="center"/>
          </w:tcPr>
          <w:p>
            <w:pPr>
              <w:jc w:val="center"/>
              <w:rPr>
                <w:rFonts w:hint="default"/>
                <w:color w:val="auto"/>
                <w:highlight w:val="none"/>
                <w:vertAlign w:val="baseline"/>
                <w:lang w:val="en-US" w:eastAsia="zh-CN"/>
              </w:rPr>
            </w:pPr>
            <w:r>
              <w:rPr>
                <w:rFonts w:hint="eastAsia"/>
                <w:color w:val="auto"/>
                <w:highlight w:val="none"/>
                <w:vertAlign w:val="baseline"/>
                <w:lang w:val="en-US" w:eastAsia="zh-CN"/>
              </w:rPr>
              <w:t>杜豆</w:t>
            </w:r>
          </w:p>
        </w:tc>
        <w:tc>
          <w:tcPr>
            <w:tcW w:w="1136" w:type="dxa"/>
            <w:vAlign w:val="center"/>
          </w:tcPr>
          <w:p>
            <w:pPr>
              <w:jc w:val="center"/>
              <w:rPr>
                <w:rFonts w:hint="default"/>
                <w:color w:val="auto"/>
                <w:highlight w:val="none"/>
                <w:vertAlign w:val="baseline"/>
                <w:lang w:val="en-US" w:eastAsia="zh-CN"/>
              </w:rPr>
            </w:pPr>
            <w:r>
              <w:rPr>
                <w:rFonts w:hint="eastAsia"/>
                <w:color w:val="auto"/>
                <w:highlight w:val="none"/>
                <w:vertAlign w:val="baseline"/>
                <w:lang w:val="en-US" w:eastAsia="zh-CN"/>
              </w:rPr>
              <w:t>工程师</w:t>
            </w:r>
          </w:p>
        </w:tc>
        <w:tc>
          <w:tcPr>
            <w:tcW w:w="3879" w:type="dxa"/>
            <w:vAlign w:val="center"/>
          </w:tcPr>
          <w:p>
            <w:pPr>
              <w:jc w:val="center"/>
              <w:rPr>
                <w:rFonts w:hint="default"/>
                <w:color w:val="auto"/>
                <w:highlight w:val="none"/>
                <w:vertAlign w:val="baseline"/>
                <w:lang w:val="en-US" w:eastAsia="zh-CN"/>
              </w:rPr>
            </w:pPr>
            <w:r>
              <w:rPr>
                <w:rFonts w:hint="eastAsia"/>
                <w:color w:val="auto"/>
                <w:highlight w:val="none"/>
                <w:vertAlign w:val="baseline"/>
                <w:lang w:val="en-US" w:eastAsia="zh-CN"/>
              </w:rPr>
              <w:t>陕西省环境调查评估中心</w:t>
            </w:r>
          </w:p>
        </w:tc>
        <w:tc>
          <w:tcPr>
            <w:tcW w:w="2185" w:type="dxa"/>
            <w:vAlign w:val="center"/>
          </w:tcPr>
          <w:p>
            <w:pPr>
              <w:jc w:val="center"/>
              <w:rPr>
                <w:rFonts w:hint="default"/>
                <w:color w:val="auto"/>
                <w:highlight w:val="none"/>
                <w:vertAlign w:val="baseline"/>
                <w:lang w:val="en-US" w:eastAsia="zh-CN"/>
              </w:rPr>
            </w:pPr>
            <w:r>
              <w:rPr>
                <w:rFonts w:hint="eastAsia"/>
                <w:color w:val="auto"/>
                <w:highlight w:val="none"/>
                <w:vertAlign w:val="baseline"/>
                <w:lang w:val="en-US" w:eastAsia="zh-CN"/>
              </w:rPr>
              <w:t>编制人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vAlign w:val="center"/>
          </w:tcPr>
          <w:p>
            <w:pPr>
              <w:jc w:val="center"/>
              <w:rPr>
                <w:rFonts w:hint="default"/>
                <w:color w:val="auto"/>
                <w:highlight w:val="none"/>
                <w:vertAlign w:val="baseline"/>
                <w:lang w:val="en-US" w:eastAsia="zh-CN"/>
              </w:rPr>
            </w:pPr>
            <w:r>
              <w:rPr>
                <w:rFonts w:hint="eastAsia"/>
                <w:color w:val="auto"/>
                <w:highlight w:val="none"/>
                <w:vertAlign w:val="baseline"/>
                <w:lang w:val="en-US" w:eastAsia="zh-CN"/>
              </w:rPr>
              <w:t>3</w:t>
            </w:r>
          </w:p>
        </w:tc>
        <w:tc>
          <w:tcPr>
            <w:tcW w:w="921" w:type="dxa"/>
            <w:vAlign w:val="center"/>
          </w:tcPr>
          <w:p>
            <w:pPr>
              <w:jc w:val="center"/>
              <w:rPr>
                <w:rFonts w:hint="default"/>
                <w:color w:val="auto"/>
                <w:highlight w:val="none"/>
                <w:vertAlign w:val="baseline"/>
                <w:lang w:val="en-US" w:eastAsia="zh-CN"/>
              </w:rPr>
            </w:pPr>
            <w:r>
              <w:rPr>
                <w:rFonts w:hint="eastAsia"/>
                <w:color w:val="auto"/>
                <w:highlight w:val="none"/>
                <w:vertAlign w:val="baseline"/>
                <w:lang w:val="en-US" w:eastAsia="zh-CN"/>
              </w:rPr>
              <w:t>孟昭君</w:t>
            </w:r>
          </w:p>
        </w:tc>
        <w:tc>
          <w:tcPr>
            <w:tcW w:w="1136" w:type="dxa"/>
            <w:vAlign w:val="center"/>
          </w:tcPr>
          <w:p>
            <w:pPr>
              <w:jc w:val="center"/>
              <w:rPr>
                <w:rFonts w:hint="default"/>
                <w:color w:val="auto"/>
                <w:highlight w:val="none"/>
                <w:vertAlign w:val="baseline"/>
                <w:lang w:val="en-US" w:eastAsia="zh-CN"/>
              </w:rPr>
            </w:pPr>
            <w:r>
              <w:rPr>
                <w:rFonts w:hint="eastAsia"/>
                <w:color w:val="auto"/>
                <w:highlight w:val="none"/>
                <w:vertAlign w:val="baseline"/>
                <w:lang w:val="en-US" w:eastAsia="zh-CN"/>
              </w:rPr>
              <w:t>高工</w:t>
            </w:r>
          </w:p>
        </w:tc>
        <w:tc>
          <w:tcPr>
            <w:tcW w:w="3879" w:type="dxa"/>
            <w:vAlign w:val="center"/>
          </w:tcPr>
          <w:p>
            <w:pPr>
              <w:jc w:val="center"/>
              <w:rPr>
                <w:rFonts w:hint="default"/>
                <w:color w:val="auto"/>
                <w:highlight w:val="none"/>
                <w:vertAlign w:val="baseline"/>
                <w:lang w:val="en-US" w:eastAsia="zh-CN"/>
              </w:rPr>
            </w:pPr>
            <w:r>
              <w:rPr>
                <w:rFonts w:hint="eastAsia"/>
                <w:color w:val="auto"/>
                <w:highlight w:val="none"/>
                <w:vertAlign w:val="baseline"/>
                <w:lang w:val="en-US" w:eastAsia="zh-CN"/>
              </w:rPr>
              <w:t>陕西省环境调查评估中心</w:t>
            </w:r>
          </w:p>
        </w:tc>
        <w:tc>
          <w:tcPr>
            <w:tcW w:w="2185" w:type="dxa"/>
            <w:vAlign w:val="center"/>
          </w:tcPr>
          <w:p>
            <w:pPr>
              <w:jc w:val="center"/>
              <w:rPr>
                <w:rFonts w:hint="default"/>
                <w:color w:val="auto"/>
                <w:highlight w:val="none"/>
                <w:vertAlign w:val="baseline"/>
                <w:lang w:val="en-US" w:eastAsia="zh-CN"/>
              </w:rPr>
            </w:pPr>
            <w:r>
              <w:rPr>
                <w:rFonts w:hint="eastAsia"/>
                <w:color w:val="auto"/>
                <w:highlight w:val="none"/>
                <w:vertAlign w:val="baseline"/>
                <w:lang w:val="en-US" w:eastAsia="zh-CN"/>
              </w:rPr>
              <w:t>编制人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vAlign w:val="center"/>
          </w:tcPr>
          <w:p>
            <w:pPr>
              <w:jc w:val="center"/>
              <w:rPr>
                <w:rFonts w:hint="default"/>
                <w:color w:val="auto"/>
                <w:highlight w:val="none"/>
                <w:vertAlign w:val="baseline"/>
                <w:lang w:val="en-US" w:eastAsia="zh-CN"/>
              </w:rPr>
            </w:pPr>
            <w:r>
              <w:rPr>
                <w:rFonts w:hint="eastAsia"/>
                <w:color w:val="auto"/>
                <w:highlight w:val="none"/>
                <w:vertAlign w:val="baseline"/>
                <w:lang w:val="en-US" w:eastAsia="zh-CN"/>
              </w:rPr>
              <w:t>4</w:t>
            </w:r>
          </w:p>
        </w:tc>
        <w:tc>
          <w:tcPr>
            <w:tcW w:w="921" w:type="dxa"/>
            <w:vAlign w:val="center"/>
          </w:tcPr>
          <w:p>
            <w:pPr>
              <w:jc w:val="center"/>
              <w:rPr>
                <w:rFonts w:hint="default"/>
                <w:color w:val="auto"/>
                <w:highlight w:val="none"/>
                <w:vertAlign w:val="baseline"/>
                <w:lang w:val="en-US" w:eastAsia="zh-CN"/>
              </w:rPr>
            </w:pPr>
            <w:r>
              <w:rPr>
                <w:rFonts w:hint="default"/>
                <w:color w:val="auto"/>
                <w:highlight w:val="none"/>
                <w:vertAlign w:val="baseline"/>
                <w:lang w:val="en-US" w:eastAsia="zh-CN"/>
              </w:rPr>
              <w:t>张海涵</w:t>
            </w:r>
          </w:p>
        </w:tc>
        <w:tc>
          <w:tcPr>
            <w:tcW w:w="1136" w:type="dxa"/>
            <w:vAlign w:val="center"/>
          </w:tcPr>
          <w:p>
            <w:pPr>
              <w:jc w:val="center"/>
              <w:rPr>
                <w:rFonts w:hint="default"/>
                <w:color w:val="auto"/>
                <w:highlight w:val="none"/>
                <w:vertAlign w:val="baseline"/>
                <w:lang w:val="en-US" w:eastAsia="zh-CN"/>
              </w:rPr>
            </w:pPr>
            <w:r>
              <w:rPr>
                <w:rFonts w:hint="eastAsia"/>
                <w:color w:val="auto"/>
                <w:highlight w:val="none"/>
                <w:vertAlign w:val="baseline"/>
                <w:lang w:val="en-US" w:eastAsia="zh-CN"/>
              </w:rPr>
              <w:t>教授</w:t>
            </w:r>
          </w:p>
        </w:tc>
        <w:tc>
          <w:tcPr>
            <w:tcW w:w="3879" w:type="dxa"/>
            <w:vAlign w:val="center"/>
          </w:tcPr>
          <w:p>
            <w:pPr>
              <w:jc w:val="center"/>
              <w:rPr>
                <w:rFonts w:hint="default"/>
                <w:color w:val="auto"/>
                <w:highlight w:val="none"/>
                <w:vertAlign w:val="baseline"/>
                <w:lang w:val="en-US" w:eastAsia="zh-CN"/>
              </w:rPr>
            </w:pPr>
            <w:r>
              <w:rPr>
                <w:rFonts w:hint="eastAsia"/>
                <w:color w:val="auto"/>
                <w:highlight w:val="none"/>
                <w:vertAlign w:val="baseline"/>
                <w:lang w:val="en-US" w:eastAsia="zh-CN"/>
              </w:rPr>
              <w:t>西安建筑科技大学</w:t>
            </w:r>
          </w:p>
        </w:tc>
        <w:tc>
          <w:tcPr>
            <w:tcW w:w="2185" w:type="dxa"/>
            <w:vAlign w:val="center"/>
          </w:tcPr>
          <w:p>
            <w:pPr>
              <w:jc w:val="center"/>
              <w:rPr>
                <w:rFonts w:hint="default"/>
                <w:color w:val="auto"/>
                <w:highlight w:val="none"/>
                <w:vertAlign w:val="baseline"/>
                <w:lang w:val="en-US" w:eastAsia="zh-CN"/>
              </w:rPr>
            </w:pPr>
            <w:r>
              <w:rPr>
                <w:rFonts w:hint="eastAsia"/>
                <w:color w:val="auto"/>
                <w:highlight w:val="none"/>
                <w:vertAlign w:val="baseline"/>
                <w:lang w:val="en-US" w:eastAsia="zh-CN"/>
              </w:rPr>
              <w:t>指导修改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vAlign w:val="center"/>
          </w:tcPr>
          <w:p>
            <w:pPr>
              <w:jc w:val="center"/>
              <w:rPr>
                <w:rFonts w:hint="default"/>
                <w:color w:val="auto"/>
                <w:highlight w:val="none"/>
                <w:vertAlign w:val="baseline"/>
                <w:lang w:val="en-US" w:eastAsia="zh-CN"/>
              </w:rPr>
            </w:pPr>
            <w:r>
              <w:rPr>
                <w:rFonts w:hint="eastAsia"/>
                <w:color w:val="auto"/>
                <w:highlight w:val="none"/>
                <w:vertAlign w:val="baseline"/>
                <w:lang w:val="en-US" w:eastAsia="zh-CN"/>
              </w:rPr>
              <w:t>5</w:t>
            </w:r>
          </w:p>
        </w:tc>
        <w:tc>
          <w:tcPr>
            <w:tcW w:w="921" w:type="dxa"/>
            <w:vAlign w:val="center"/>
          </w:tcPr>
          <w:p>
            <w:pPr>
              <w:jc w:val="center"/>
              <w:rPr>
                <w:rFonts w:hint="default"/>
                <w:color w:val="auto"/>
                <w:highlight w:val="none"/>
                <w:vertAlign w:val="baseline"/>
                <w:lang w:val="en-US" w:eastAsia="zh-CN"/>
              </w:rPr>
            </w:pPr>
            <w:r>
              <w:rPr>
                <w:rFonts w:hint="eastAsia"/>
                <w:color w:val="auto"/>
                <w:highlight w:val="none"/>
                <w:vertAlign w:val="baseline"/>
                <w:lang w:val="en-US" w:eastAsia="zh-CN"/>
              </w:rPr>
              <w:t>马淑苗</w:t>
            </w:r>
          </w:p>
        </w:tc>
        <w:tc>
          <w:tcPr>
            <w:tcW w:w="1136" w:type="dxa"/>
            <w:vAlign w:val="center"/>
          </w:tcPr>
          <w:p>
            <w:pPr>
              <w:jc w:val="center"/>
              <w:rPr>
                <w:rFonts w:hint="default"/>
                <w:color w:val="auto"/>
                <w:highlight w:val="none"/>
                <w:vertAlign w:val="baseline"/>
                <w:lang w:val="en-US" w:eastAsia="zh-CN"/>
              </w:rPr>
            </w:pPr>
            <w:r>
              <w:rPr>
                <w:rFonts w:hint="eastAsia"/>
                <w:color w:val="auto"/>
                <w:highlight w:val="none"/>
                <w:vertAlign w:val="baseline"/>
                <w:lang w:val="en-US" w:eastAsia="zh-CN"/>
              </w:rPr>
              <w:t>工程师</w:t>
            </w:r>
          </w:p>
        </w:tc>
        <w:tc>
          <w:tcPr>
            <w:tcW w:w="3879" w:type="dxa"/>
            <w:vAlign w:val="center"/>
          </w:tcPr>
          <w:p>
            <w:pPr>
              <w:jc w:val="center"/>
              <w:rPr>
                <w:rFonts w:hint="default"/>
                <w:color w:val="auto"/>
                <w:highlight w:val="none"/>
                <w:vertAlign w:val="baseline"/>
                <w:lang w:val="en-US" w:eastAsia="zh-CN"/>
              </w:rPr>
            </w:pPr>
            <w:r>
              <w:rPr>
                <w:rFonts w:hint="default"/>
                <w:color w:val="auto"/>
                <w:highlight w:val="none"/>
                <w:vertAlign w:val="baseline"/>
                <w:lang w:val="en-US" w:eastAsia="zh-CN"/>
              </w:rPr>
              <w:t>中圣环境科技发展有限公司</w:t>
            </w:r>
          </w:p>
        </w:tc>
        <w:tc>
          <w:tcPr>
            <w:tcW w:w="2185" w:type="dxa"/>
            <w:vAlign w:val="center"/>
          </w:tcPr>
          <w:p>
            <w:pPr>
              <w:jc w:val="center"/>
              <w:rPr>
                <w:rFonts w:hint="default"/>
                <w:color w:val="auto"/>
                <w:highlight w:val="none"/>
                <w:vertAlign w:val="baseline"/>
                <w:lang w:val="en-US" w:eastAsia="zh-CN"/>
              </w:rPr>
            </w:pPr>
            <w:r>
              <w:rPr>
                <w:rFonts w:hint="eastAsia"/>
                <w:color w:val="auto"/>
                <w:highlight w:val="none"/>
                <w:vertAlign w:val="baseline"/>
                <w:lang w:val="en-US" w:eastAsia="zh-CN"/>
              </w:rPr>
              <w:t>编制人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vAlign w:val="center"/>
          </w:tcPr>
          <w:p>
            <w:pPr>
              <w:jc w:val="center"/>
              <w:rPr>
                <w:rFonts w:hint="default"/>
                <w:color w:val="auto"/>
                <w:highlight w:val="none"/>
                <w:vertAlign w:val="baseline"/>
                <w:lang w:val="en-US" w:eastAsia="zh-CN"/>
              </w:rPr>
            </w:pPr>
            <w:r>
              <w:rPr>
                <w:rFonts w:hint="eastAsia"/>
                <w:color w:val="auto"/>
                <w:highlight w:val="none"/>
                <w:vertAlign w:val="baseline"/>
                <w:lang w:val="en-US" w:eastAsia="zh-CN"/>
              </w:rPr>
              <w:t>6</w:t>
            </w:r>
          </w:p>
        </w:tc>
        <w:tc>
          <w:tcPr>
            <w:tcW w:w="921"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谢涛</w:t>
            </w:r>
          </w:p>
        </w:tc>
        <w:tc>
          <w:tcPr>
            <w:tcW w:w="1136"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高工</w:t>
            </w:r>
          </w:p>
        </w:tc>
        <w:tc>
          <w:tcPr>
            <w:tcW w:w="3879"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default"/>
                <w:color w:val="auto"/>
                <w:highlight w:val="none"/>
                <w:vertAlign w:val="baseline"/>
                <w:lang w:val="en-US" w:eastAsia="zh-CN"/>
              </w:rPr>
              <w:t>榆林市环境工程评估中心</w:t>
            </w:r>
          </w:p>
        </w:tc>
        <w:tc>
          <w:tcPr>
            <w:tcW w:w="2185" w:type="dxa"/>
            <w:vAlign w:val="center"/>
          </w:tcPr>
          <w:p>
            <w:pPr>
              <w:jc w:val="center"/>
              <w:rPr>
                <w:rFonts w:hint="default"/>
                <w:color w:val="auto"/>
                <w:highlight w:val="none"/>
                <w:vertAlign w:val="baseline"/>
                <w:lang w:val="en-US" w:eastAsia="zh-CN"/>
              </w:rPr>
            </w:pPr>
            <w:r>
              <w:rPr>
                <w:rFonts w:hint="eastAsia"/>
                <w:color w:val="auto"/>
                <w:highlight w:val="none"/>
                <w:vertAlign w:val="baseline"/>
                <w:lang w:val="en-US" w:eastAsia="zh-CN"/>
              </w:rPr>
              <w:t>指导修改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vAlign w:val="center"/>
          </w:tcPr>
          <w:p>
            <w:pPr>
              <w:jc w:val="center"/>
              <w:rPr>
                <w:rFonts w:hint="default"/>
                <w:color w:val="auto"/>
                <w:highlight w:val="none"/>
                <w:vertAlign w:val="baseline"/>
                <w:lang w:val="en-US" w:eastAsia="zh-CN"/>
              </w:rPr>
            </w:pPr>
            <w:r>
              <w:rPr>
                <w:rFonts w:hint="eastAsia"/>
                <w:color w:val="auto"/>
                <w:highlight w:val="none"/>
                <w:vertAlign w:val="baseline"/>
                <w:lang w:val="en-US" w:eastAsia="zh-CN"/>
              </w:rPr>
              <w:t>7</w:t>
            </w:r>
          </w:p>
        </w:tc>
        <w:tc>
          <w:tcPr>
            <w:tcW w:w="921"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郭宝林</w:t>
            </w:r>
          </w:p>
        </w:tc>
        <w:tc>
          <w:tcPr>
            <w:tcW w:w="1136"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工程师</w:t>
            </w:r>
          </w:p>
        </w:tc>
        <w:tc>
          <w:tcPr>
            <w:tcW w:w="3879"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default"/>
                <w:color w:val="auto"/>
                <w:highlight w:val="none"/>
                <w:vertAlign w:val="baseline"/>
                <w:lang w:val="en-US" w:eastAsia="zh-CN"/>
              </w:rPr>
              <w:t>汉中市环境工程规划设计集团有限公司</w:t>
            </w:r>
          </w:p>
        </w:tc>
        <w:tc>
          <w:tcPr>
            <w:tcW w:w="2185"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编制人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vAlign w:val="center"/>
          </w:tcPr>
          <w:p>
            <w:pPr>
              <w:jc w:val="center"/>
              <w:rPr>
                <w:rFonts w:hint="default"/>
                <w:color w:val="auto"/>
                <w:highlight w:val="none"/>
                <w:vertAlign w:val="baseline"/>
                <w:lang w:val="en-US" w:eastAsia="zh-CN"/>
              </w:rPr>
            </w:pPr>
            <w:r>
              <w:rPr>
                <w:rFonts w:hint="eastAsia"/>
                <w:color w:val="auto"/>
                <w:highlight w:val="none"/>
                <w:vertAlign w:val="baseline"/>
                <w:lang w:val="en-US" w:eastAsia="zh-CN"/>
              </w:rPr>
              <w:t>8</w:t>
            </w:r>
          </w:p>
        </w:tc>
        <w:tc>
          <w:tcPr>
            <w:tcW w:w="921"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郭欣</w:t>
            </w:r>
          </w:p>
        </w:tc>
        <w:tc>
          <w:tcPr>
            <w:tcW w:w="1136"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高工</w:t>
            </w:r>
          </w:p>
        </w:tc>
        <w:tc>
          <w:tcPr>
            <w:tcW w:w="3879"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default"/>
                <w:color w:val="auto"/>
                <w:highlight w:val="none"/>
                <w:vertAlign w:val="baseline"/>
                <w:lang w:val="en-US" w:eastAsia="zh-CN"/>
              </w:rPr>
              <w:t>中煤科工西安研究院（集团）有限公司</w:t>
            </w:r>
          </w:p>
        </w:tc>
        <w:tc>
          <w:tcPr>
            <w:tcW w:w="2185"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指导修改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vAlign w:val="center"/>
          </w:tcPr>
          <w:p>
            <w:pPr>
              <w:jc w:val="center"/>
              <w:rPr>
                <w:rFonts w:hint="default"/>
                <w:color w:val="auto"/>
                <w:highlight w:val="none"/>
                <w:vertAlign w:val="baseline"/>
                <w:lang w:val="en-US" w:eastAsia="zh-CN"/>
              </w:rPr>
            </w:pPr>
            <w:r>
              <w:rPr>
                <w:rFonts w:hint="eastAsia"/>
                <w:color w:val="auto"/>
                <w:highlight w:val="none"/>
                <w:vertAlign w:val="baseline"/>
                <w:lang w:val="en-US" w:eastAsia="zh-CN"/>
              </w:rPr>
              <w:t>9</w:t>
            </w:r>
          </w:p>
        </w:tc>
        <w:tc>
          <w:tcPr>
            <w:tcW w:w="921"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岳波波</w:t>
            </w:r>
          </w:p>
        </w:tc>
        <w:tc>
          <w:tcPr>
            <w:tcW w:w="1136"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高工</w:t>
            </w:r>
          </w:p>
        </w:tc>
        <w:tc>
          <w:tcPr>
            <w:tcW w:w="3879"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default"/>
                <w:color w:val="auto"/>
                <w:highlight w:val="none"/>
                <w:vertAlign w:val="baseline"/>
                <w:lang w:val="en-US" w:eastAsia="zh-CN"/>
              </w:rPr>
              <w:t>西安中地环境科技有限公司</w:t>
            </w:r>
          </w:p>
        </w:tc>
        <w:tc>
          <w:tcPr>
            <w:tcW w:w="2185"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编制人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vAlign w:val="center"/>
          </w:tcPr>
          <w:p>
            <w:pPr>
              <w:jc w:val="center"/>
              <w:rPr>
                <w:rFonts w:hint="default"/>
                <w:color w:val="auto"/>
                <w:highlight w:val="none"/>
                <w:vertAlign w:val="baseline"/>
                <w:lang w:val="en-US" w:eastAsia="zh-CN"/>
              </w:rPr>
            </w:pPr>
            <w:r>
              <w:rPr>
                <w:rFonts w:hint="eastAsia"/>
                <w:color w:val="auto"/>
                <w:highlight w:val="none"/>
                <w:vertAlign w:val="baseline"/>
                <w:lang w:val="en-US" w:eastAsia="zh-CN"/>
              </w:rPr>
              <w:t>10</w:t>
            </w:r>
          </w:p>
        </w:tc>
        <w:tc>
          <w:tcPr>
            <w:tcW w:w="921"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薛旭东</w:t>
            </w:r>
          </w:p>
        </w:tc>
        <w:tc>
          <w:tcPr>
            <w:tcW w:w="1136"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正高</w:t>
            </w:r>
          </w:p>
        </w:tc>
        <w:tc>
          <w:tcPr>
            <w:tcW w:w="3879"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陕西省环境调查评估中心</w:t>
            </w:r>
          </w:p>
        </w:tc>
        <w:tc>
          <w:tcPr>
            <w:tcW w:w="2185"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指导修改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vAlign w:val="center"/>
          </w:tcPr>
          <w:p>
            <w:pPr>
              <w:jc w:val="center"/>
              <w:rPr>
                <w:rFonts w:hint="default"/>
                <w:color w:val="auto"/>
                <w:highlight w:val="none"/>
                <w:vertAlign w:val="baseline"/>
                <w:lang w:val="en-US" w:eastAsia="zh-CN"/>
              </w:rPr>
            </w:pPr>
            <w:r>
              <w:rPr>
                <w:rFonts w:hint="eastAsia"/>
                <w:color w:val="auto"/>
                <w:highlight w:val="none"/>
                <w:vertAlign w:val="baseline"/>
                <w:lang w:val="en-US" w:eastAsia="zh-CN"/>
              </w:rPr>
              <w:t>11</w:t>
            </w:r>
          </w:p>
        </w:tc>
        <w:tc>
          <w:tcPr>
            <w:tcW w:w="921"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陈东</w:t>
            </w:r>
          </w:p>
        </w:tc>
        <w:tc>
          <w:tcPr>
            <w:tcW w:w="1136"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高工</w:t>
            </w:r>
          </w:p>
        </w:tc>
        <w:tc>
          <w:tcPr>
            <w:tcW w:w="3879"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陕西省环境调查评估中心</w:t>
            </w:r>
          </w:p>
        </w:tc>
        <w:tc>
          <w:tcPr>
            <w:tcW w:w="2185"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default" w:ascii="Calibri" w:hAnsi="Calibri" w:eastAsia="宋体" w:cs="Times New Roman"/>
                <w:color w:val="auto"/>
                <w:kern w:val="2"/>
                <w:sz w:val="21"/>
                <w:szCs w:val="24"/>
                <w:highlight w:val="none"/>
                <w:vertAlign w:val="baseline"/>
                <w:lang w:val="en-US" w:eastAsia="zh-CN" w:bidi="ar-SA"/>
              </w:rPr>
              <w:t>前期调研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shd w:val="clear" w:color="auto" w:fill="auto"/>
            <w:vAlign w:val="center"/>
          </w:tcPr>
          <w:p>
            <w:pPr>
              <w:jc w:val="center"/>
              <w:rPr>
                <w:rFonts w:hint="eastAsia" w:ascii="Calibri" w:hAnsi="Calibri" w:eastAsia="宋体" w:cs="Times New Roman"/>
                <w:color w:val="auto"/>
                <w:kern w:val="2"/>
                <w:sz w:val="21"/>
                <w:szCs w:val="22"/>
                <w:highlight w:val="none"/>
                <w:vertAlign w:val="baseline"/>
                <w:lang w:val="en-US" w:eastAsia="zh-CN" w:bidi="ar-SA"/>
              </w:rPr>
            </w:pPr>
            <w:r>
              <w:rPr>
                <w:rFonts w:hint="eastAsia"/>
                <w:color w:val="auto"/>
                <w:highlight w:val="none"/>
                <w:vertAlign w:val="baseline"/>
                <w:lang w:val="en-US" w:eastAsia="zh-CN"/>
              </w:rPr>
              <w:t>12</w:t>
            </w:r>
          </w:p>
        </w:tc>
        <w:tc>
          <w:tcPr>
            <w:tcW w:w="921" w:type="dxa"/>
            <w:shd w:val="clear" w:color="auto" w:fill="auto"/>
            <w:vAlign w:val="center"/>
          </w:tcPr>
          <w:p>
            <w:pPr>
              <w:jc w:val="center"/>
              <w:rPr>
                <w:rFonts w:hint="eastAsia" w:ascii="Calibri" w:hAnsi="Calibri" w:eastAsia="宋体" w:cs="Times New Roman"/>
                <w:color w:val="auto"/>
                <w:kern w:val="2"/>
                <w:sz w:val="21"/>
                <w:szCs w:val="24"/>
                <w:highlight w:val="none"/>
                <w:vertAlign w:val="baseline"/>
                <w:lang w:val="en-US" w:eastAsia="zh-CN" w:bidi="ar-SA"/>
              </w:rPr>
            </w:pPr>
            <w:r>
              <w:rPr>
                <w:rFonts w:hint="eastAsia" w:cs="Times New Roman"/>
                <w:color w:val="auto"/>
                <w:kern w:val="2"/>
                <w:sz w:val="21"/>
                <w:szCs w:val="24"/>
                <w:highlight w:val="none"/>
                <w:vertAlign w:val="baseline"/>
                <w:lang w:val="en-US" w:eastAsia="zh-CN" w:bidi="ar-SA"/>
              </w:rPr>
              <w:t>刘亮</w:t>
            </w:r>
          </w:p>
        </w:tc>
        <w:tc>
          <w:tcPr>
            <w:tcW w:w="1136" w:type="dxa"/>
            <w:shd w:val="clear" w:color="auto" w:fill="auto"/>
            <w:vAlign w:val="center"/>
          </w:tcPr>
          <w:p>
            <w:pPr>
              <w:jc w:val="center"/>
              <w:rPr>
                <w:rFonts w:hint="eastAsia"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高工</w:t>
            </w:r>
          </w:p>
        </w:tc>
        <w:tc>
          <w:tcPr>
            <w:tcW w:w="3879" w:type="dxa"/>
            <w:shd w:val="clear" w:color="auto" w:fill="auto"/>
            <w:vAlign w:val="center"/>
          </w:tcPr>
          <w:p>
            <w:pPr>
              <w:jc w:val="center"/>
              <w:rPr>
                <w:rFonts w:hint="eastAsia" w:ascii="Calibri" w:hAnsi="Calibri" w:eastAsia="宋体" w:cs="Times New Roman"/>
                <w:color w:val="auto"/>
                <w:kern w:val="2"/>
                <w:sz w:val="21"/>
                <w:szCs w:val="24"/>
                <w:highlight w:val="none"/>
                <w:vertAlign w:val="baseline"/>
                <w:lang w:val="en-US" w:eastAsia="zh-CN" w:bidi="ar-SA"/>
              </w:rPr>
            </w:pPr>
            <w:r>
              <w:rPr>
                <w:rFonts w:hint="default"/>
                <w:color w:val="auto"/>
                <w:highlight w:val="none"/>
                <w:vertAlign w:val="baseline"/>
                <w:lang w:val="en-US" w:eastAsia="zh-CN"/>
              </w:rPr>
              <w:t>中圣环境科技发展有限公司</w:t>
            </w:r>
          </w:p>
        </w:tc>
        <w:tc>
          <w:tcPr>
            <w:tcW w:w="2185"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default" w:ascii="Calibri" w:hAnsi="Calibri" w:eastAsia="宋体" w:cs="Times New Roman"/>
                <w:color w:val="auto"/>
                <w:kern w:val="2"/>
                <w:sz w:val="21"/>
                <w:szCs w:val="24"/>
                <w:highlight w:val="none"/>
                <w:vertAlign w:val="baseline"/>
                <w:lang w:val="en-US" w:eastAsia="zh-CN" w:bidi="ar-SA"/>
              </w:rPr>
              <w:t>前期调研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shd w:val="clear" w:color="auto" w:fill="auto"/>
            <w:vAlign w:val="center"/>
          </w:tcPr>
          <w:p>
            <w:pPr>
              <w:jc w:val="center"/>
              <w:rPr>
                <w:rFonts w:hint="default" w:ascii="Calibri" w:hAnsi="Calibri" w:eastAsia="宋体" w:cs="Times New Roman"/>
                <w:color w:val="auto"/>
                <w:kern w:val="2"/>
                <w:sz w:val="21"/>
                <w:szCs w:val="22"/>
                <w:highlight w:val="none"/>
                <w:vertAlign w:val="baseline"/>
                <w:lang w:val="en-US" w:eastAsia="zh-CN" w:bidi="ar-SA"/>
              </w:rPr>
            </w:pPr>
            <w:r>
              <w:rPr>
                <w:rFonts w:hint="eastAsia"/>
                <w:color w:val="auto"/>
                <w:highlight w:val="none"/>
                <w:vertAlign w:val="baseline"/>
                <w:lang w:val="en-US" w:eastAsia="zh-CN"/>
              </w:rPr>
              <w:t>13</w:t>
            </w:r>
          </w:p>
        </w:tc>
        <w:tc>
          <w:tcPr>
            <w:tcW w:w="921"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高蕊芳</w:t>
            </w:r>
          </w:p>
        </w:tc>
        <w:tc>
          <w:tcPr>
            <w:tcW w:w="1136"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高工</w:t>
            </w:r>
          </w:p>
        </w:tc>
        <w:tc>
          <w:tcPr>
            <w:tcW w:w="3879"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default"/>
                <w:color w:val="auto"/>
                <w:highlight w:val="none"/>
                <w:vertAlign w:val="baseline"/>
                <w:lang w:val="en-US" w:eastAsia="zh-CN"/>
              </w:rPr>
              <w:t>中圣环境科技发展有限公司</w:t>
            </w:r>
          </w:p>
        </w:tc>
        <w:tc>
          <w:tcPr>
            <w:tcW w:w="2185"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default" w:ascii="Calibri" w:hAnsi="Calibri" w:eastAsia="宋体" w:cs="Times New Roman"/>
                <w:color w:val="auto"/>
                <w:kern w:val="2"/>
                <w:sz w:val="21"/>
                <w:szCs w:val="24"/>
                <w:highlight w:val="none"/>
                <w:vertAlign w:val="baseline"/>
                <w:lang w:val="en-US" w:eastAsia="zh-CN" w:bidi="ar-SA"/>
              </w:rPr>
              <w:t>前期调研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shd w:val="clear" w:color="auto" w:fill="auto"/>
            <w:vAlign w:val="center"/>
          </w:tcPr>
          <w:p>
            <w:pPr>
              <w:jc w:val="center"/>
              <w:rPr>
                <w:rFonts w:hint="eastAsia" w:ascii="Calibri" w:hAnsi="Calibri" w:eastAsia="宋体" w:cs="Times New Roman"/>
                <w:color w:val="auto"/>
                <w:kern w:val="2"/>
                <w:sz w:val="21"/>
                <w:szCs w:val="24"/>
                <w:highlight w:val="none"/>
                <w:vertAlign w:val="baseline"/>
                <w:lang w:val="en-US" w:eastAsia="zh-CN" w:bidi="ar-SA"/>
              </w:rPr>
            </w:pPr>
            <w:r>
              <w:rPr>
                <w:rFonts w:hint="eastAsia" w:cs="Times New Roman"/>
                <w:color w:val="auto"/>
                <w:kern w:val="2"/>
                <w:sz w:val="21"/>
                <w:szCs w:val="24"/>
                <w:highlight w:val="none"/>
                <w:vertAlign w:val="baseline"/>
                <w:lang w:val="en-US" w:eastAsia="zh-CN" w:bidi="ar-SA"/>
              </w:rPr>
              <w:t>14</w:t>
            </w:r>
          </w:p>
        </w:tc>
        <w:tc>
          <w:tcPr>
            <w:tcW w:w="921" w:type="dxa"/>
            <w:shd w:val="clear" w:color="auto" w:fill="auto"/>
            <w:vAlign w:val="center"/>
          </w:tcPr>
          <w:p>
            <w:pPr>
              <w:jc w:val="center"/>
              <w:rPr>
                <w:rFonts w:hint="eastAsia" w:ascii="Calibri" w:hAnsi="Calibri" w:eastAsia="宋体" w:cs="Times New Roman"/>
                <w:color w:val="auto"/>
                <w:kern w:val="2"/>
                <w:sz w:val="21"/>
                <w:szCs w:val="22"/>
                <w:highlight w:val="none"/>
                <w:vertAlign w:val="baseline"/>
                <w:lang w:val="en-US" w:eastAsia="zh-CN" w:bidi="ar-SA"/>
              </w:rPr>
            </w:pPr>
            <w:r>
              <w:rPr>
                <w:rFonts w:hint="eastAsia"/>
                <w:color w:val="auto"/>
                <w:highlight w:val="none"/>
                <w:vertAlign w:val="baseline"/>
                <w:lang w:val="en-US" w:eastAsia="zh-CN"/>
              </w:rPr>
              <w:t>高原</w:t>
            </w:r>
          </w:p>
        </w:tc>
        <w:tc>
          <w:tcPr>
            <w:tcW w:w="1136" w:type="dxa"/>
            <w:shd w:val="clear" w:color="auto" w:fill="auto"/>
            <w:vAlign w:val="center"/>
          </w:tcPr>
          <w:p>
            <w:pPr>
              <w:jc w:val="center"/>
              <w:rPr>
                <w:rFonts w:hint="eastAsia"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高工</w:t>
            </w:r>
          </w:p>
        </w:tc>
        <w:tc>
          <w:tcPr>
            <w:tcW w:w="3879" w:type="dxa"/>
            <w:shd w:val="clear" w:color="auto" w:fill="auto"/>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default"/>
                <w:color w:val="auto"/>
                <w:highlight w:val="none"/>
                <w:vertAlign w:val="baseline"/>
                <w:lang w:val="en-US" w:eastAsia="zh-CN"/>
              </w:rPr>
              <w:t>中圣环境科技发展有限公司</w:t>
            </w:r>
          </w:p>
        </w:tc>
        <w:tc>
          <w:tcPr>
            <w:tcW w:w="2185"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default" w:ascii="Calibri" w:hAnsi="Calibri" w:eastAsia="宋体" w:cs="Times New Roman"/>
                <w:color w:val="auto"/>
                <w:kern w:val="2"/>
                <w:sz w:val="21"/>
                <w:szCs w:val="24"/>
                <w:highlight w:val="none"/>
                <w:vertAlign w:val="baseline"/>
                <w:lang w:val="en-US" w:eastAsia="zh-CN" w:bidi="ar-SA"/>
              </w:rPr>
              <w:t>资料收集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shd w:val="clear" w:color="auto" w:fill="auto"/>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s="Times New Roman"/>
                <w:color w:val="auto"/>
                <w:kern w:val="2"/>
                <w:sz w:val="21"/>
                <w:szCs w:val="24"/>
                <w:highlight w:val="none"/>
                <w:vertAlign w:val="baseline"/>
                <w:lang w:val="en-US" w:eastAsia="zh-CN" w:bidi="ar-SA"/>
              </w:rPr>
              <w:t>15</w:t>
            </w:r>
          </w:p>
        </w:tc>
        <w:tc>
          <w:tcPr>
            <w:tcW w:w="921"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s="Times New Roman"/>
                <w:color w:val="auto"/>
                <w:kern w:val="2"/>
                <w:sz w:val="21"/>
                <w:szCs w:val="24"/>
                <w:highlight w:val="none"/>
                <w:vertAlign w:val="baseline"/>
                <w:lang w:val="en-US" w:eastAsia="zh-CN" w:bidi="ar-SA"/>
              </w:rPr>
              <w:t>李师露</w:t>
            </w:r>
          </w:p>
        </w:tc>
        <w:tc>
          <w:tcPr>
            <w:tcW w:w="1136"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高工</w:t>
            </w:r>
          </w:p>
        </w:tc>
        <w:tc>
          <w:tcPr>
            <w:tcW w:w="3879"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default"/>
                <w:color w:val="auto"/>
                <w:highlight w:val="none"/>
                <w:vertAlign w:val="baseline"/>
                <w:lang w:val="en-US" w:eastAsia="zh-CN"/>
              </w:rPr>
              <w:t>汉中市环境工程规划设计集团有限公司</w:t>
            </w:r>
          </w:p>
        </w:tc>
        <w:tc>
          <w:tcPr>
            <w:tcW w:w="2185"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default" w:ascii="Calibri" w:hAnsi="Calibri" w:eastAsia="宋体" w:cs="Times New Roman"/>
                <w:color w:val="auto"/>
                <w:kern w:val="2"/>
                <w:sz w:val="21"/>
                <w:szCs w:val="24"/>
                <w:highlight w:val="none"/>
                <w:vertAlign w:val="baseline"/>
                <w:lang w:val="en-US" w:eastAsia="zh-CN" w:bidi="ar-SA"/>
              </w:rPr>
              <w:t>前期调研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shd w:val="clear" w:color="auto" w:fill="auto"/>
            <w:vAlign w:val="center"/>
          </w:tcPr>
          <w:p>
            <w:pPr>
              <w:jc w:val="center"/>
              <w:rPr>
                <w:rFonts w:hint="default" w:ascii="Calibri" w:hAnsi="Calibri" w:eastAsia="宋体" w:cs="Times New Roman"/>
                <w:color w:val="auto"/>
                <w:kern w:val="2"/>
                <w:sz w:val="21"/>
                <w:szCs w:val="22"/>
                <w:highlight w:val="none"/>
                <w:vertAlign w:val="baseline"/>
                <w:lang w:val="en-US" w:eastAsia="zh-CN" w:bidi="ar-SA"/>
              </w:rPr>
            </w:pPr>
            <w:r>
              <w:rPr>
                <w:rFonts w:hint="eastAsia"/>
                <w:color w:val="auto"/>
                <w:highlight w:val="none"/>
                <w:vertAlign w:val="baseline"/>
                <w:lang w:val="en-US" w:eastAsia="zh-CN"/>
              </w:rPr>
              <w:t>16</w:t>
            </w:r>
          </w:p>
        </w:tc>
        <w:tc>
          <w:tcPr>
            <w:tcW w:w="921"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s="Times New Roman"/>
                <w:color w:val="auto"/>
                <w:kern w:val="2"/>
                <w:sz w:val="21"/>
                <w:szCs w:val="24"/>
                <w:highlight w:val="none"/>
                <w:vertAlign w:val="baseline"/>
                <w:lang w:val="en-US" w:eastAsia="zh-CN" w:bidi="ar-SA"/>
              </w:rPr>
              <w:t>张旭</w:t>
            </w:r>
          </w:p>
        </w:tc>
        <w:tc>
          <w:tcPr>
            <w:tcW w:w="1136"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高工</w:t>
            </w:r>
          </w:p>
        </w:tc>
        <w:tc>
          <w:tcPr>
            <w:tcW w:w="3879"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default"/>
                <w:color w:val="auto"/>
                <w:highlight w:val="none"/>
                <w:vertAlign w:val="baseline"/>
                <w:lang w:val="en-US" w:eastAsia="zh-CN"/>
              </w:rPr>
              <w:t>中煤科工西安研究院（集团）有限公司</w:t>
            </w:r>
          </w:p>
        </w:tc>
        <w:tc>
          <w:tcPr>
            <w:tcW w:w="2185"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意见处理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shd w:val="clear" w:color="auto" w:fill="auto"/>
            <w:vAlign w:val="center"/>
          </w:tcPr>
          <w:p>
            <w:pPr>
              <w:jc w:val="center"/>
              <w:rPr>
                <w:rFonts w:hint="default" w:ascii="Calibri" w:hAnsi="Calibri" w:eastAsia="宋体" w:cs="Times New Roman"/>
                <w:color w:val="auto"/>
                <w:kern w:val="2"/>
                <w:sz w:val="21"/>
                <w:szCs w:val="22"/>
                <w:highlight w:val="none"/>
                <w:vertAlign w:val="baseline"/>
                <w:lang w:val="en-US" w:eastAsia="zh-CN" w:bidi="ar-SA"/>
              </w:rPr>
            </w:pPr>
            <w:r>
              <w:rPr>
                <w:rFonts w:hint="eastAsia"/>
                <w:color w:val="auto"/>
                <w:highlight w:val="none"/>
                <w:vertAlign w:val="baseline"/>
                <w:lang w:val="en-US" w:eastAsia="zh-CN"/>
              </w:rPr>
              <w:t>17</w:t>
            </w:r>
          </w:p>
        </w:tc>
        <w:tc>
          <w:tcPr>
            <w:tcW w:w="921"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曹巍</w:t>
            </w:r>
          </w:p>
        </w:tc>
        <w:tc>
          <w:tcPr>
            <w:tcW w:w="1136"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正高</w:t>
            </w:r>
          </w:p>
        </w:tc>
        <w:tc>
          <w:tcPr>
            <w:tcW w:w="3879"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陕西省环境调查评估中心</w:t>
            </w:r>
          </w:p>
        </w:tc>
        <w:tc>
          <w:tcPr>
            <w:tcW w:w="2185"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default" w:ascii="Calibri" w:hAnsi="Calibri" w:eastAsia="宋体" w:cs="Times New Roman"/>
                <w:color w:val="auto"/>
                <w:kern w:val="2"/>
                <w:sz w:val="21"/>
                <w:szCs w:val="24"/>
                <w:highlight w:val="none"/>
                <w:vertAlign w:val="baseline"/>
                <w:lang w:val="en-US" w:eastAsia="zh-CN" w:bidi="ar-SA"/>
              </w:rPr>
              <w:t>资料收集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shd w:val="clear" w:color="auto" w:fill="auto"/>
            <w:vAlign w:val="center"/>
          </w:tcPr>
          <w:p>
            <w:pPr>
              <w:jc w:val="center"/>
              <w:rPr>
                <w:rFonts w:hint="default" w:ascii="Calibri" w:hAnsi="Calibri" w:eastAsia="宋体" w:cs="Times New Roman"/>
                <w:color w:val="auto"/>
                <w:kern w:val="2"/>
                <w:sz w:val="21"/>
                <w:szCs w:val="22"/>
                <w:highlight w:val="none"/>
                <w:vertAlign w:val="baseline"/>
                <w:lang w:val="en-US" w:eastAsia="zh-CN" w:bidi="ar-SA"/>
              </w:rPr>
            </w:pPr>
            <w:r>
              <w:rPr>
                <w:rFonts w:hint="eastAsia"/>
                <w:color w:val="auto"/>
                <w:highlight w:val="none"/>
                <w:vertAlign w:val="baseline"/>
                <w:lang w:val="en-US" w:eastAsia="zh-CN"/>
              </w:rPr>
              <w:t>18</w:t>
            </w:r>
          </w:p>
        </w:tc>
        <w:tc>
          <w:tcPr>
            <w:tcW w:w="921"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他维媛</w:t>
            </w:r>
          </w:p>
        </w:tc>
        <w:tc>
          <w:tcPr>
            <w:tcW w:w="1136"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正高</w:t>
            </w:r>
          </w:p>
        </w:tc>
        <w:tc>
          <w:tcPr>
            <w:tcW w:w="3879"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陕西省环境调查评估中心</w:t>
            </w:r>
          </w:p>
        </w:tc>
        <w:tc>
          <w:tcPr>
            <w:tcW w:w="2185"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意见处理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shd w:val="clear" w:color="auto" w:fill="auto"/>
            <w:vAlign w:val="center"/>
          </w:tcPr>
          <w:p>
            <w:pPr>
              <w:jc w:val="center"/>
              <w:rPr>
                <w:rFonts w:hint="default" w:ascii="Calibri" w:hAnsi="Calibri" w:eastAsia="宋体" w:cs="Times New Roman"/>
                <w:color w:val="auto"/>
                <w:kern w:val="2"/>
                <w:sz w:val="21"/>
                <w:szCs w:val="22"/>
                <w:highlight w:val="none"/>
                <w:vertAlign w:val="baseline"/>
                <w:lang w:val="en-US" w:eastAsia="zh-CN" w:bidi="ar-SA"/>
              </w:rPr>
            </w:pPr>
            <w:r>
              <w:rPr>
                <w:rFonts w:hint="eastAsia"/>
                <w:color w:val="auto"/>
                <w:highlight w:val="none"/>
                <w:vertAlign w:val="baseline"/>
                <w:lang w:val="en-US" w:eastAsia="zh-CN"/>
              </w:rPr>
              <w:t>19</w:t>
            </w:r>
          </w:p>
        </w:tc>
        <w:tc>
          <w:tcPr>
            <w:tcW w:w="921"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孙晨</w:t>
            </w:r>
          </w:p>
        </w:tc>
        <w:tc>
          <w:tcPr>
            <w:tcW w:w="1136"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助工</w:t>
            </w:r>
          </w:p>
        </w:tc>
        <w:tc>
          <w:tcPr>
            <w:tcW w:w="3879"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陕西省环境调查评估中心</w:t>
            </w:r>
          </w:p>
        </w:tc>
        <w:tc>
          <w:tcPr>
            <w:tcW w:w="2185" w:type="dxa"/>
            <w:vAlign w:val="center"/>
          </w:tcPr>
          <w:p>
            <w:pPr>
              <w:jc w:val="center"/>
              <w:rPr>
                <w:rFonts w:hint="eastAsia" w:ascii="Calibri" w:hAnsi="Calibri" w:eastAsia="宋体" w:cs="Times New Roman"/>
                <w:color w:val="auto"/>
                <w:kern w:val="2"/>
                <w:sz w:val="21"/>
                <w:szCs w:val="24"/>
                <w:highlight w:val="none"/>
                <w:vertAlign w:val="baseline"/>
                <w:lang w:val="en-US" w:eastAsia="zh-CN" w:bidi="ar-SA"/>
              </w:rPr>
            </w:pPr>
            <w:r>
              <w:rPr>
                <w:rFonts w:hint="eastAsia" w:ascii="Calibri" w:hAnsi="Calibri" w:eastAsia="宋体" w:cs="Times New Roman"/>
                <w:color w:val="auto"/>
                <w:kern w:val="2"/>
                <w:sz w:val="21"/>
                <w:szCs w:val="24"/>
                <w:highlight w:val="none"/>
                <w:vertAlign w:val="baseline"/>
                <w:lang w:val="en-US" w:eastAsia="zh-CN" w:bidi="ar-SA"/>
              </w:rPr>
              <w:t>资料收集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shd w:val="clear" w:color="auto" w:fill="auto"/>
            <w:vAlign w:val="center"/>
          </w:tcPr>
          <w:p>
            <w:pPr>
              <w:jc w:val="center"/>
              <w:rPr>
                <w:rFonts w:hint="default" w:ascii="Calibri" w:hAnsi="Calibri" w:eastAsia="宋体" w:cs="Times New Roman"/>
                <w:color w:val="auto"/>
                <w:kern w:val="2"/>
                <w:sz w:val="21"/>
                <w:szCs w:val="22"/>
                <w:highlight w:val="none"/>
                <w:vertAlign w:val="baseline"/>
                <w:lang w:val="en-US" w:eastAsia="zh-CN" w:bidi="ar-SA"/>
              </w:rPr>
            </w:pPr>
            <w:bookmarkStart w:id="51" w:name="OLE_LINK2" w:colFirst="1" w:colLast="3"/>
            <w:r>
              <w:rPr>
                <w:rFonts w:hint="eastAsia"/>
                <w:color w:val="auto"/>
                <w:highlight w:val="none"/>
                <w:vertAlign w:val="baseline"/>
                <w:lang w:val="en-US" w:eastAsia="zh-CN"/>
              </w:rPr>
              <w:t>20</w:t>
            </w:r>
          </w:p>
        </w:tc>
        <w:tc>
          <w:tcPr>
            <w:tcW w:w="921"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韩梅</w:t>
            </w:r>
          </w:p>
        </w:tc>
        <w:tc>
          <w:tcPr>
            <w:tcW w:w="1136"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正高</w:t>
            </w:r>
          </w:p>
        </w:tc>
        <w:tc>
          <w:tcPr>
            <w:tcW w:w="3879"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陕西省环境调查评估中心</w:t>
            </w:r>
          </w:p>
        </w:tc>
        <w:tc>
          <w:tcPr>
            <w:tcW w:w="2185" w:type="dxa"/>
            <w:vAlign w:val="center"/>
          </w:tcPr>
          <w:p>
            <w:pPr>
              <w:jc w:val="center"/>
              <w:rPr>
                <w:rFonts w:hint="eastAsia"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意见处理</w:t>
            </w:r>
          </w:p>
        </w:tc>
      </w:tr>
      <w:bookmarkEnd w:id="5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shd w:val="clear" w:color="auto" w:fill="auto"/>
            <w:vAlign w:val="center"/>
          </w:tcPr>
          <w:p>
            <w:pPr>
              <w:jc w:val="center"/>
              <w:rPr>
                <w:rFonts w:hint="default" w:ascii="Calibri" w:hAnsi="Calibri" w:eastAsia="宋体" w:cs="Times New Roman"/>
                <w:color w:val="auto"/>
                <w:kern w:val="2"/>
                <w:sz w:val="21"/>
                <w:szCs w:val="22"/>
                <w:highlight w:val="none"/>
                <w:vertAlign w:val="baseline"/>
                <w:lang w:val="en-US" w:eastAsia="zh-CN" w:bidi="ar-SA"/>
              </w:rPr>
            </w:pPr>
            <w:bookmarkStart w:id="52" w:name="OLE_LINK1" w:colFirst="0" w:colLast="3"/>
            <w:r>
              <w:rPr>
                <w:rFonts w:hint="eastAsia"/>
                <w:color w:val="auto"/>
                <w:highlight w:val="none"/>
                <w:vertAlign w:val="baseline"/>
                <w:lang w:val="en-US" w:eastAsia="zh-CN"/>
              </w:rPr>
              <w:t>21</w:t>
            </w:r>
          </w:p>
        </w:tc>
        <w:tc>
          <w:tcPr>
            <w:tcW w:w="921"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s="Times New Roman"/>
                <w:color w:val="auto"/>
                <w:kern w:val="2"/>
                <w:sz w:val="21"/>
                <w:szCs w:val="24"/>
                <w:highlight w:val="none"/>
                <w:vertAlign w:val="baseline"/>
                <w:lang w:val="en-US" w:eastAsia="zh-CN" w:bidi="ar-SA"/>
              </w:rPr>
              <w:t>曹宇</w:t>
            </w:r>
          </w:p>
        </w:tc>
        <w:tc>
          <w:tcPr>
            <w:tcW w:w="1136"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s="Times New Roman"/>
                <w:color w:val="auto"/>
                <w:kern w:val="2"/>
                <w:sz w:val="21"/>
                <w:szCs w:val="24"/>
                <w:highlight w:val="none"/>
                <w:vertAlign w:val="baseline"/>
                <w:lang w:val="en-US" w:eastAsia="zh-CN" w:bidi="ar-SA"/>
              </w:rPr>
              <w:t>高工</w:t>
            </w:r>
          </w:p>
        </w:tc>
        <w:tc>
          <w:tcPr>
            <w:tcW w:w="3879"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default"/>
                <w:strike w:val="0"/>
                <w:dstrike w:val="0"/>
                <w:color w:val="auto"/>
                <w:highlight w:val="none"/>
                <w:vertAlign w:val="baseline"/>
                <w:lang w:val="en-US" w:eastAsia="zh-CN"/>
              </w:rPr>
              <w:t>榆林市环境工程评估中心</w:t>
            </w:r>
          </w:p>
        </w:tc>
        <w:tc>
          <w:tcPr>
            <w:tcW w:w="2185" w:type="dxa"/>
            <w:vAlign w:val="center"/>
          </w:tcPr>
          <w:p>
            <w:pPr>
              <w:jc w:val="center"/>
              <w:rPr>
                <w:rFonts w:hint="eastAsia"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意见处理</w:t>
            </w:r>
          </w:p>
        </w:tc>
      </w:tr>
      <w:bookmarkEnd w:id="5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shd w:val="clear" w:color="auto" w:fill="auto"/>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s="Times New Roman"/>
                <w:color w:val="auto"/>
                <w:kern w:val="2"/>
                <w:sz w:val="21"/>
                <w:szCs w:val="24"/>
                <w:highlight w:val="none"/>
                <w:vertAlign w:val="baseline"/>
                <w:lang w:val="en-US" w:eastAsia="zh-CN" w:bidi="ar-SA"/>
              </w:rPr>
              <w:t>22</w:t>
            </w:r>
          </w:p>
        </w:tc>
        <w:tc>
          <w:tcPr>
            <w:tcW w:w="921"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s="Times New Roman"/>
                <w:color w:val="auto"/>
                <w:kern w:val="2"/>
                <w:sz w:val="21"/>
                <w:szCs w:val="24"/>
                <w:highlight w:val="none"/>
                <w:vertAlign w:val="baseline"/>
                <w:lang w:val="en-US" w:eastAsia="zh-CN" w:bidi="ar-SA"/>
              </w:rPr>
              <w:t>牛伟</w:t>
            </w:r>
          </w:p>
        </w:tc>
        <w:tc>
          <w:tcPr>
            <w:tcW w:w="1136"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s="Times New Roman"/>
                <w:color w:val="auto"/>
                <w:kern w:val="2"/>
                <w:sz w:val="21"/>
                <w:szCs w:val="24"/>
                <w:highlight w:val="none"/>
                <w:vertAlign w:val="baseline"/>
                <w:lang w:val="en-US" w:eastAsia="zh-CN" w:bidi="ar-SA"/>
              </w:rPr>
              <w:t>高工</w:t>
            </w:r>
          </w:p>
        </w:tc>
        <w:tc>
          <w:tcPr>
            <w:tcW w:w="3879"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default"/>
                <w:color w:val="auto"/>
                <w:highlight w:val="none"/>
                <w:vertAlign w:val="baseline"/>
                <w:lang w:val="en-US" w:eastAsia="zh-CN"/>
              </w:rPr>
              <w:t>西安中地环境科技有限公司</w:t>
            </w:r>
          </w:p>
        </w:tc>
        <w:tc>
          <w:tcPr>
            <w:tcW w:w="2185" w:type="dxa"/>
            <w:vAlign w:val="center"/>
          </w:tcPr>
          <w:p>
            <w:pPr>
              <w:jc w:val="center"/>
              <w:rPr>
                <w:rFonts w:hint="eastAsia" w:ascii="Calibri" w:hAnsi="Calibri" w:eastAsia="宋体" w:cs="Times New Roman"/>
                <w:color w:val="auto"/>
                <w:kern w:val="2"/>
                <w:sz w:val="21"/>
                <w:szCs w:val="24"/>
                <w:highlight w:val="none"/>
                <w:vertAlign w:val="baseline"/>
                <w:lang w:val="en-US" w:eastAsia="zh-CN" w:bidi="ar-SA"/>
              </w:rPr>
            </w:pPr>
            <w:r>
              <w:rPr>
                <w:rFonts w:hint="eastAsia" w:ascii="Calibri" w:hAnsi="Calibri" w:eastAsia="宋体" w:cs="Times New Roman"/>
                <w:color w:val="auto"/>
                <w:kern w:val="2"/>
                <w:sz w:val="21"/>
                <w:szCs w:val="24"/>
                <w:highlight w:val="none"/>
                <w:vertAlign w:val="baseline"/>
                <w:lang w:val="en-US" w:eastAsia="zh-CN" w:bidi="ar-SA"/>
              </w:rPr>
              <w:t>资料收集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shd w:val="clear" w:color="auto" w:fill="auto"/>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s="Times New Roman"/>
                <w:color w:val="auto"/>
                <w:kern w:val="2"/>
                <w:sz w:val="21"/>
                <w:szCs w:val="24"/>
                <w:highlight w:val="none"/>
                <w:vertAlign w:val="baseline"/>
                <w:lang w:val="en-US" w:eastAsia="zh-CN" w:bidi="ar-SA"/>
              </w:rPr>
              <w:t>23</w:t>
            </w:r>
          </w:p>
        </w:tc>
        <w:tc>
          <w:tcPr>
            <w:tcW w:w="921"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s="Times New Roman"/>
                <w:color w:val="auto"/>
                <w:kern w:val="2"/>
                <w:sz w:val="21"/>
                <w:szCs w:val="24"/>
                <w:highlight w:val="none"/>
                <w:vertAlign w:val="baseline"/>
                <w:lang w:val="en-US" w:eastAsia="zh-CN" w:bidi="ar-SA"/>
              </w:rPr>
              <w:t>张程</w:t>
            </w:r>
          </w:p>
        </w:tc>
        <w:tc>
          <w:tcPr>
            <w:tcW w:w="1136"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s="Times New Roman"/>
                <w:color w:val="auto"/>
                <w:kern w:val="2"/>
                <w:sz w:val="21"/>
                <w:szCs w:val="24"/>
                <w:highlight w:val="none"/>
                <w:vertAlign w:val="baseline"/>
                <w:lang w:val="en-US" w:eastAsia="zh-CN" w:bidi="ar-SA"/>
              </w:rPr>
              <w:t>高工</w:t>
            </w:r>
          </w:p>
        </w:tc>
        <w:tc>
          <w:tcPr>
            <w:tcW w:w="3879"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default"/>
                <w:color w:val="auto"/>
                <w:highlight w:val="none"/>
                <w:vertAlign w:val="baseline"/>
                <w:lang w:val="en-US" w:eastAsia="zh-CN"/>
              </w:rPr>
              <w:t>西安中地环境科技有限公司</w:t>
            </w:r>
          </w:p>
        </w:tc>
        <w:tc>
          <w:tcPr>
            <w:tcW w:w="2185" w:type="dxa"/>
            <w:vAlign w:val="center"/>
          </w:tcPr>
          <w:p>
            <w:pPr>
              <w:jc w:val="center"/>
              <w:rPr>
                <w:rFonts w:hint="eastAsia"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意见处理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s="Times New Roman"/>
                <w:color w:val="auto"/>
                <w:kern w:val="2"/>
                <w:sz w:val="21"/>
                <w:szCs w:val="24"/>
                <w:highlight w:val="none"/>
                <w:vertAlign w:val="baseline"/>
                <w:lang w:val="en-US" w:eastAsia="zh-CN" w:bidi="ar-SA"/>
              </w:rPr>
              <w:t>24</w:t>
            </w:r>
          </w:p>
        </w:tc>
        <w:tc>
          <w:tcPr>
            <w:tcW w:w="921"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赵亮</w:t>
            </w:r>
          </w:p>
        </w:tc>
        <w:tc>
          <w:tcPr>
            <w:tcW w:w="1136"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高工</w:t>
            </w:r>
          </w:p>
        </w:tc>
        <w:tc>
          <w:tcPr>
            <w:tcW w:w="3879"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陕西省环境调查评估中心</w:t>
            </w:r>
          </w:p>
        </w:tc>
        <w:tc>
          <w:tcPr>
            <w:tcW w:w="2185" w:type="dxa"/>
            <w:vAlign w:val="center"/>
          </w:tcPr>
          <w:p>
            <w:pPr>
              <w:jc w:val="center"/>
              <w:rPr>
                <w:rFonts w:hint="eastAsia" w:ascii="Calibri" w:hAnsi="Calibri" w:eastAsia="宋体" w:cs="Times New Roman"/>
                <w:color w:val="auto"/>
                <w:kern w:val="2"/>
                <w:sz w:val="21"/>
                <w:szCs w:val="24"/>
                <w:highlight w:val="none"/>
                <w:vertAlign w:val="baseline"/>
                <w:lang w:val="en-US" w:eastAsia="zh-CN" w:bidi="ar-SA"/>
              </w:rPr>
            </w:pPr>
            <w:r>
              <w:rPr>
                <w:rFonts w:hint="eastAsia" w:ascii="Calibri" w:hAnsi="Calibri" w:eastAsia="宋体" w:cs="Times New Roman"/>
                <w:color w:val="auto"/>
                <w:kern w:val="2"/>
                <w:sz w:val="21"/>
                <w:szCs w:val="24"/>
                <w:highlight w:val="none"/>
                <w:vertAlign w:val="baseline"/>
                <w:lang w:val="en-US" w:eastAsia="zh-CN" w:bidi="ar-SA"/>
              </w:rPr>
              <w:t>资料收集</w:t>
            </w:r>
          </w:p>
        </w:tc>
      </w:tr>
    </w:tbl>
    <w:p/>
    <w:p>
      <w:pPr>
        <w:rPr>
          <w:rFonts w:hint="default"/>
          <w:lang w:val="en-US" w:eastAsia="zh-CN"/>
        </w:rPr>
        <w:sectPr>
          <w:footerReference r:id="rId6" w:type="default"/>
          <w:pgSz w:w="11906" w:h="16838"/>
          <w:pgMar w:top="1440" w:right="1576" w:bottom="1440" w:left="1576" w:header="851" w:footer="992" w:gutter="0"/>
          <w:pgNumType w:fmt="decimal" w:start="1"/>
          <w:cols w:space="0" w:num="1"/>
          <w:docGrid w:type="lines" w:linePitch="312" w:charSpace="0"/>
        </w:sectPr>
      </w:pPr>
    </w:p>
    <w:p>
      <w:pPr>
        <w:pStyle w:val="4"/>
        <w:numPr>
          <w:ilvl w:val="255"/>
          <w:numId w:val="0"/>
        </w:numPr>
        <w:spacing w:line="360" w:lineRule="auto"/>
        <w:rPr>
          <w:rFonts w:hint="default" w:ascii="Times New Roman" w:hAnsi="Times New Roman" w:eastAsia="宋体" w:cs="Times New Roman"/>
          <w:b/>
          <w:color w:val="auto"/>
          <w:sz w:val="24"/>
          <w:szCs w:val="24"/>
          <w:highlight w:val="none"/>
          <w:lang w:val="en-US" w:eastAsia="zh-CN"/>
        </w:rPr>
      </w:pPr>
      <w:bookmarkStart w:id="53" w:name="_Toc27558"/>
      <w:r>
        <w:rPr>
          <w:rFonts w:hint="eastAsia" w:ascii="Times New Roman" w:hAnsi="Times New Roman" w:eastAsia="宋体" w:cs="Times New Roman"/>
          <w:b/>
          <w:color w:val="auto"/>
          <w:sz w:val="24"/>
          <w:szCs w:val="24"/>
          <w:highlight w:val="none"/>
          <w:lang w:val="en-US" w:eastAsia="zh-CN"/>
        </w:rPr>
        <w:t>2</w:t>
      </w:r>
      <w:r>
        <w:rPr>
          <w:rFonts w:hint="default" w:ascii="Times New Roman" w:hAnsi="Times New Roman" w:eastAsia="宋体" w:cs="Times New Roman"/>
          <w:b/>
          <w:color w:val="auto"/>
          <w:sz w:val="24"/>
          <w:szCs w:val="24"/>
          <w:highlight w:val="none"/>
        </w:rPr>
        <w:t xml:space="preserve">  标准</w:t>
      </w:r>
      <w:r>
        <w:rPr>
          <w:rFonts w:hint="default" w:ascii="Times New Roman" w:hAnsi="Times New Roman" w:eastAsia="宋体" w:cs="Times New Roman"/>
          <w:b/>
          <w:color w:val="auto"/>
          <w:sz w:val="24"/>
          <w:szCs w:val="24"/>
          <w:highlight w:val="none"/>
          <w:lang w:val="en-US" w:eastAsia="zh-CN"/>
        </w:rPr>
        <w:t>编制</w:t>
      </w:r>
      <w:r>
        <w:rPr>
          <w:rFonts w:hint="default" w:ascii="Times New Roman" w:hAnsi="Times New Roman" w:eastAsia="宋体" w:cs="Times New Roman"/>
          <w:b/>
          <w:color w:val="auto"/>
          <w:sz w:val="24"/>
          <w:szCs w:val="24"/>
          <w:highlight w:val="none"/>
        </w:rPr>
        <w:t>原则</w:t>
      </w:r>
      <w:r>
        <w:rPr>
          <w:rFonts w:hint="default" w:ascii="Times New Roman" w:hAnsi="Times New Roman" w:eastAsia="宋体" w:cs="Times New Roman"/>
          <w:b/>
          <w:color w:val="auto"/>
          <w:sz w:val="24"/>
          <w:szCs w:val="24"/>
          <w:highlight w:val="none"/>
          <w:lang w:eastAsia="zh-CN"/>
        </w:rPr>
        <w:t>、</w:t>
      </w:r>
      <w:r>
        <w:rPr>
          <w:rFonts w:hint="default" w:ascii="Times New Roman" w:hAnsi="Times New Roman" w:eastAsia="宋体" w:cs="Times New Roman"/>
          <w:b/>
          <w:color w:val="auto"/>
          <w:sz w:val="24"/>
          <w:szCs w:val="24"/>
          <w:highlight w:val="none"/>
          <w:lang w:val="en-US" w:eastAsia="zh-CN"/>
        </w:rPr>
        <w:t>方法、</w:t>
      </w:r>
      <w:r>
        <w:rPr>
          <w:rFonts w:hint="default" w:ascii="Times New Roman" w:hAnsi="Times New Roman" w:eastAsia="宋体" w:cs="Times New Roman"/>
          <w:b/>
          <w:color w:val="auto"/>
          <w:sz w:val="24"/>
          <w:szCs w:val="24"/>
          <w:highlight w:val="none"/>
        </w:rPr>
        <w:t>和技术路线</w:t>
      </w:r>
      <w:r>
        <w:rPr>
          <w:rFonts w:hint="default" w:ascii="Times New Roman" w:hAnsi="Times New Roman" w:eastAsia="宋体" w:cs="Times New Roman"/>
          <w:b/>
          <w:color w:val="auto"/>
          <w:sz w:val="24"/>
          <w:szCs w:val="24"/>
          <w:highlight w:val="none"/>
          <w:lang w:val="en-US" w:eastAsia="zh-CN"/>
        </w:rPr>
        <w:t>和依据</w:t>
      </w:r>
      <w:bookmarkEnd w:id="53"/>
    </w:p>
    <w:p>
      <w:pPr>
        <w:pStyle w:val="5"/>
        <w:numPr>
          <w:ilvl w:val="0"/>
          <w:numId w:val="0"/>
        </w:numPr>
        <w:spacing w:before="0" w:after="0" w:line="360" w:lineRule="auto"/>
        <w:rPr>
          <w:rFonts w:hint="default" w:ascii="Times New Roman" w:hAnsi="Times New Roman" w:eastAsia="宋体" w:cs="Times New Roman"/>
          <w:b/>
          <w:color w:val="auto"/>
          <w:szCs w:val="24"/>
          <w:highlight w:val="none"/>
        </w:rPr>
      </w:pPr>
      <w:bookmarkStart w:id="54" w:name="_Toc520232096"/>
      <w:bookmarkStart w:id="55" w:name="_Toc6210"/>
      <w:bookmarkStart w:id="56" w:name="_Toc22484325"/>
      <w:bookmarkStart w:id="57" w:name="_Toc520231430"/>
      <w:bookmarkStart w:id="58" w:name="_Toc520232870"/>
      <w:r>
        <w:rPr>
          <w:rFonts w:hint="eastAsia" w:ascii="Times New Roman" w:hAnsi="Times New Roman" w:eastAsia="宋体" w:cs="Times New Roman"/>
          <w:b/>
          <w:color w:val="auto"/>
          <w:szCs w:val="24"/>
          <w:highlight w:val="none"/>
          <w:lang w:val="en-US" w:eastAsia="zh-CN"/>
        </w:rPr>
        <w:t>2</w:t>
      </w:r>
      <w:r>
        <w:rPr>
          <w:rFonts w:hint="default" w:ascii="Times New Roman" w:hAnsi="Times New Roman" w:eastAsia="宋体" w:cs="Times New Roman"/>
          <w:b/>
          <w:color w:val="auto"/>
          <w:szCs w:val="24"/>
          <w:highlight w:val="none"/>
        </w:rPr>
        <w:t xml:space="preserve">.1  </w:t>
      </w:r>
      <w:r>
        <w:rPr>
          <w:rFonts w:hint="default" w:ascii="Times New Roman" w:hAnsi="Times New Roman" w:eastAsia="宋体" w:cs="Times New Roman"/>
          <w:b/>
          <w:color w:val="auto"/>
          <w:szCs w:val="24"/>
          <w:highlight w:val="none"/>
          <w:lang w:val="en-US" w:eastAsia="zh-CN"/>
        </w:rPr>
        <w:t>编制</w:t>
      </w:r>
      <w:r>
        <w:rPr>
          <w:rFonts w:hint="default" w:ascii="Times New Roman" w:hAnsi="Times New Roman" w:eastAsia="宋体" w:cs="Times New Roman"/>
          <w:b/>
          <w:color w:val="auto"/>
          <w:szCs w:val="24"/>
          <w:highlight w:val="none"/>
        </w:rPr>
        <w:t>原则</w:t>
      </w:r>
      <w:bookmarkEnd w:id="54"/>
      <w:bookmarkEnd w:id="55"/>
      <w:bookmarkEnd w:id="56"/>
      <w:bookmarkEnd w:id="57"/>
      <w:bookmarkEnd w:id="58"/>
    </w:p>
    <w:p>
      <w:pPr>
        <w:spacing w:line="360" w:lineRule="auto"/>
        <w:ind w:firstLine="480" w:firstLineChars="20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（1）科学性</w:t>
      </w:r>
      <w:r>
        <w:rPr>
          <w:rFonts w:hint="default" w:ascii="Times New Roman" w:hAnsi="Times New Roman" w:cs="Times New Roman"/>
          <w:color w:val="auto"/>
          <w:sz w:val="24"/>
          <w:szCs w:val="24"/>
          <w:highlight w:val="none"/>
          <w:lang w:val="en-US" w:eastAsia="zh-CN"/>
        </w:rPr>
        <w:t>原则</w:t>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lang w:val="en-US" w:eastAsia="zh-CN"/>
        </w:rPr>
        <w:t>标准</w:t>
      </w:r>
      <w:r>
        <w:rPr>
          <w:rFonts w:hint="default" w:ascii="Times New Roman" w:hAnsi="Times New Roman" w:cs="Times New Roman"/>
          <w:color w:val="auto"/>
          <w:sz w:val="24"/>
          <w:szCs w:val="24"/>
          <w:highlight w:val="none"/>
        </w:rPr>
        <w:t>的制定必须明确入河排污口设置评估的相关技术问题，尤其是评估技术要点</w:t>
      </w:r>
      <w:r>
        <w:rPr>
          <w:rFonts w:hint="default" w:ascii="Times New Roman" w:hAnsi="Times New Roman" w:cs="Times New Roman"/>
          <w:color w:val="auto"/>
          <w:sz w:val="24"/>
          <w:szCs w:val="24"/>
          <w:highlight w:val="none"/>
          <w:lang w:val="en-US" w:eastAsia="zh-CN"/>
        </w:rPr>
        <w:t>须</w:t>
      </w:r>
      <w:r>
        <w:rPr>
          <w:rFonts w:hint="default" w:ascii="Times New Roman" w:hAnsi="Times New Roman" w:cs="Times New Roman"/>
          <w:color w:val="auto"/>
          <w:sz w:val="24"/>
          <w:szCs w:val="24"/>
          <w:highlight w:val="none"/>
        </w:rPr>
        <w:t>合理科学，以确保评估结果的准确性和客观性。</w:t>
      </w:r>
    </w:p>
    <w:p>
      <w:pPr>
        <w:spacing w:line="360" w:lineRule="auto"/>
        <w:ind w:firstLine="480" w:firstLineChars="20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（2）普遍适用性</w:t>
      </w:r>
      <w:r>
        <w:rPr>
          <w:rFonts w:hint="default" w:ascii="Times New Roman" w:hAnsi="Times New Roman" w:cs="Times New Roman"/>
          <w:color w:val="auto"/>
          <w:sz w:val="24"/>
          <w:szCs w:val="24"/>
          <w:highlight w:val="none"/>
          <w:lang w:val="en-US" w:eastAsia="zh-CN"/>
        </w:rPr>
        <w:t>原则</w:t>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lang w:val="en-US" w:eastAsia="zh-CN"/>
        </w:rPr>
        <w:t>标准</w:t>
      </w:r>
      <w:r>
        <w:rPr>
          <w:rFonts w:hint="default" w:ascii="Times New Roman" w:hAnsi="Times New Roman" w:cs="Times New Roman"/>
          <w:color w:val="auto"/>
          <w:sz w:val="24"/>
          <w:szCs w:val="24"/>
          <w:highlight w:val="none"/>
        </w:rPr>
        <w:t>的制定应以满足入河排污口设置审批管理需求为目标，在明确入河排污口设置审批原则基础上，针对入河排污口设置</w:t>
      </w:r>
      <w:r>
        <w:rPr>
          <w:rFonts w:hint="default" w:ascii="Times New Roman" w:hAnsi="Times New Roman" w:cs="Times New Roman"/>
          <w:color w:val="auto"/>
          <w:sz w:val="24"/>
          <w:szCs w:val="24"/>
          <w:highlight w:val="none"/>
          <w:lang w:val="en-US" w:eastAsia="zh-CN"/>
        </w:rPr>
        <w:t>评估和</w:t>
      </w:r>
      <w:r>
        <w:rPr>
          <w:rFonts w:hint="default" w:ascii="Times New Roman" w:hAnsi="Times New Roman" w:cs="Times New Roman"/>
          <w:color w:val="auto"/>
          <w:sz w:val="24"/>
          <w:szCs w:val="24"/>
          <w:highlight w:val="none"/>
        </w:rPr>
        <w:t>审批的业务需求提出切实可行的技术</w:t>
      </w:r>
      <w:r>
        <w:rPr>
          <w:rFonts w:hint="default" w:ascii="Times New Roman" w:hAnsi="Times New Roman" w:cs="Times New Roman"/>
          <w:color w:val="auto"/>
          <w:sz w:val="24"/>
          <w:szCs w:val="24"/>
          <w:highlight w:val="none"/>
          <w:lang w:val="en-US" w:eastAsia="zh-CN"/>
        </w:rPr>
        <w:t>评估</w:t>
      </w:r>
      <w:r>
        <w:rPr>
          <w:rFonts w:hint="default" w:ascii="Times New Roman" w:hAnsi="Times New Roman" w:cs="Times New Roman"/>
          <w:color w:val="auto"/>
          <w:sz w:val="24"/>
          <w:szCs w:val="24"/>
          <w:highlight w:val="none"/>
        </w:rPr>
        <w:t>要点。</w:t>
      </w:r>
    </w:p>
    <w:p>
      <w:pPr>
        <w:spacing w:line="360" w:lineRule="auto"/>
        <w:ind w:firstLine="480" w:firstLineChars="20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（3）可操作性</w:t>
      </w:r>
      <w:r>
        <w:rPr>
          <w:rFonts w:hint="default" w:ascii="Times New Roman" w:hAnsi="Times New Roman" w:cs="Times New Roman"/>
          <w:color w:val="auto"/>
          <w:sz w:val="24"/>
          <w:szCs w:val="24"/>
          <w:highlight w:val="none"/>
          <w:lang w:val="en-US" w:eastAsia="zh-CN"/>
        </w:rPr>
        <w:t>原则</w:t>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lang w:val="en-US" w:eastAsia="zh-CN"/>
        </w:rPr>
        <w:t>标准</w:t>
      </w:r>
      <w:r>
        <w:rPr>
          <w:rFonts w:hint="default" w:ascii="Times New Roman" w:hAnsi="Times New Roman" w:cs="Times New Roman"/>
          <w:color w:val="auto"/>
          <w:sz w:val="24"/>
          <w:szCs w:val="24"/>
          <w:highlight w:val="none"/>
        </w:rPr>
        <w:t>的制定应充分考虑评估人员</w:t>
      </w:r>
      <w:r>
        <w:rPr>
          <w:rFonts w:hint="default" w:ascii="Times New Roman" w:hAnsi="Times New Roman" w:cs="Times New Roman"/>
          <w:color w:val="auto"/>
          <w:sz w:val="24"/>
          <w:szCs w:val="24"/>
          <w:highlight w:val="none"/>
          <w:lang w:val="en-US" w:eastAsia="zh-CN"/>
        </w:rPr>
        <w:t>专业背景</w:t>
      </w:r>
      <w:r>
        <w:rPr>
          <w:rFonts w:hint="default" w:ascii="Times New Roman" w:hAnsi="Times New Roman" w:cs="Times New Roman"/>
          <w:color w:val="auto"/>
          <w:sz w:val="24"/>
          <w:szCs w:val="24"/>
          <w:highlight w:val="none"/>
        </w:rPr>
        <w:t>，制定的</w:t>
      </w:r>
      <w:r>
        <w:rPr>
          <w:rFonts w:hint="default" w:ascii="Times New Roman" w:hAnsi="Times New Roman" w:cs="Times New Roman"/>
          <w:color w:val="auto"/>
          <w:sz w:val="24"/>
          <w:szCs w:val="24"/>
          <w:highlight w:val="none"/>
          <w:lang w:val="en-US" w:eastAsia="zh-CN"/>
        </w:rPr>
        <w:t>标准</w:t>
      </w:r>
      <w:r>
        <w:rPr>
          <w:rFonts w:hint="default" w:ascii="Times New Roman" w:hAnsi="Times New Roman" w:cs="Times New Roman"/>
          <w:color w:val="auto"/>
          <w:sz w:val="24"/>
          <w:szCs w:val="24"/>
          <w:highlight w:val="none"/>
        </w:rPr>
        <w:t>要重点突出</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逻辑清晰</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lang w:val="en-US" w:eastAsia="zh-CN"/>
        </w:rPr>
        <w:t>框架结构</w:t>
      </w:r>
      <w:r>
        <w:rPr>
          <w:rFonts w:hint="default" w:ascii="Times New Roman" w:hAnsi="Times New Roman" w:cs="Times New Roman"/>
          <w:color w:val="auto"/>
          <w:sz w:val="24"/>
          <w:szCs w:val="24"/>
          <w:highlight w:val="none"/>
        </w:rPr>
        <w:t>层次分明</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简单易懂，以便高效指导</w:t>
      </w:r>
      <w:r>
        <w:rPr>
          <w:rFonts w:hint="default" w:ascii="Times New Roman" w:hAnsi="Times New Roman" w:cs="Times New Roman"/>
          <w:color w:val="auto"/>
          <w:sz w:val="24"/>
          <w:szCs w:val="24"/>
          <w:highlight w:val="none"/>
          <w:lang w:val="en-US" w:eastAsia="zh-CN"/>
        </w:rPr>
        <w:t>地方生态环境主管部门（审批部门）</w:t>
      </w:r>
      <w:r>
        <w:rPr>
          <w:rFonts w:hint="default" w:ascii="Times New Roman" w:hAnsi="Times New Roman" w:cs="Times New Roman"/>
          <w:color w:val="auto"/>
          <w:sz w:val="24"/>
          <w:szCs w:val="24"/>
          <w:highlight w:val="none"/>
        </w:rPr>
        <w:t>入河排污口</w:t>
      </w:r>
      <w:r>
        <w:rPr>
          <w:rFonts w:hint="default" w:ascii="Times New Roman" w:hAnsi="Times New Roman" w:cs="Times New Roman"/>
          <w:color w:val="auto"/>
          <w:sz w:val="24"/>
          <w:szCs w:val="24"/>
          <w:highlight w:val="none"/>
          <w:lang w:val="en-US" w:eastAsia="zh-CN"/>
        </w:rPr>
        <w:t>设置评估和</w:t>
      </w:r>
      <w:r>
        <w:rPr>
          <w:rFonts w:hint="default" w:ascii="Times New Roman" w:hAnsi="Times New Roman" w:cs="Times New Roman"/>
          <w:color w:val="auto"/>
          <w:sz w:val="24"/>
          <w:szCs w:val="24"/>
          <w:highlight w:val="none"/>
        </w:rPr>
        <w:t>审批工作。</w:t>
      </w:r>
    </w:p>
    <w:p>
      <w:pPr>
        <w:spacing w:line="360" w:lineRule="auto"/>
        <w:ind w:firstLine="480" w:firstLineChars="20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val="en-US" w:eastAsia="zh-CN"/>
        </w:rPr>
        <w:t>（4）协调性原则。与我国现行的入河排污口相关法律法规、标准规范衔接配套，在不违背现有法律条款要求的情况下明确入河排污口设置评估的技术要求。</w:t>
      </w:r>
    </w:p>
    <w:p>
      <w:pPr>
        <w:spacing w:line="360" w:lineRule="auto"/>
        <w:ind w:firstLine="480" w:firstLineChars="20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val="en-US" w:eastAsia="zh-CN"/>
        </w:rPr>
        <w:t>（5）广泛参与原则。标准制订过程应</w:t>
      </w:r>
      <w:r>
        <w:rPr>
          <w:rFonts w:hint="default" w:ascii="Times New Roman" w:hAnsi="Times New Roman" w:cs="Times New Roman"/>
          <w:color w:val="auto"/>
          <w:sz w:val="24"/>
          <w:szCs w:val="24"/>
          <w:highlight w:val="none"/>
        </w:rPr>
        <w:t>广泛听取</w:t>
      </w:r>
      <w:r>
        <w:rPr>
          <w:rFonts w:hint="default" w:ascii="Times New Roman" w:hAnsi="Times New Roman" w:cs="Times New Roman"/>
          <w:color w:val="auto"/>
          <w:sz w:val="24"/>
          <w:szCs w:val="24"/>
          <w:highlight w:val="none"/>
          <w:lang w:val="en-US" w:eastAsia="zh-CN"/>
        </w:rPr>
        <w:t>地方生态环境主管部门（审批部门）、</w:t>
      </w:r>
      <w:r>
        <w:rPr>
          <w:rFonts w:hint="default" w:ascii="Times New Roman" w:hAnsi="Times New Roman" w:cs="Times New Roman"/>
          <w:color w:val="auto"/>
          <w:sz w:val="24"/>
          <w:szCs w:val="24"/>
          <w:highlight w:val="none"/>
        </w:rPr>
        <w:t>相关学科和行业的专家、</w:t>
      </w:r>
      <w:r>
        <w:rPr>
          <w:rFonts w:hint="default" w:ascii="Times New Roman" w:hAnsi="Times New Roman" w:cs="Times New Roman"/>
          <w:color w:val="auto"/>
          <w:sz w:val="24"/>
          <w:szCs w:val="24"/>
          <w:highlight w:val="none"/>
          <w:lang w:val="en-US" w:eastAsia="zh-CN"/>
        </w:rPr>
        <w:t>入河排污口设置论证报告编制</w:t>
      </w:r>
      <w:r>
        <w:rPr>
          <w:rFonts w:hint="default" w:ascii="Times New Roman" w:hAnsi="Times New Roman" w:cs="Times New Roman"/>
          <w:color w:val="auto"/>
          <w:sz w:val="24"/>
          <w:szCs w:val="24"/>
          <w:highlight w:val="none"/>
        </w:rPr>
        <w:t>单位及其他有关单位的</w:t>
      </w:r>
      <w:r>
        <w:rPr>
          <w:rFonts w:hint="default" w:ascii="Times New Roman" w:hAnsi="Times New Roman" w:cs="Times New Roman"/>
          <w:color w:val="auto"/>
          <w:sz w:val="24"/>
          <w:szCs w:val="24"/>
          <w:highlight w:val="none"/>
          <w:lang w:val="en-US" w:eastAsia="zh-CN"/>
        </w:rPr>
        <w:t>意见、建议，确保本标准对入河排污口设置技术评估具有普遍指导意义。</w:t>
      </w:r>
    </w:p>
    <w:p>
      <w:pPr>
        <w:pStyle w:val="5"/>
        <w:numPr>
          <w:ilvl w:val="0"/>
          <w:numId w:val="0"/>
        </w:numPr>
        <w:spacing w:before="0" w:after="0" w:line="360" w:lineRule="auto"/>
        <w:rPr>
          <w:rFonts w:hint="default" w:ascii="Times New Roman" w:hAnsi="Times New Roman" w:eastAsia="宋体" w:cs="Times New Roman"/>
          <w:b/>
          <w:color w:val="auto"/>
          <w:szCs w:val="24"/>
          <w:highlight w:val="none"/>
          <w:lang w:val="en-US" w:eastAsia="zh-CN"/>
        </w:rPr>
      </w:pPr>
      <w:bookmarkStart w:id="59" w:name="_Toc11863"/>
      <w:bookmarkStart w:id="60" w:name="_Toc520231431"/>
      <w:bookmarkStart w:id="61" w:name="_Toc520232097"/>
      <w:bookmarkStart w:id="62" w:name="_Toc520232871"/>
      <w:bookmarkStart w:id="63" w:name="_Toc22484326"/>
      <w:r>
        <w:rPr>
          <w:rFonts w:hint="eastAsia" w:ascii="Times New Roman" w:hAnsi="Times New Roman" w:eastAsia="宋体" w:cs="Times New Roman"/>
          <w:b/>
          <w:color w:val="auto"/>
          <w:szCs w:val="24"/>
          <w:highlight w:val="none"/>
          <w:lang w:val="en-US" w:eastAsia="zh-CN"/>
        </w:rPr>
        <w:t>2</w:t>
      </w:r>
      <w:r>
        <w:rPr>
          <w:rFonts w:hint="default" w:ascii="Times New Roman" w:hAnsi="Times New Roman" w:eastAsia="宋体" w:cs="Times New Roman"/>
          <w:b/>
          <w:color w:val="auto"/>
          <w:szCs w:val="24"/>
          <w:highlight w:val="none"/>
        </w:rPr>
        <w:t>.</w:t>
      </w:r>
      <w:r>
        <w:rPr>
          <w:rFonts w:hint="default" w:ascii="Times New Roman" w:hAnsi="Times New Roman" w:eastAsia="宋体" w:cs="Times New Roman"/>
          <w:b/>
          <w:color w:val="auto"/>
          <w:szCs w:val="24"/>
          <w:highlight w:val="none"/>
          <w:lang w:val="en-US" w:eastAsia="zh-CN"/>
        </w:rPr>
        <w:t>2</w:t>
      </w:r>
      <w:r>
        <w:rPr>
          <w:rFonts w:hint="default" w:ascii="Times New Roman" w:hAnsi="Times New Roman" w:eastAsia="宋体" w:cs="Times New Roman"/>
          <w:b/>
          <w:color w:val="auto"/>
          <w:szCs w:val="24"/>
          <w:highlight w:val="none"/>
        </w:rPr>
        <w:t xml:space="preserve">  </w:t>
      </w:r>
      <w:r>
        <w:rPr>
          <w:rFonts w:hint="default" w:ascii="Times New Roman" w:hAnsi="Times New Roman" w:eastAsia="宋体" w:cs="Times New Roman"/>
          <w:b/>
          <w:color w:val="auto"/>
          <w:szCs w:val="24"/>
          <w:highlight w:val="none"/>
          <w:lang w:val="en-US" w:eastAsia="zh-CN"/>
        </w:rPr>
        <w:t>工作方法</w:t>
      </w:r>
      <w:bookmarkEnd w:id="59"/>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本标准编制中拟采用的主要工作方法包括：资料调查、数据分析、现场调研、咨询研讨、征询意见等。</w:t>
      </w:r>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 xml:space="preserve">（1）资料调查法 </w:t>
      </w:r>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通过文献、资料调查分析，梳理国内入河排污口设置审批质量保证相关法律法规、标准规范和政策文件等，总结现有入河排污口设置审批相关的实践成果。</w:t>
      </w:r>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 xml:space="preserve">（2）数据分析法 </w:t>
      </w:r>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依托</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lang w:val="en-US" w:eastAsia="zh-CN"/>
        </w:rPr>
        <w:t>全国入河排污口监督管理信息化平台</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lang w:val="en-US" w:eastAsia="zh-CN"/>
        </w:rPr>
        <w:t>相关数据信息，统计分析陕西省已审批入河排污口基本情况，同时结合现场调研，梳理总结入河排污口设置审批存在的典型质量问题，为标准编制内容的重点和方向提供参考。</w:t>
      </w:r>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（3）现场调研法</w:t>
      </w:r>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赴地方生态环境主管部门（审批部门）等相关部门通过现场调查、座谈会等方式，了解和总结入河排污口技术评估过程中存在的具体问题以及对标准编制工作的具体意见和建议。</w:t>
      </w:r>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 xml:space="preserve">（4）咨询研讨法 </w:t>
      </w:r>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针对标准编制过程中的重难点问题，邀请领域和行业相关专家，进行专家咨询论证和专题研讨，深入研讨、逐个击破、妥善解决相关问题。</w:t>
      </w:r>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 xml:space="preserve">（5）征询意见 </w:t>
      </w:r>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向地方生态环境主管部门（审批部门）、第三方技术服务机构等广泛征求意见，通过对意见的汇总、分析，对标准征求意见稿进行相应的修正完善。</w:t>
      </w:r>
    </w:p>
    <w:p>
      <w:pPr>
        <w:pStyle w:val="5"/>
        <w:numPr>
          <w:ilvl w:val="0"/>
          <w:numId w:val="0"/>
        </w:numPr>
        <w:spacing w:before="0" w:after="0" w:line="360" w:lineRule="auto"/>
        <w:rPr>
          <w:rFonts w:hint="default" w:ascii="Times New Roman" w:hAnsi="Times New Roman" w:eastAsia="宋体" w:cs="Times New Roman"/>
          <w:b/>
          <w:color w:val="auto"/>
          <w:szCs w:val="24"/>
          <w:highlight w:val="none"/>
        </w:rPr>
      </w:pPr>
      <w:bookmarkStart w:id="64" w:name="_Toc7114"/>
      <w:r>
        <w:rPr>
          <w:rFonts w:hint="eastAsia" w:ascii="Times New Roman" w:hAnsi="Times New Roman" w:eastAsia="宋体" w:cs="Times New Roman"/>
          <w:b/>
          <w:color w:val="auto"/>
          <w:szCs w:val="24"/>
          <w:highlight w:val="none"/>
          <w:lang w:val="en-US" w:eastAsia="zh-CN"/>
        </w:rPr>
        <w:t>2</w:t>
      </w:r>
      <w:r>
        <w:rPr>
          <w:rFonts w:hint="default" w:ascii="Times New Roman" w:hAnsi="Times New Roman" w:eastAsia="宋体" w:cs="Times New Roman"/>
          <w:b/>
          <w:color w:val="auto"/>
          <w:szCs w:val="24"/>
          <w:highlight w:val="none"/>
        </w:rPr>
        <w:t>.</w:t>
      </w:r>
      <w:r>
        <w:rPr>
          <w:rFonts w:hint="default" w:ascii="Times New Roman" w:hAnsi="Times New Roman" w:eastAsia="宋体" w:cs="Times New Roman"/>
          <w:b/>
          <w:color w:val="auto"/>
          <w:szCs w:val="24"/>
          <w:highlight w:val="none"/>
          <w:lang w:val="en-US" w:eastAsia="zh-CN"/>
        </w:rPr>
        <w:t>3</w:t>
      </w:r>
      <w:r>
        <w:rPr>
          <w:rFonts w:hint="default" w:ascii="Times New Roman" w:hAnsi="Times New Roman" w:eastAsia="宋体" w:cs="Times New Roman"/>
          <w:b/>
          <w:color w:val="auto"/>
          <w:szCs w:val="24"/>
          <w:highlight w:val="none"/>
        </w:rPr>
        <w:t xml:space="preserve">  技术路线</w:t>
      </w:r>
      <w:bookmarkEnd w:id="60"/>
      <w:bookmarkEnd w:id="61"/>
      <w:bookmarkEnd w:id="62"/>
      <w:bookmarkEnd w:id="63"/>
      <w:bookmarkEnd w:id="64"/>
    </w:p>
    <w:p>
      <w:pPr>
        <w:spacing w:line="360" w:lineRule="auto"/>
        <w:ind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本标准</w:t>
      </w:r>
      <w:r>
        <w:rPr>
          <w:rFonts w:hint="default" w:ascii="Times New Roman" w:hAnsi="Times New Roman" w:cs="Times New Roman"/>
          <w:color w:val="auto"/>
          <w:sz w:val="24"/>
          <w:szCs w:val="24"/>
          <w:highlight w:val="none"/>
          <w:lang w:val="en-US" w:eastAsia="zh-CN"/>
        </w:rPr>
        <w:t>在编制过程中紧密围绕《入河入海排污口监督管理技术指南  入河排污口设置》（HJ 1386-2024），在系统梳理入河排污口设置审批存在的问题以及生态环境主管部门（审批部门）在入河排污口设置审批工作种的诉求，充分了解掌握入河排污口设置论证报告应关注的重点难点内容，拟定了标准内容并采用专家咨询等方式进行完善。具体</w:t>
      </w:r>
      <w:r>
        <w:rPr>
          <w:rFonts w:hint="default" w:ascii="Times New Roman" w:hAnsi="Times New Roman" w:cs="Times New Roman"/>
          <w:color w:val="auto"/>
          <w:sz w:val="24"/>
          <w:szCs w:val="24"/>
          <w:highlight w:val="none"/>
        </w:rPr>
        <w:t>技术路线图如图1。</w:t>
      </w:r>
    </w:p>
    <w:p>
      <w:pPr>
        <w:spacing w:line="360" w:lineRule="auto"/>
        <w:ind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object>
          <v:shape id="_x0000_i1025" o:spt="75" type="#_x0000_t75" style="height:359.9pt;width:402pt;" o:ole="t" filled="f" o:preferrelative="t" stroked="f" coordsize="21600,21600">
            <v:path/>
            <v:fill on="f" focussize="0,0"/>
            <v:stroke on="f"/>
            <v:imagedata r:id="rId9" o:title=""/>
            <o:lock v:ext="edit" aspectratio="f"/>
            <w10:wrap type="none"/>
            <w10:anchorlock/>
          </v:shape>
          <o:OLEObject Type="Embed" ProgID="Visio.Drawing.15" ShapeID="_x0000_i1025" DrawAspect="Content" ObjectID="_1468075725" r:id="rId8">
            <o:LockedField>false</o:LockedField>
          </o:OLEObject>
        </w:object>
      </w:r>
    </w:p>
    <w:p>
      <w:pPr>
        <w:pStyle w:val="49"/>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图1  本标准技术路线图</w:t>
      </w:r>
    </w:p>
    <w:p>
      <w:pPr>
        <w:pStyle w:val="5"/>
        <w:numPr>
          <w:ilvl w:val="0"/>
          <w:numId w:val="0"/>
        </w:numPr>
        <w:spacing w:before="0" w:after="0" w:line="360" w:lineRule="auto"/>
        <w:rPr>
          <w:rFonts w:hint="default" w:ascii="Times New Roman" w:hAnsi="Times New Roman" w:eastAsia="宋体" w:cs="Times New Roman"/>
          <w:b/>
          <w:color w:val="auto"/>
          <w:szCs w:val="24"/>
          <w:highlight w:val="none"/>
          <w:lang w:val="en-US" w:eastAsia="zh-CN"/>
        </w:rPr>
      </w:pPr>
      <w:bookmarkStart w:id="65" w:name="_Toc31245"/>
      <w:r>
        <w:rPr>
          <w:rFonts w:hint="eastAsia" w:ascii="Times New Roman" w:hAnsi="Times New Roman" w:eastAsia="宋体" w:cs="Times New Roman"/>
          <w:b/>
          <w:color w:val="auto"/>
          <w:szCs w:val="24"/>
          <w:highlight w:val="none"/>
          <w:lang w:val="en-US" w:eastAsia="zh-CN"/>
        </w:rPr>
        <w:t>2</w:t>
      </w:r>
      <w:r>
        <w:rPr>
          <w:rFonts w:hint="default" w:ascii="Times New Roman" w:hAnsi="Times New Roman" w:eastAsia="宋体" w:cs="Times New Roman"/>
          <w:b/>
          <w:color w:val="auto"/>
          <w:szCs w:val="24"/>
          <w:highlight w:val="none"/>
        </w:rPr>
        <w:t>.</w:t>
      </w:r>
      <w:r>
        <w:rPr>
          <w:rFonts w:hint="default" w:ascii="Times New Roman" w:hAnsi="Times New Roman" w:eastAsia="宋体" w:cs="Times New Roman"/>
          <w:b/>
          <w:color w:val="auto"/>
          <w:szCs w:val="24"/>
          <w:highlight w:val="none"/>
          <w:lang w:val="en-US" w:eastAsia="zh-CN"/>
        </w:rPr>
        <w:t>4</w:t>
      </w:r>
      <w:r>
        <w:rPr>
          <w:rFonts w:hint="default" w:ascii="Times New Roman" w:hAnsi="Times New Roman" w:eastAsia="宋体" w:cs="Times New Roman"/>
          <w:b/>
          <w:color w:val="auto"/>
          <w:szCs w:val="24"/>
          <w:highlight w:val="none"/>
        </w:rPr>
        <w:t xml:space="preserve"> </w:t>
      </w:r>
      <w:r>
        <w:rPr>
          <w:rFonts w:hint="default" w:ascii="Times New Roman" w:hAnsi="Times New Roman" w:eastAsia="宋体" w:cs="Times New Roman"/>
          <w:b/>
          <w:color w:val="auto"/>
          <w:szCs w:val="24"/>
          <w:highlight w:val="none"/>
          <w:lang w:val="en-US" w:eastAsia="zh-CN"/>
        </w:rPr>
        <w:t>编制依据</w:t>
      </w:r>
      <w:bookmarkEnd w:id="65"/>
    </w:p>
    <w:p>
      <w:pPr>
        <w:spacing w:line="360" w:lineRule="auto"/>
        <w:ind w:firstLine="480" w:firstLineChars="200"/>
        <w:jc w:val="left"/>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lang w:val="en-US" w:eastAsia="zh-CN"/>
        </w:rPr>
        <w:t>1</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《入河排污口监督管理办法》（</w:t>
      </w:r>
      <w:r>
        <w:rPr>
          <w:rFonts w:hint="default" w:ascii="Times New Roman" w:hAnsi="Times New Roman" w:cs="Times New Roman"/>
          <w:color w:val="auto"/>
          <w:sz w:val="24"/>
          <w:szCs w:val="24"/>
          <w:highlight w:val="none"/>
          <w:lang w:val="en-US" w:eastAsia="zh-CN"/>
        </w:rPr>
        <w:t>生态环境部令第35号</w:t>
      </w:r>
      <w:r>
        <w:rPr>
          <w:rFonts w:hint="default" w:ascii="Times New Roman" w:hAnsi="Times New Roman" w:cs="Times New Roman"/>
          <w:color w:val="auto"/>
          <w:sz w:val="24"/>
          <w:szCs w:val="24"/>
          <w:highlight w:val="none"/>
        </w:rPr>
        <w:t>）</w:t>
      </w:r>
    </w:p>
    <w:p>
      <w:pPr>
        <w:spacing w:line="360" w:lineRule="auto"/>
        <w:ind w:firstLine="480" w:firstLineChars="200"/>
        <w:jc w:val="left"/>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val="en-US" w:eastAsia="zh-CN"/>
        </w:rPr>
        <w:t>（2）《生态环境标准管理办法》（生态环境部令第17号）</w:t>
      </w:r>
    </w:p>
    <w:p>
      <w:pPr>
        <w:spacing w:line="360" w:lineRule="auto"/>
        <w:ind w:firstLine="480" w:firstLineChars="200"/>
        <w:jc w:val="left"/>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（3）环境影响评价技术导则 地表水环境（HJ 2.3）</w:t>
      </w:r>
    </w:p>
    <w:p>
      <w:pPr>
        <w:spacing w:line="360" w:lineRule="auto"/>
        <w:ind w:firstLine="480" w:firstLineChars="200"/>
        <w:jc w:val="left"/>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（4）环境影响评价技术导则  生态影响（HJ 19）</w:t>
      </w:r>
    </w:p>
    <w:p>
      <w:pPr>
        <w:spacing w:line="360" w:lineRule="auto"/>
        <w:ind w:firstLine="480" w:firstLineChars="200"/>
        <w:jc w:val="left"/>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（5）地表水环境质量监测技术规范（HJ 91.2）</w:t>
      </w:r>
    </w:p>
    <w:p>
      <w:pPr>
        <w:spacing w:line="360" w:lineRule="auto"/>
        <w:ind w:firstLine="480" w:firstLineChars="200"/>
        <w:jc w:val="left"/>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（6）排污许可证申请与核发技术规范  水处理（试行）（HJ 978）</w:t>
      </w:r>
    </w:p>
    <w:p>
      <w:pPr>
        <w:spacing w:line="360" w:lineRule="auto"/>
        <w:ind w:firstLine="480" w:firstLineChars="200"/>
        <w:jc w:val="left"/>
        <w:rPr>
          <w:rFonts w:hint="default" w:ascii="Times New Roman" w:hAnsi="Times New Roman" w:cs="Times New Roman"/>
          <w:color w:val="auto"/>
          <w:sz w:val="24"/>
          <w:szCs w:val="24"/>
          <w:highlight w:val="none"/>
          <w:lang w:eastAsia="zh-CN"/>
        </w:rPr>
      </w:pPr>
      <w:r>
        <w:rPr>
          <w:rFonts w:hint="default" w:ascii="Times New Roman" w:hAnsi="Times New Roman" w:cs="Times New Roman"/>
          <w:color w:val="auto"/>
          <w:sz w:val="24"/>
          <w:szCs w:val="24"/>
          <w:highlight w:val="none"/>
          <w:lang w:val="en-US" w:eastAsia="zh-CN"/>
        </w:rPr>
        <w:t>（7）</w:t>
      </w:r>
      <w:r>
        <w:rPr>
          <w:rFonts w:hint="default" w:ascii="Times New Roman" w:hAnsi="Times New Roman" w:cs="Times New Roman"/>
          <w:color w:val="auto"/>
          <w:sz w:val="24"/>
          <w:szCs w:val="24"/>
          <w:highlight w:val="none"/>
          <w:lang w:eastAsia="zh-CN"/>
        </w:rPr>
        <w:t>入河（海）排污口命名与编码规则（HJ 1235）</w:t>
      </w:r>
    </w:p>
    <w:p>
      <w:pPr>
        <w:spacing w:line="360" w:lineRule="auto"/>
        <w:ind w:firstLine="480" w:firstLineChars="200"/>
        <w:jc w:val="left"/>
        <w:rPr>
          <w:rFonts w:hint="default" w:ascii="Times New Roman" w:hAnsi="Times New Roman" w:cs="Times New Roman"/>
          <w:color w:val="auto"/>
          <w:sz w:val="24"/>
          <w:szCs w:val="24"/>
          <w:highlight w:val="none"/>
          <w:lang w:eastAsia="zh-CN"/>
        </w:rPr>
      </w:pPr>
      <w:r>
        <w:rPr>
          <w:rFonts w:hint="default" w:ascii="Times New Roman" w:hAnsi="Times New Roman" w:cs="Times New Roman"/>
          <w:color w:val="auto"/>
          <w:sz w:val="24"/>
          <w:szCs w:val="24"/>
          <w:highlight w:val="none"/>
          <w:lang w:val="en-US" w:eastAsia="zh-CN"/>
        </w:rPr>
        <w:t>（8）</w:t>
      </w:r>
      <w:r>
        <w:rPr>
          <w:rFonts w:hint="default" w:ascii="Times New Roman" w:hAnsi="Times New Roman" w:cs="Times New Roman"/>
          <w:color w:val="auto"/>
          <w:sz w:val="24"/>
          <w:szCs w:val="24"/>
          <w:highlight w:val="none"/>
          <w:lang w:eastAsia="zh-CN"/>
        </w:rPr>
        <w:t xml:space="preserve">入河入海排污口监督管理技术指南 </w:t>
      </w:r>
      <w:r>
        <w:rPr>
          <w:rFonts w:hint="default" w:ascii="Times New Roman" w:hAnsi="Times New Roman" w:cs="Times New Roman"/>
          <w:color w:val="auto"/>
          <w:sz w:val="24"/>
          <w:szCs w:val="24"/>
          <w:highlight w:val="none"/>
          <w:lang w:val="en-US" w:eastAsia="zh-CN"/>
        </w:rPr>
        <w:t xml:space="preserve"> </w:t>
      </w:r>
      <w:r>
        <w:rPr>
          <w:rFonts w:hint="default" w:ascii="Times New Roman" w:hAnsi="Times New Roman" w:cs="Times New Roman"/>
          <w:color w:val="auto"/>
          <w:sz w:val="24"/>
          <w:szCs w:val="24"/>
          <w:highlight w:val="none"/>
          <w:lang w:eastAsia="zh-CN"/>
        </w:rPr>
        <w:t>整治总则（HJ</w:t>
      </w:r>
      <w:r>
        <w:rPr>
          <w:rFonts w:hint="default" w:ascii="Times New Roman" w:hAnsi="Times New Roman" w:cs="Times New Roman"/>
          <w:color w:val="auto"/>
          <w:sz w:val="24"/>
          <w:szCs w:val="24"/>
          <w:highlight w:val="none"/>
          <w:lang w:val="en-US" w:eastAsia="zh-CN"/>
        </w:rPr>
        <w:t xml:space="preserve"> </w:t>
      </w:r>
      <w:r>
        <w:rPr>
          <w:rFonts w:hint="default" w:ascii="Times New Roman" w:hAnsi="Times New Roman" w:cs="Times New Roman"/>
          <w:color w:val="auto"/>
          <w:sz w:val="24"/>
          <w:szCs w:val="24"/>
          <w:highlight w:val="none"/>
          <w:lang w:eastAsia="zh-CN"/>
        </w:rPr>
        <w:t>1308）</w:t>
      </w:r>
    </w:p>
    <w:p>
      <w:pPr>
        <w:spacing w:line="360" w:lineRule="auto"/>
        <w:ind w:firstLine="480" w:firstLineChars="200"/>
        <w:jc w:val="left"/>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（9）入河入海排污口监督管理技术指南  入河排污口规范化建设（HJ 1309）</w:t>
      </w:r>
    </w:p>
    <w:p>
      <w:pPr>
        <w:spacing w:line="360" w:lineRule="auto"/>
        <w:ind w:firstLine="480" w:firstLineChars="200"/>
        <w:jc w:val="left"/>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（10）入河入海排污口监督管理技术指南  名词术语（HJ 1310）</w:t>
      </w:r>
    </w:p>
    <w:p>
      <w:pPr>
        <w:spacing w:line="360" w:lineRule="auto"/>
        <w:ind w:firstLine="480" w:firstLineChars="200"/>
        <w:jc w:val="left"/>
        <w:rPr>
          <w:rFonts w:hint="default" w:ascii="Times New Roman" w:hAnsi="Times New Roman" w:cs="Times New Roman"/>
          <w:color w:val="auto"/>
          <w:sz w:val="24"/>
          <w:szCs w:val="24"/>
          <w:highlight w:val="none"/>
          <w:lang w:eastAsia="zh-CN"/>
        </w:rPr>
      </w:pPr>
      <w:r>
        <w:rPr>
          <w:rFonts w:hint="default" w:ascii="Times New Roman" w:hAnsi="Times New Roman" w:cs="Times New Roman"/>
          <w:color w:val="auto"/>
          <w:sz w:val="24"/>
          <w:szCs w:val="24"/>
          <w:highlight w:val="none"/>
          <w:lang w:val="en-US" w:eastAsia="zh-CN"/>
        </w:rPr>
        <w:t>（11）</w:t>
      </w:r>
      <w:r>
        <w:rPr>
          <w:rFonts w:hint="default" w:ascii="Times New Roman" w:hAnsi="Times New Roman" w:cs="Times New Roman"/>
          <w:color w:val="auto"/>
          <w:sz w:val="24"/>
          <w:szCs w:val="24"/>
          <w:highlight w:val="none"/>
          <w:lang w:eastAsia="zh-CN"/>
        </w:rPr>
        <w:t xml:space="preserve">入河入海排污口监督管理技术指南 </w:t>
      </w:r>
      <w:r>
        <w:rPr>
          <w:rFonts w:hint="default" w:ascii="Times New Roman" w:hAnsi="Times New Roman" w:cs="Times New Roman"/>
          <w:color w:val="auto"/>
          <w:sz w:val="24"/>
          <w:szCs w:val="24"/>
          <w:highlight w:val="none"/>
          <w:lang w:val="en-US" w:eastAsia="zh-CN"/>
        </w:rPr>
        <w:t xml:space="preserve"> </w:t>
      </w:r>
      <w:r>
        <w:rPr>
          <w:rFonts w:hint="default" w:ascii="Times New Roman" w:hAnsi="Times New Roman" w:cs="Times New Roman"/>
          <w:color w:val="auto"/>
          <w:sz w:val="24"/>
          <w:szCs w:val="24"/>
          <w:highlight w:val="none"/>
          <w:lang w:eastAsia="zh-CN"/>
        </w:rPr>
        <w:t>排污口分类（HJ</w:t>
      </w:r>
      <w:r>
        <w:rPr>
          <w:rFonts w:hint="default" w:ascii="Times New Roman" w:hAnsi="Times New Roman" w:cs="Times New Roman"/>
          <w:color w:val="auto"/>
          <w:sz w:val="24"/>
          <w:szCs w:val="24"/>
          <w:highlight w:val="none"/>
          <w:lang w:val="en-US" w:eastAsia="zh-CN"/>
        </w:rPr>
        <w:t xml:space="preserve"> </w:t>
      </w:r>
      <w:r>
        <w:rPr>
          <w:rFonts w:hint="default" w:ascii="Times New Roman" w:hAnsi="Times New Roman" w:cs="Times New Roman"/>
          <w:color w:val="auto"/>
          <w:sz w:val="24"/>
          <w:szCs w:val="24"/>
          <w:highlight w:val="none"/>
          <w:lang w:eastAsia="zh-CN"/>
        </w:rPr>
        <w:t>1312）</w:t>
      </w:r>
    </w:p>
    <w:p>
      <w:pPr>
        <w:spacing w:line="360" w:lineRule="auto"/>
        <w:ind w:firstLine="480" w:firstLineChars="200"/>
        <w:jc w:val="left"/>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（12）入河入海排污口监督管理技术指南  入河排污口设置（HJ 1386）</w:t>
      </w:r>
    </w:p>
    <w:p>
      <w:pPr>
        <w:spacing w:line="360" w:lineRule="auto"/>
        <w:ind w:firstLine="480" w:firstLineChars="200"/>
        <w:jc w:val="left"/>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（13）入河入海排污口监督管理技术指南  监测（HJ 1387）</w:t>
      </w:r>
    </w:p>
    <w:p>
      <w:pPr>
        <w:spacing w:line="360" w:lineRule="auto"/>
        <w:ind w:firstLine="480" w:firstLineChars="20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lang w:bidi="ar"/>
        </w:rPr>
        <w:t>（</w:t>
      </w:r>
      <w:r>
        <w:rPr>
          <w:rFonts w:hint="default" w:ascii="Times New Roman" w:hAnsi="Times New Roman" w:cs="Times New Roman"/>
          <w:color w:val="auto"/>
          <w:sz w:val="24"/>
          <w:highlight w:val="none"/>
          <w:lang w:val="en-US" w:eastAsia="zh-CN" w:bidi="ar"/>
        </w:rPr>
        <w:t>14</w:t>
      </w:r>
      <w:r>
        <w:rPr>
          <w:rFonts w:hint="default" w:ascii="Times New Roman" w:hAnsi="Times New Roman" w:cs="Times New Roman"/>
          <w:color w:val="auto"/>
          <w:sz w:val="24"/>
          <w:highlight w:val="none"/>
          <w:lang w:bidi="ar"/>
        </w:rPr>
        <w:t>）《关于加强入河入海排污口监督管理工作的实施意见》</w:t>
      </w:r>
      <w:r>
        <w:rPr>
          <w:rFonts w:hint="default" w:ascii="Times New Roman" w:hAnsi="Times New Roman" w:cs="Times New Roman"/>
          <w:color w:val="auto"/>
          <w:sz w:val="24"/>
          <w:szCs w:val="24"/>
          <w:highlight w:val="none"/>
          <w:lang w:val="en-US" w:eastAsia="zh-CN"/>
        </w:rPr>
        <w:t>（</w:t>
      </w:r>
      <w:r>
        <w:rPr>
          <w:rFonts w:hint="default" w:ascii="Times New Roman" w:hAnsi="Times New Roman" w:cs="Times New Roman"/>
          <w:color w:val="auto"/>
          <w:sz w:val="24"/>
          <w:highlight w:val="none"/>
          <w:lang w:bidi="ar"/>
        </w:rPr>
        <w:t>国办函〔2022〕17号</w:t>
      </w:r>
      <w:r>
        <w:rPr>
          <w:rFonts w:hint="default" w:ascii="Times New Roman" w:hAnsi="Times New Roman" w:cs="Times New Roman"/>
          <w:color w:val="auto"/>
          <w:sz w:val="24"/>
          <w:szCs w:val="24"/>
          <w:highlight w:val="none"/>
          <w:lang w:val="en-US" w:eastAsia="zh-CN"/>
        </w:rPr>
        <w:t>）</w:t>
      </w:r>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（15）</w:t>
      </w:r>
      <w:r>
        <w:rPr>
          <w:rFonts w:hint="default" w:ascii="Times New Roman" w:hAnsi="Times New Roman" w:cs="Times New Roman"/>
          <w:color w:val="auto"/>
          <w:sz w:val="24"/>
          <w:highlight w:val="none"/>
          <w:lang w:bidi="ar"/>
        </w:rPr>
        <w:t>《</w:t>
      </w:r>
      <w:r>
        <w:rPr>
          <w:rFonts w:hint="default" w:ascii="Times New Roman" w:hAnsi="Times New Roman" w:cs="Times New Roman"/>
          <w:color w:val="auto"/>
          <w:sz w:val="24"/>
          <w:szCs w:val="24"/>
          <w:highlight w:val="none"/>
          <w:lang w:val="en-US" w:eastAsia="zh-CN"/>
        </w:rPr>
        <w:t>地表水环境质量评价办法（试行）</w:t>
      </w:r>
      <w:r>
        <w:rPr>
          <w:rFonts w:hint="default" w:ascii="Times New Roman" w:hAnsi="Times New Roman" w:cs="Times New Roman"/>
          <w:color w:val="auto"/>
          <w:sz w:val="24"/>
          <w:highlight w:val="none"/>
          <w:lang w:bidi="ar"/>
        </w:rPr>
        <w:t>》</w:t>
      </w:r>
      <w:r>
        <w:rPr>
          <w:rFonts w:hint="default" w:ascii="Times New Roman" w:hAnsi="Times New Roman" w:cs="Times New Roman"/>
          <w:color w:val="auto"/>
          <w:sz w:val="24"/>
          <w:szCs w:val="24"/>
          <w:highlight w:val="none"/>
          <w:lang w:val="en-US" w:eastAsia="zh-CN"/>
        </w:rPr>
        <w:t>（环办</w:t>
      </w:r>
      <w:r>
        <w:rPr>
          <w:rFonts w:hint="default" w:ascii="Times New Roman" w:hAnsi="Times New Roman" w:cs="Times New Roman"/>
          <w:color w:val="auto"/>
          <w:sz w:val="24"/>
          <w:highlight w:val="none"/>
          <w:lang w:bidi="ar"/>
        </w:rPr>
        <w:t>〔20</w:t>
      </w:r>
      <w:r>
        <w:rPr>
          <w:rFonts w:hint="default" w:ascii="Times New Roman" w:hAnsi="Times New Roman" w:cs="Times New Roman"/>
          <w:color w:val="auto"/>
          <w:sz w:val="24"/>
          <w:highlight w:val="none"/>
          <w:lang w:val="en-US" w:eastAsia="zh-CN" w:bidi="ar"/>
        </w:rPr>
        <w:t>11</w:t>
      </w:r>
      <w:r>
        <w:rPr>
          <w:rFonts w:hint="default" w:ascii="Times New Roman" w:hAnsi="Times New Roman" w:cs="Times New Roman"/>
          <w:color w:val="auto"/>
          <w:sz w:val="24"/>
          <w:highlight w:val="none"/>
          <w:lang w:bidi="ar"/>
        </w:rPr>
        <w:t>〕</w:t>
      </w:r>
      <w:r>
        <w:rPr>
          <w:rFonts w:hint="default" w:ascii="Times New Roman" w:hAnsi="Times New Roman" w:cs="Times New Roman"/>
          <w:color w:val="auto"/>
          <w:sz w:val="24"/>
          <w:szCs w:val="24"/>
          <w:highlight w:val="none"/>
          <w:lang w:val="en-US" w:eastAsia="zh-CN"/>
        </w:rPr>
        <w:t>12号）</w:t>
      </w:r>
    </w:p>
    <w:p>
      <w:pPr>
        <w:spacing w:line="360" w:lineRule="auto"/>
        <w:ind w:firstLine="480" w:firstLineChars="200"/>
        <w:rPr>
          <w:rFonts w:hint="default" w:ascii="Times New Roman" w:hAnsi="Times New Roman" w:cs="Times New Roman"/>
          <w:color w:val="auto"/>
          <w:sz w:val="24"/>
          <w:highlight w:val="none"/>
          <w:lang w:bidi="ar"/>
        </w:rPr>
      </w:pPr>
      <w:r>
        <w:rPr>
          <w:rFonts w:hint="default" w:ascii="Times New Roman" w:hAnsi="Times New Roman" w:cs="Times New Roman"/>
          <w:color w:val="auto"/>
          <w:sz w:val="24"/>
          <w:highlight w:val="none"/>
          <w:lang w:bidi="ar"/>
        </w:rPr>
        <w:t>（</w:t>
      </w:r>
      <w:r>
        <w:rPr>
          <w:rFonts w:hint="default" w:ascii="Times New Roman" w:hAnsi="Times New Roman" w:cs="Times New Roman"/>
          <w:color w:val="auto"/>
          <w:sz w:val="24"/>
          <w:highlight w:val="none"/>
          <w:lang w:val="en-US" w:eastAsia="zh-CN" w:bidi="ar"/>
        </w:rPr>
        <w:t>16</w:t>
      </w:r>
      <w:r>
        <w:rPr>
          <w:rFonts w:hint="default" w:ascii="Times New Roman" w:hAnsi="Times New Roman" w:cs="Times New Roman"/>
          <w:color w:val="auto"/>
          <w:sz w:val="24"/>
          <w:highlight w:val="none"/>
          <w:lang w:bidi="ar"/>
        </w:rPr>
        <w:t>）《关于做好入河排污口和水功能区划相关工作的通知》（环办水体〔20</w:t>
      </w:r>
      <w:r>
        <w:rPr>
          <w:rFonts w:hint="default" w:ascii="Times New Roman" w:hAnsi="Times New Roman" w:cs="Times New Roman"/>
          <w:color w:val="auto"/>
          <w:sz w:val="24"/>
          <w:highlight w:val="none"/>
          <w:lang w:val="en-US" w:eastAsia="zh-CN" w:bidi="ar"/>
        </w:rPr>
        <w:t>19</w:t>
      </w:r>
      <w:r>
        <w:rPr>
          <w:rFonts w:hint="default" w:ascii="Times New Roman" w:hAnsi="Times New Roman" w:cs="Times New Roman"/>
          <w:color w:val="auto"/>
          <w:sz w:val="24"/>
          <w:highlight w:val="none"/>
          <w:lang w:bidi="ar"/>
        </w:rPr>
        <w:t>〕36号）</w:t>
      </w:r>
    </w:p>
    <w:p>
      <w:pPr>
        <w:spacing w:line="360" w:lineRule="auto"/>
        <w:ind w:firstLine="480" w:firstLineChars="200"/>
        <w:rPr>
          <w:rFonts w:hint="default" w:ascii="Times New Roman" w:hAnsi="Times New Roman" w:cs="Times New Roman"/>
          <w:color w:val="auto"/>
          <w:sz w:val="24"/>
          <w:highlight w:val="none"/>
          <w:lang w:bidi="ar"/>
        </w:rPr>
      </w:pPr>
      <w:r>
        <w:rPr>
          <w:rFonts w:hint="default" w:ascii="Times New Roman" w:hAnsi="Times New Roman" w:cs="Times New Roman"/>
          <w:color w:val="auto"/>
          <w:sz w:val="24"/>
          <w:highlight w:val="none"/>
          <w:lang w:bidi="ar"/>
        </w:rPr>
        <w:t>（</w:t>
      </w:r>
      <w:r>
        <w:rPr>
          <w:rFonts w:hint="default" w:ascii="Times New Roman" w:hAnsi="Times New Roman" w:cs="Times New Roman"/>
          <w:color w:val="auto"/>
          <w:sz w:val="24"/>
          <w:highlight w:val="none"/>
          <w:lang w:val="en-US" w:eastAsia="zh-CN" w:bidi="ar"/>
        </w:rPr>
        <w:t>17</w:t>
      </w:r>
      <w:r>
        <w:rPr>
          <w:rFonts w:hint="default" w:ascii="Times New Roman" w:hAnsi="Times New Roman" w:cs="Times New Roman"/>
          <w:color w:val="auto"/>
          <w:sz w:val="24"/>
          <w:highlight w:val="none"/>
          <w:lang w:bidi="ar"/>
        </w:rPr>
        <w:t>）《关于贯彻落实国务院办公厅关于加强入河入海排污口监督管理工作的实施意见》（环办水体〔2022〕34号）</w:t>
      </w:r>
    </w:p>
    <w:p>
      <w:pPr>
        <w:spacing w:line="360" w:lineRule="auto"/>
        <w:ind w:firstLine="480" w:firstLineChars="200"/>
        <w:rPr>
          <w:rFonts w:hint="default" w:ascii="Times New Roman" w:hAnsi="Times New Roman" w:cs="Times New Roman"/>
          <w:color w:val="auto"/>
          <w:sz w:val="24"/>
          <w:highlight w:val="none"/>
          <w:lang w:bidi="ar"/>
        </w:rPr>
      </w:pPr>
      <w:r>
        <w:rPr>
          <w:rFonts w:hint="default" w:ascii="Times New Roman" w:hAnsi="Times New Roman" w:cs="Times New Roman"/>
          <w:color w:val="auto"/>
          <w:sz w:val="24"/>
          <w:highlight w:val="none"/>
          <w:lang w:bidi="ar"/>
        </w:rPr>
        <w:t>（</w:t>
      </w:r>
      <w:r>
        <w:rPr>
          <w:rFonts w:hint="default" w:ascii="Times New Roman" w:hAnsi="Times New Roman" w:cs="Times New Roman"/>
          <w:color w:val="auto"/>
          <w:sz w:val="24"/>
          <w:highlight w:val="none"/>
          <w:lang w:val="en-US" w:eastAsia="zh-CN" w:bidi="ar"/>
        </w:rPr>
        <w:t>18</w:t>
      </w:r>
      <w:r>
        <w:rPr>
          <w:rFonts w:hint="default" w:ascii="Times New Roman" w:hAnsi="Times New Roman" w:cs="Times New Roman"/>
          <w:color w:val="auto"/>
          <w:sz w:val="24"/>
          <w:highlight w:val="none"/>
          <w:lang w:bidi="ar"/>
        </w:rPr>
        <w:t>）《关于规范我省入河排污口设置审批工作的通知》（陕环发〔2023〕22号）</w:t>
      </w:r>
    </w:p>
    <w:p>
      <w:pPr>
        <w:spacing w:line="360" w:lineRule="auto"/>
        <w:ind w:firstLine="480" w:firstLineChars="20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lang w:bidi="ar"/>
        </w:rPr>
        <w:t>（</w:t>
      </w:r>
      <w:r>
        <w:rPr>
          <w:rFonts w:hint="default" w:ascii="Times New Roman" w:hAnsi="Times New Roman" w:cs="Times New Roman"/>
          <w:color w:val="auto"/>
          <w:sz w:val="24"/>
          <w:highlight w:val="none"/>
          <w:lang w:val="en-US" w:eastAsia="zh-CN" w:bidi="ar"/>
        </w:rPr>
        <w:t>19</w:t>
      </w:r>
      <w:r>
        <w:rPr>
          <w:rFonts w:hint="default" w:ascii="Times New Roman" w:hAnsi="Times New Roman" w:cs="Times New Roman"/>
          <w:color w:val="auto"/>
          <w:sz w:val="24"/>
          <w:highlight w:val="none"/>
          <w:lang w:bidi="ar"/>
        </w:rPr>
        <w:t>）《陕西省入河排污口标识牌设置规则（推荐）》（陕环水体函〔2024〕49号</w:t>
      </w:r>
      <w:r>
        <w:rPr>
          <w:rFonts w:hint="default" w:ascii="Times New Roman" w:hAnsi="Times New Roman" w:cs="Times New Roman"/>
          <w:color w:val="auto"/>
          <w:sz w:val="24"/>
          <w:highlight w:val="none"/>
          <w:lang w:eastAsia="zh-CN" w:bidi="ar"/>
        </w:rPr>
        <w:t>）</w:t>
      </w:r>
    </w:p>
    <w:p>
      <w:pPr>
        <w:pStyle w:val="4"/>
        <w:numPr>
          <w:ilvl w:val="0"/>
          <w:numId w:val="0"/>
        </w:numPr>
        <w:spacing w:line="360" w:lineRule="auto"/>
        <w:rPr>
          <w:rFonts w:hint="default" w:ascii="Times New Roman" w:hAnsi="Times New Roman" w:eastAsia="宋体" w:cs="Times New Roman"/>
          <w:b/>
          <w:color w:val="auto"/>
          <w:sz w:val="24"/>
          <w:szCs w:val="24"/>
          <w:highlight w:val="none"/>
        </w:rPr>
        <w:sectPr>
          <w:pgSz w:w="11906" w:h="16838"/>
          <w:pgMar w:top="1440" w:right="1576" w:bottom="1440" w:left="1576" w:header="851" w:footer="992" w:gutter="0"/>
          <w:pgNumType w:fmt="decimal"/>
          <w:cols w:space="0" w:num="1"/>
          <w:docGrid w:type="lines" w:linePitch="312" w:charSpace="0"/>
        </w:sectPr>
      </w:pPr>
    </w:p>
    <w:p>
      <w:pPr>
        <w:pStyle w:val="5"/>
        <w:numPr>
          <w:ilvl w:val="0"/>
          <w:numId w:val="0"/>
        </w:numPr>
        <w:spacing w:before="0" w:after="0" w:line="360" w:lineRule="auto"/>
        <w:rPr>
          <w:rFonts w:hint="default" w:ascii="Times New Roman" w:hAnsi="Times New Roman" w:eastAsia="宋体" w:cs="Times New Roman"/>
          <w:b/>
          <w:color w:val="auto"/>
          <w:szCs w:val="24"/>
          <w:highlight w:val="none"/>
          <w:lang w:val="en-US" w:eastAsia="zh-CN"/>
        </w:rPr>
      </w:pPr>
      <w:bookmarkStart w:id="66" w:name="_Toc91821291"/>
      <w:bookmarkStart w:id="67" w:name="_Toc95293212"/>
      <w:bookmarkStart w:id="68" w:name="_Toc5310"/>
      <w:bookmarkStart w:id="69" w:name="_Toc2658"/>
      <w:bookmarkStart w:id="70" w:name="_Toc91819018"/>
      <w:bookmarkStart w:id="71" w:name="_Toc102360210"/>
      <w:bookmarkStart w:id="72" w:name="_Toc29690_WPSOffice_Level1"/>
      <w:r>
        <w:rPr>
          <w:rFonts w:hint="eastAsia" w:ascii="Times New Roman" w:hAnsi="Times New Roman" w:eastAsia="宋体" w:cs="Times New Roman"/>
          <w:b/>
          <w:color w:val="auto"/>
          <w:szCs w:val="24"/>
          <w:highlight w:val="none"/>
          <w:lang w:val="en-US" w:eastAsia="zh-CN"/>
        </w:rPr>
        <w:t>2.5</w:t>
      </w:r>
      <w:r>
        <w:rPr>
          <w:rFonts w:hint="default" w:ascii="Times New Roman" w:hAnsi="Times New Roman" w:eastAsia="宋体" w:cs="Times New Roman"/>
          <w:b/>
          <w:color w:val="auto"/>
          <w:szCs w:val="24"/>
          <w:highlight w:val="none"/>
          <w:lang w:val="en-US" w:eastAsia="zh-CN"/>
        </w:rPr>
        <w:t xml:space="preserve"> 标准主要内容说明</w:t>
      </w:r>
      <w:bookmarkEnd w:id="66"/>
      <w:bookmarkEnd w:id="67"/>
      <w:bookmarkEnd w:id="68"/>
      <w:bookmarkEnd w:id="69"/>
      <w:bookmarkEnd w:id="70"/>
      <w:bookmarkEnd w:id="71"/>
      <w:bookmarkEnd w:id="72"/>
    </w:p>
    <w:p>
      <w:pPr>
        <w:spacing w:line="360" w:lineRule="auto"/>
        <w:ind w:firstLine="482" w:firstLineChars="200"/>
        <w:outlineLvl w:val="2"/>
        <w:rPr>
          <w:rFonts w:hint="default" w:ascii="Times New Roman" w:hAnsi="Times New Roman" w:cs="Times New Roman"/>
          <w:b/>
          <w:bCs/>
          <w:color w:val="auto"/>
          <w:sz w:val="24"/>
          <w:szCs w:val="24"/>
          <w:highlight w:val="none"/>
          <w:lang w:val="en-US" w:eastAsia="zh-CN"/>
        </w:rPr>
      </w:pPr>
      <w:bookmarkStart w:id="73" w:name="_Toc15157"/>
      <w:bookmarkStart w:id="74" w:name="_Toc91821292"/>
      <w:bookmarkStart w:id="75" w:name="_Toc91819019"/>
      <w:bookmarkStart w:id="76" w:name="_Toc95293213"/>
      <w:bookmarkStart w:id="77" w:name="_Toc84405128"/>
      <w:bookmarkStart w:id="78" w:name="_Toc84908953"/>
      <w:bookmarkStart w:id="79" w:name="_Toc85248115"/>
      <w:bookmarkStart w:id="80" w:name="_Toc2347"/>
      <w:bookmarkStart w:id="81" w:name="_Toc102360211"/>
      <w:bookmarkStart w:id="82" w:name="_Toc9499_WPSOffice_Level2"/>
      <w:r>
        <w:rPr>
          <w:rFonts w:hint="eastAsia" w:ascii="Times New Roman" w:hAnsi="Times New Roman" w:cs="Times New Roman"/>
          <w:b/>
          <w:bCs/>
          <w:color w:val="auto"/>
          <w:sz w:val="24"/>
          <w:szCs w:val="24"/>
          <w:highlight w:val="none"/>
          <w:lang w:val="en-US" w:eastAsia="zh-CN"/>
        </w:rPr>
        <w:t>2.5</w:t>
      </w:r>
      <w:r>
        <w:rPr>
          <w:rFonts w:hint="default" w:ascii="Times New Roman" w:hAnsi="Times New Roman" w:cs="Times New Roman"/>
          <w:b/>
          <w:bCs/>
          <w:color w:val="auto"/>
          <w:sz w:val="24"/>
          <w:szCs w:val="24"/>
          <w:highlight w:val="none"/>
          <w:lang w:val="en-US" w:eastAsia="zh-CN"/>
        </w:rPr>
        <w:t>.1 标准框架</w:t>
      </w:r>
      <w:bookmarkEnd w:id="73"/>
    </w:p>
    <w:p>
      <w:pPr>
        <w:spacing w:line="360" w:lineRule="auto"/>
        <w:ind w:firstLine="480"/>
        <w:jc w:val="left"/>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val="en-US" w:eastAsia="zh-CN"/>
        </w:rPr>
        <w:t>本标准由前言、8个章节和</w:t>
      </w:r>
      <w:r>
        <w:rPr>
          <w:rFonts w:hint="eastAsia" w:ascii="Times New Roman" w:hAnsi="Times New Roman" w:cs="Times New Roman"/>
          <w:color w:val="auto"/>
          <w:sz w:val="24"/>
          <w:szCs w:val="24"/>
          <w:highlight w:val="none"/>
          <w:lang w:val="en-US" w:eastAsia="zh-CN"/>
        </w:rPr>
        <w:t>1</w:t>
      </w:r>
      <w:r>
        <w:rPr>
          <w:rFonts w:hint="default" w:ascii="Times New Roman" w:hAnsi="Times New Roman" w:cs="Times New Roman"/>
          <w:color w:val="auto"/>
          <w:sz w:val="24"/>
          <w:szCs w:val="24"/>
          <w:highlight w:val="none"/>
          <w:lang w:val="en-US" w:eastAsia="zh-CN"/>
        </w:rPr>
        <w:t>个附录组成。</w:t>
      </w:r>
    </w:p>
    <w:p>
      <w:pPr>
        <w:spacing w:line="360" w:lineRule="auto"/>
        <w:ind w:firstLine="480"/>
        <w:jc w:val="left"/>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8个章节分别为：范围、规范性引用文件、术语和定义、评估原则、评估程序、评估方法、评估要点、评估结论。</w:t>
      </w:r>
    </w:p>
    <w:p>
      <w:pPr>
        <w:spacing w:line="360" w:lineRule="auto"/>
        <w:ind w:firstLine="480"/>
        <w:jc w:val="left"/>
        <w:rPr>
          <w:rFonts w:hint="default"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1</w:t>
      </w:r>
      <w:r>
        <w:rPr>
          <w:rFonts w:hint="default" w:ascii="Times New Roman" w:hAnsi="Times New Roman" w:cs="Times New Roman"/>
          <w:color w:val="auto"/>
          <w:sz w:val="24"/>
          <w:szCs w:val="24"/>
          <w:highlight w:val="none"/>
          <w:lang w:val="en-US" w:eastAsia="zh-CN"/>
        </w:rPr>
        <w:t>个附录为资料性附录，为入河排污口设置论证报告技术评估报告编制提纲。</w:t>
      </w:r>
    </w:p>
    <w:p>
      <w:pPr>
        <w:spacing w:line="360" w:lineRule="auto"/>
        <w:ind w:firstLine="482" w:firstLineChars="200"/>
        <w:outlineLvl w:val="2"/>
        <w:rPr>
          <w:rFonts w:hint="default" w:ascii="Times New Roman" w:hAnsi="Times New Roman" w:cs="Times New Roman"/>
          <w:b/>
          <w:bCs/>
          <w:color w:val="auto"/>
          <w:sz w:val="24"/>
          <w:szCs w:val="24"/>
          <w:highlight w:val="none"/>
          <w:lang w:val="en-US" w:eastAsia="zh-CN"/>
        </w:rPr>
      </w:pPr>
      <w:bookmarkStart w:id="83" w:name="_Toc6579"/>
      <w:r>
        <w:rPr>
          <w:rFonts w:hint="eastAsia" w:ascii="Times New Roman" w:hAnsi="Times New Roman" w:cs="Times New Roman"/>
          <w:b/>
          <w:bCs/>
          <w:color w:val="auto"/>
          <w:sz w:val="24"/>
          <w:szCs w:val="24"/>
          <w:highlight w:val="none"/>
          <w:lang w:val="en-US" w:eastAsia="zh-CN"/>
        </w:rPr>
        <w:t>2.5</w:t>
      </w:r>
      <w:r>
        <w:rPr>
          <w:rFonts w:hint="default" w:ascii="Times New Roman" w:hAnsi="Times New Roman" w:cs="Times New Roman"/>
          <w:b/>
          <w:bCs/>
          <w:color w:val="auto"/>
          <w:sz w:val="24"/>
          <w:szCs w:val="24"/>
          <w:highlight w:val="none"/>
          <w:lang w:val="en-US" w:eastAsia="zh-CN"/>
        </w:rPr>
        <w:t>.</w:t>
      </w:r>
      <w:bookmarkEnd w:id="74"/>
      <w:bookmarkEnd w:id="75"/>
      <w:bookmarkEnd w:id="76"/>
      <w:bookmarkEnd w:id="77"/>
      <w:bookmarkEnd w:id="78"/>
      <w:bookmarkEnd w:id="79"/>
      <w:r>
        <w:rPr>
          <w:rFonts w:hint="default" w:ascii="Times New Roman" w:hAnsi="Times New Roman" w:cs="Times New Roman"/>
          <w:b/>
          <w:bCs/>
          <w:color w:val="auto"/>
          <w:sz w:val="24"/>
          <w:szCs w:val="24"/>
          <w:highlight w:val="none"/>
          <w:lang w:val="en-US" w:eastAsia="zh-CN"/>
        </w:rPr>
        <w:t>2 范围</w:t>
      </w:r>
      <w:bookmarkEnd w:id="80"/>
      <w:bookmarkEnd w:id="81"/>
      <w:bookmarkEnd w:id="82"/>
      <w:bookmarkEnd w:id="83"/>
    </w:p>
    <w:p>
      <w:pPr>
        <w:spacing w:line="360" w:lineRule="auto"/>
        <w:ind w:firstLine="480"/>
        <w:jc w:val="left"/>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本标准适用于在江河、湖泊、渠道、水库等地表水体新设、改设或者扩大入河排污口设置论证报告的技术评估，考虑到入河排污口简要分析材料部分章节内容编制要求简单，因此简要分析材料的技术评估参照执行。</w:t>
      </w:r>
    </w:p>
    <w:p>
      <w:pPr>
        <w:spacing w:line="360" w:lineRule="auto"/>
        <w:ind w:firstLine="482" w:firstLineChars="200"/>
        <w:outlineLvl w:val="2"/>
        <w:rPr>
          <w:rFonts w:hint="default" w:ascii="Times New Roman" w:hAnsi="Times New Roman" w:cs="Times New Roman"/>
          <w:b/>
          <w:bCs/>
          <w:color w:val="auto"/>
          <w:sz w:val="24"/>
          <w:szCs w:val="24"/>
          <w:highlight w:val="none"/>
          <w:lang w:val="en-US" w:eastAsia="zh-CN"/>
        </w:rPr>
      </w:pPr>
      <w:bookmarkStart w:id="84" w:name="_Toc85248117"/>
      <w:bookmarkStart w:id="85" w:name="_Toc95293215"/>
      <w:bookmarkStart w:id="86" w:name="_Toc84908955"/>
      <w:bookmarkStart w:id="87" w:name="_Toc84405130"/>
      <w:bookmarkStart w:id="88" w:name="_Toc91819021"/>
      <w:bookmarkStart w:id="89" w:name="_Toc91821294"/>
      <w:bookmarkStart w:id="90" w:name="_Toc20507_WPSOffice_Level2"/>
      <w:bookmarkStart w:id="91" w:name="_Toc7566"/>
      <w:bookmarkStart w:id="92" w:name="_Toc10243"/>
      <w:bookmarkStart w:id="93" w:name="_Toc102360212"/>
      <w:r>
        <w:rPr>
          <w:rFonts w:hint="eastAsia" w:ascii="Times New Roman" w:hAnsi="Times New Roman" w:cs="Times New Roman"/>
          <w:b/>
          <w:bCs/>
          <w:color w:val="auto"/>
          <w:sz w:val="24"/>
          <w:szCs w:val="24"/>
          <w:highlight w:val="none"/>
          <w:lang w:val="en-US" w:eastAsia="zh-CN"/>
        </w:rPr>
        <w:t>2.5</w:t>
      </w:r>
      <w:r>
        <w:rPr>
          <w:rFonts w:hint="default" w:ascii="Times New Roman" w:hAnsi="Times New Roman" w:cs="Times New Roman"/>
          <w:b/>
          <w:bCs/>
          <w:color w:val="auto"/>
          <w:sz w:val="24"/>
          <w:szCs w:val="24"/>
          <w:highlight w:val="none"/>
          <w:lang w:val="en-US" w:eastAsia="zh-CN"/>
        </w:rPr>
        <w:t>.3 规范</w:t>
      </w:r>
      <w:bookmarkEnd w:id="84"/>
      <w:bookmarkEnd w:id="85"/>
      <w:bookmarkEnd w:id="86"/>
      <w:bookmarkEnd w:id="87"/>
      <w:bookmarkEnd w:id="88"/>
      <w:bookmarkEnd w:id="89"/>
      <w:r>
        <w:rPr>
          <w:rFonts w:hint="default" w:ascii="Times New Roman" w:hAnsi="Times New Roman" w:cs="Times New Roman"/>
          <w:b/>
          <w:bCs/>
          <w:color w:val="auto"/>
          <w:sz w:val="24"/>
          <w:szCs w:val="24"/>
          <w:highlight w:val="none"/>
          <w:lang w:val="en-US" w:eastAsia="zh-CN"/>
        </w:rPr>
        <w:t>性引用文件</w:t>
      </w:r>
      <w:bookmarkEnd w:id="90"/>
      <w:bookmarkEnd w:id="91"/>
      <w:bookmarkEnd w:id="92"/>
      <w:bookmarkEnd w:id="93"/>
    </w:p>
    <w:p>
      <w:pPr>
        <w:spacing w:line="360" w:lineRule="auto"/>
        <w:ind w:firstLine="480" w:firstLineChars="200"/>
        <w:jc w:val="left"/>
        <w:rPr>
          <w:rFonts w:hint="default" w:ascii="Times New Roman" w:hAnsi="Times New Roman" w:cs="Times New Roman"/>
          <w:color w:val="auto"/>
          <w:sz w:val="24"/>
          <w:szCs w:val="24"/>
          <w:highlight w:val="none"/>
        </w:rPr>
      </w:pPr>
      <w:bookmarkStart w:id="94" w:name="_Toc85248119"/>
      <w:bookmarkStart w:id="95" w:name="_Toc91819023"/>
      <w:bookmarkStart w:id="96" w:name="_Toc95293217"/>
      <w:bookmarkStart w:id="97" w:name="_Toc91821296"/>
      <w:bookmarkStart w:id="98" w:name="_Toc84908957"/>
      <w:bookmarkStart w:id="99" w:name="_Toc84405132"/>
      <w:bookmarkStart w:id="100" w:name="_Toc16687"/>
      <w:bookmarkStart w:id="101" w:name="_Toc102360213"/>
      <w:bookmarkStart w:id="102" w:name="_Toc31912_WPSOffice_Level2"/>
      <w:r>
        <w:rPr>
          <w:rFonts w:hint="default" w:ascii="Times New Roman" w:hAnsi="Times New Roman" w:cs="Times New Roman"/>
          <w:color w:val="auto"/>
          <w:sz w:val="24"/>
          <w:szCs w:val="24"/>
          <w:highlight w:val="none"/>
        </w:rPr>
        <w:t>本节内容给出了本标准引用的有关文件名称及文号，</w:t>
      </w:r>
      <w:r>
        <w:rPr>
          <w:rFonts w:hint="default" w:ascii="Times New Roman" w:hAnsi="Times New Roman" w:cs="Times New Roman"/>
          <w:color w:val="auto"/>
          <w:sz w:val="24"/>
          <w:szCs w:val="24"/>
          <w:highlight w:val="none"/>
          <w:lang w:val="en-US" w:eastAsia="zh-CN"/>
        </w:rPr>
        <w:t>凡是注明</w:t>
      </w:r>
      <w:r>
        <w:rPr>
          <w:rFonts w:hint="default" w:ascii="Times New Roman" w:hAnsi="Times New Roman" w:cs="Times New Roman"/>
          <w:color w:val="auto"/>
          <w:sz w:val="24"/>
          <w:szCs w:val="24"/>
          <w:highlight w:val="none"/>
        </w:rPr>
        <w:t>日期的引用文件，仅</w:t>
      </w:r>
      <w:r>
        <w:rPr>
          <w:rFonts w:hint="default" w:ascii="Times New Roman" w:hAnsi="Times New Roman" w:cs="Times New Roman"/>
          <w:color w:val="auto"/>
          <w:sz w:val="24"/>
          <w:szCs w:val="24"/>
          <w:highlight w:val="none"/>
          <w:lang w:val="en-US" w:eastAsia="zh-CN"/>
        </w:rPr>
        <w:t>注</w:t>
      </w:r>
      <w:r>
        <w:rPr>
          <w:rFonts w:hint="default" w:ascii="Times New Roman" w:hAnsi="Times New Roman" w:cs="Times New Roman"/>
          <w:color w:val="auto"/>
          <w:sz w:val="24"/>
          <w:szCs w:val="24"/>
          <w:highlight w:val="none"/>
        </w:rPr>
        <w:t>日期的版本适用于本</w:t>
      </w:r>
      <w:r>
        <w:rPr>
          <w:rFonts w:hint="default" w:ascii="Times New Roman" w:hAnsi="Times New Roman" w:cs="Times New Roman"/>
          <w:color w:val="auto"/>
          <w:sz w:val="24"/>
          <w:szCs w:val="24"/>
          <w:highlight w:val="none"/>
          <w:lang w:val="en-US" w:eastAsia="zh-CN"/>
        </w:rPr>
        <w:t>标准</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lang w:val="en-US" w:eastAsia="zh-CN"/>
        </w:rPr>
        <w:t>凡是未</w:t>
      </w:r>
      <w:r>
        <w:rPr>
          <w:rFonts w:hint="default" w:ascii="Times New Roman" w:hAnsi="Times New Roman" w:cs="Times New Roman"/>
          <w:color w:val="auto"/>
          <w:sz w:val="24"/>
          <w:szCs w:val="24"/>
          <w:highlight w:val="none"/>
        </w:rPr>
        <w:t>注日期的引用文件，其最新版本（包括所有的修改单）适用于本</w:t>
      </w:r>
      <w:r>
        <w:rPr>
          <w:rFonts w:hint="default" w:ascii="Times New Roman" w:hAnsi="Times New Roman" w:cs="Times New Roman"/>
          <w:color w:val="auto"/>
          <w:sz w:val="24"/>
          <w:szCs w:val="24"/>
          <w:highlight w:val="none"/>
          <w:lang w:val="en-US" w:eastAsia="zh-CN"/>
        </w:rPr>
        <w:t>标准</w:t>
      </w:r>
      <w:r>
        <w:rPr>
          <w:rFonts w:hint="default" w:ascii="Times New Roman" w:hAnsi="Times New Roman" w:cs="Times New Roman"/>
          <w:color w:val="auto"/>
          <w:sz w:val="24"/>
          <w:szCs w:val="24"/>
          <w:highlight w:val="none"/>
        </w:rPr>
        <w:t>。</w:t>
      </w:r>
    </w:p>
    <w:p>
      <w:pPr>
        <w:spacing w:line="360" w:lineRule="auto"/>
        <w:ind w:firstLine="482" w:firstLineChars="200"/>
        <w:outlineLvl w:val="2"/>
        <w:rPr>
          <w:rFonts w:hint="default" w:ascii="Times New Roman" w:hAnsi="Times New Roman" w:cs="Times New Roman"/>
          <w:b/>
          <w:bCs/>
          <w:color w:val="auto"/>
          <w:sz w:val="24"/>
          <w:szCs w:val="24"/>
          <w:highlight w:val="none"/>
          <w:lang w:val="en-US" w:eastAsia="zh-CN"/>
        </w:rPr>
      </w:pPr>
      <w:bookmarkStart w:id="103" w:name="_Toc18855"/>
      <w:r>
        <w:rPr>
          <w:rFonts w:hint="eastAsia" w:ascii="Times New Roman" w:hAnsi="Times New Roman" w:cs="Times New Roman"/>
          <w:b/>
          <w:bCs/>
          <w:color w:val="auto"/>
          <w:sz w:val="24"/>
          <w:szCs w:val="24"/>
          <w:highlight w:val="none"/>
          <w:lang w:val="en-US" w:eastAsia="zh-CN"/>
        </w:rPr>
        <w:t>2.5</w:t>
      </w:r>
      <w:r>
        <w:rPr>
          <w:rFonts w:hint="default" w:ascii="Times New Roman" w:hAnsi="Times New Roman" w:cs="Times New Roman"/>
          <w:b/>
          <w:bCs/>
          <w:color w:val="auto"/>
          <w:sz w:val="24"/>
          <w:szCs w:val="24"/>
          <w:highlight w:val="none"/>
          <w:lang w:val="en-US" w:eastAsia="zh-CN"/>
        </w:rPr>
        <w:t>.4 术语</w:t>
      </w:r>
      <w:bookmarkEnd w:id="94"/>
      <w:bookmarkEnd w:id="95"/>
      <w:bookmarkEnd w:id="96"/>
      <w:bookmarkEnd w:id="97"/>
      <w:bookmarkEnd w:id="98"/>
      <w:bookmarkEnd w:id="99"/>
      <w:r>
        <w:rPr>
          <w:rFonts w:hint="default" w:ascii="Times New Roman" w:hAnsi="Times New Roman" w:cs="Times New Roman"/>
          <w:b/>
          <w:bCs/>
          <w:color w:val="auto"/>
          <w:sz w:val="24"/>
          <w:szCs w:val="24"/>
          <w:highlight w:val="none"/>
          <w:lang w:val="en-US" w:eastAsia="zh-CN"/>
        </w:rPr>
        <w:t>和定义</w:t>
      </w:r>
      <w:bookmarkEnd w:id="100"/>
      <w:bookmarkEnd w:id="101"/>
      <w:bookmarkEnd w:id="102"/>
      <w:bookmarkEnd w:id="103"/>
    </w:p>
    <w:p>
      <w:pPr>
        <w:spacing w:line="360" w:lineRule="auto"/>
        <w:ind w:firstLine="480" w:firstLineChars="20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本标准</w:t>
      </w:r>
      <w:r>
        <w:rPr>
          <w:rFonts w:hint="default" w:ascii="Times New Roman" w:hAnsi="Times New Roman" w:cs="Times New Roman"/>
          <w:color w:val="auto"/>
          <w:sz w:val="24"/>
          <w:szCs w:val="24"/>
          <w:highlight w:val="none"/>
          <w:lang w:val="en-US" w:eastAsia="zh-CN"/>
        </w:rPr>
        <w:t>直接引用HJ 1310</w:t>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lang w:val="en-US" w:eastAsia="zh-CN"/>
        </w:rPr>
        <w:t>HJ 2.3界定的</w:t>
      </w:r>
      <w:r>
        <w:rPr>
          <w:rFonts w:hint="default" w:ascii="Times New Roman" w:hAnsi="Times New Roman" w:cs="Times New Roman"/>
          <w:color w:val="auto"/>
          <w:sz w:val="24"/>
          <w:szCs w:val="24"/>
          <w:highlight w:val="none"/>
        </w:rPr>
        <w:t>“入河排污口”、</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lang w:val="en-US" w:eastAsia="zh-CN"/>
        </w:rPr>
        <w:t>水环境保护目标</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lang w:val="en-US" w:eastAsia="zh-CN"/>
        </w:rPr>
        <w:t>仅对开展的入河排污口</w:t>
      </w:r>
      <w:r>
        <w:rPr>
          <w:rFonts w:hint="default" w:ascii="Times New Roman" w:hAnsi="Times New Roman" w:cs="Times New Roman"/>
          <w:color w:val="auto"/>
          <w:sz w:val="24"/>
          <w:szCs w:val="24"/>
          <w:highlight w:val="none"/>
        </w:rPr>
        <w:t>设置论证</w:t>
      </w:r>
      <w:r>
        <w:rPr>
          <w:rFonts w:hint="default" w:ascii="Times New Roman" w:hAnsi="Times New Roman" w:cs="Times New Roman"/>
          <w:color w:val="auto"/>
          <w:sz w:val="24"/>
          <w:szCs w:val="24"/>
          <w:highlight w:val="none"/>
          <w:lang w:val="en-US" w:eastAsia="zh-CN"/>
        </w:rPr>
        <w:t>报告科学、</w:t>
      </w:r>
      <w:r>
        <w:rPr>
          <w:rFonts w:hint="default" w:ascii="Times New Roman" w:hAnsi="Times New Roman" w:cs="Times New Roman"/>
          <w:color w:val="auto"/>
          <w:sz w:val="24"/>
          <w:szCs w:val="24"/>
          <w:highlight w:val="none"/>
        </w:rPr>
        <w:t>客观的</w:t>
      </w:r>
      <w:r>
        <w:rPr>
          <w:rFonts w:hint="default" w:ascii="Times New Roman" w:hAnsi="Times New Roman" w:cs="Times New Roman"/>
          <w:color w:val="auto"/>
          <w:sz w:val="24"/>
          <w:szCs w:val="24"/>
          <w:highlight w:val="none"/>
          <w:lang w:val="en-US" w:eastAsia="zh-CN"/>
        </w:rPr>
        <w:t>技术审核活动定义为</w:t>
      </w:r>
      <w:r>
        <w:rPr>
          <w:rFonts w:hint="default" w:ascii="Times New Roman" w:hAnsi="Times New Roman" w:cs="Times New Roman"/>
          <w:color w:val="auto"/>
          <w:sz w:val="24"/>
          <w:szCs w:val="24"/>
          <w:highlight w:val="none"/>
        </w:rPr>
        <w:t>“入河排污口</w:t>
      </w:r>
      <w:r>
        <w:rPr>
          <w:rFonts w:hint="default" w:ascii="Times New Roman" w:hAnsi="Times New Roman" w:cs="Times New Roman"/>
          <w:color w:val="auto"/>
          <w:sz w:val="24"/>
          <w:szCs w:val="24"/>
          <w:highlight w:val="none"/>
          <w:lang w:val="en-US" w:eastAsia="zh-CN"/>
        </w:rPr>
        <w:t>设置</w:t>
      </w:r>
      <w:r>
        <w:rPr>
          <w:rFonts w:hint="default" w:ascii="Times New Roman" w:hAnsi="Times New Roman" w:cs="Times New Roman"/>
          <w:color w:val="auto"/>
          <w:sz w:val="24"/>
          <w:szCs w:val="24"/>
          <w:highlight w:val="none"/>
        </w:rPr>
        <w:t>技术评估”。</w:t>
      </w:r>
    </w:p>
    <w:p>
      <w:pPr>
        <w:spacing w:line="360" w:lineRule="auto"/>
        <w:ind w:firstLine="482" w:firstLineChars="200"/>
        <w:outlineLvl w:val="2"/>
        <w:rPr>
          <w:rFonts w:hint="default" w:ascii="Times New Roman" w:hAnsi="Times New Roman" w:cs="Times New Roman"/>
          <w:b/>
          <w:bCs/>
          <w:color w:val="auto"/>
          <w:sz w:val="24"/>
          <w:szCs w:val="24"/>
          <w:highlight w:val="none"/>
          <w:lang w:val="en-US" w:eastAsia="zh-CN"/>
        </w:rPr>
      </w:pPr>
      <w:bookmarkStart w:id="104" w:name="_Toc24882"/>
      <w:r>
        <w:rPr>
          <w:rFonts w:hint="eastAsia" w:ascii="Times New Roman" w:hAnsi="Times New Roman" w:cs="Times New Roman"/>
          <w:b/>
          <w:bCs/>
          <w:color w:val="auto"/>
          <w:sz w:val="24"/>
          <w:szCs w:val="24"/>
          <w:highlight w:val="none"/>
          <w:lang w:val="en-US" w:eastAsia="zh-CN"/>
        </w:rPr>
        <w:t>2.5</w:t>
      </w:r>
      <w:r>
        <w:rPr>
          <w:rFonts w:hint="default" w:ascii="Times New Roman" w:hAnsi="Times New Roman" w:cs="Times New Roman"/>
          <w:b/>
          <w:bCs/>
          <w:color w:val="auto"/>
          <w:sz w:val="24"/>
          <w:szCs w:val="24"/>
          <w:highlight w:val="none"/>
          <w:lang w:val="en-US" w:eastAsia="zh-CN"/>
        </w:rPr>
        <w:t>.5 评估原则</w:t>
      </w:r>
      <w:bookmarkEnd w:id="104"/>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（1）</w:t>
      </w:r>
      <w:r>
        <w:rPr>
          <w:rFonts w:hint="default" w:ascii="Times New Roman" w:hAnsi="Times New Roman" w:cs="Times New Roman"/>
          <w:color w:val="auto"/>
          <w:sz w:val="24"/>
          <w:szCs w:val="24"/>
          <w:highlight w:val="none"/>
          <w:lang w:val="en-US" w:eastAsia="zh-CN"/>
        </w:rPr>
        <w:t>科学</w:t>
      </w:r>
      <w:r>
        <w:rPr>
          <w:rFonts w:hint="eastAsia" w:ascii="Times New Roman" w:hAnsi="Times New Roman" w:cs="Times New Roman"/>
          <w:color w:val="auto"/>
          <w:sz w:val="24"/>
          <w:szCs w:val="24"/>
          <w:highlight w:val="none"/>
          <w:lang w:val="en-US" w:eastAsia="zh-CN"/>
        </w:rPr>
        <w:t>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技术评估在依据、方法选取等方面应科学合理，为审批决策提供可靠的技术支撑。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（2）客观性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技术评估应综合考虑入河排污口设置对水生态环境可能造成的影响，对入河排污口设置论证报告进行评估，评估过程应实事求是、客观公正。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（3）协同性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技术评估应充分考虑规划环评、项目环评以及排污许可等要求，与其做好衔接。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（4）突出重点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技术评估在全面评估的基础上，从入河排污量确定、设置合理性分析等方面重点评估。</w:t>
      </w:r>
    </w:p>
    <w:p>
      <w:pPr>
        <w:spacing w:line="360" w:lineRule="auto"/>
        <w:ind w:firstLine="482" w:firstLineChars="200"/>
        <w:outlineLvl w:val="2"/>
        <w:rPr>
          <w:rFonts w:hint="default" w:ascii="Times New Roman" w:hAnsi="Times New Roman" w:cs="Times New Roman"/>
          <w:b/>
          <w:bCs/>
          <w:color w:val="auto"/>
          <w:sz w:val="24"/>
          <w:szCs w:val="24"/>
          <w:highlight w:val="none"/>
          <w:lang w:val="en-US" w:eastAsia="zh-CN"/>
        </w:rPr>
      </w:pPr>
      <w:bookmarkStart w:id="105" w:name="_Toc16026"/>
      <w:r>
        <w:rPr>
          <w:rFonts w:hint="eastAsia" w:ascii="Times New Roman" w:hAnsi="Times New Roman" w:cs="Times New Roman"/>
          <w:b/>
          <w:bCs/>
          <w:color w:val="auto"/>
          <w:sz w:val="24"/>
          <w:szCs w:val="24"/>
          <w:highlight w:val="none"/>
          <w:lang w:val="en-US" w:eastAsia="zh-CN"/>
        </w:rPr>
        <w:t>2.5</w:t>
      </w:r>
      <w:r>
        <w:rPr>
          <w:rFonts w:hint="default" w:ascii="Times New Roman" w:hAnsi="Times New Roman" w:cs="Times New Roman"/>
          <w:b/>
          <w:bCs/>
          <w:color w:val="auto"/>
          <w:sz w:val="24"/>
          <w:szCs w:val="24"/>
          <w:highlight w:val="none"/>
          <w:lang w:val="en-US" w:eastAsia="zh-CN"/>
        </w:rPr>
        <w:t>.6 评估程序</w:t>
      </w:r>
      <w:bookmarkEnd w:id="105"/>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eastAsia="zh-CN"/>
        </w:rPr>
        <w:t>评估程序分为接受委托、技术</w:t>
      </w:r>
      <w:r>
        <w:rPr>
          <w:rFonts w:hint="eastAsia" w:ascii="Times New Roman" w:hAnsi="Times New Roman" w:cs="Times New Roman"/>
          <w:color w:val="auto"/>
          <w:sz w:val="24"/>
          <w:szCs w:val="24"/>
          <w:highlight w:val="none"/>
          <w:lang w:val="en-US" w:eastAsia="zh-CN"/>
        </w:rPr>
        <w:t>评估</w:t>
      </w:r>
      <w:r>
        <w:rPr>
          <w:rFonts w:hint="default" w:ascii="Times New Roman" w:hAnsi="Times New Roman" w:cs="Times New Roman"/>
          <w:color w:val="auto"/>
          <w:sz w:val="24"/>
          <w:szCs w:val="24"/>
          <w:highlight w:val="none"/>
          <w:lang w:val="en-US" w:eastAsia="zh-CN"/>
        </w:rPr>
        <w:t>、提交技术评估报告</w:t>
      </w:r>
      <w:r>
        <w:rPr>
          <w:rFonts w:hint="eastAsia" w:ascii="Times New Roman" w:hAnsi="Times New Roman" w:cs="Times New Roman"/>
          <w:color w:val="auto"/>
          <w:sz w:val="24"/>
          <w:szCs w:val="24"/>
          <w:highlight w:val="none"/>
          <w:lang w:val="en-US" w:eastAsia="zh-CN"/>
        </w:rPr>
        <w:t>三个阶段</w:t>
      </w:r>
      <w:r>
        <w:rPr>
          <w:rFonts w:hint="default" w:ascii="Times New Roman" w:hAnsi="Times New Roman" w:cs="Times New Roman"/>
          <w:color w:val="auto"/>
          <w:sz w:val="24"/>
          <w:szCs w:val="24"/>
          <w:highlight w:val="none"/>
          <w:lang w:val="en-US" w:eastAsia="zh-CN"/>
        </w:rPr>
        <w:t>。</w:t>
      </w:r>
      <w:r>
        <w:rPr>
          <w:rFonts w:hint="eastAsia" w:ascii="Times New Roman" w:hAnsi="Times New Roman" w:cs="Times New Roman"/>
          <w:color w:val="auto"/>
          <w:sz w:val="24"/>
          <w:szCs w:val="24"/>
          <w:highlight w:val="none"/>
          <w:lang w:val="en-US" w:eastAsia="zh-CN"/>
        </w:rPr>
        <w:t>具体为：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（1）接受委托</w:t>
      </w:r>
    </w:p>
    <w:p>
      <w:pPr>
        <w:spacing w:line="360" w:lineRule="auto"/>
        <w:ind w:firstLine="480" w:firstLineChars="200"/>
        <w:rPr>
          <w:rFonts w:hint="eastAsia"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技术评估机构接受入河排污口设置审批部门委托。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（2）技术评估</w:t>
      </w:r>
    </w:p>
    <w:p>
      <w:pPr>
        <w:spacing w:line="360" w:lineRule="auto"/>
        <w:ind w:firstLine="480" w:firstLineChars="200"/>
        <w:rPr>
          <w:rFonts w:hint="eastAsia"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技术评估机构对入河排污口设置论证报告进行评估，包括资料审核、现场勘查和组织专家评估等过程，并出具评估报告。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（3）提交技术评估报告</w:t>
      </w:r>
    </w:p>
    <w:p>
      <w:pPr>
        <w:spacing w:line="360" w:lineRule="auto"/>
        <w:ind w:firstLine="480" w:firstLineChars="200"/>
        <w:rPr>
          <w:rFonts w:hint="eastAsia"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技术评估机构向入河排污口设置审批部门提交技术评估报告。</w:t>
      </w:r>
    </w:p>
    <w:p>
      <w:pPr>
        <w:spacing w:line="360" w:lineRule="auto"/>
        <w:ind w:firstLine="480" w:firstLineChars="200"/>
        <w:rPr>
          <w:rFonts w:hint="eastAsia"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入河排污口设置评估的具体工作程序见图2。</w:t>
      </w:r>
    </w:p>
    <w:p>
      <w:pPr>
        <w:pStyle w:val="40"/>
        <w:spacing w:before="0" w:after="0"/>
        <w:ind w:firstLine="420" w:firstLineChars="200"/>
        <w:jc w:val="center"/>
        <w:rPr>
          <w:rFonts w:ascii="宋体" w:hAnsi="宋体" w:eastAsia="宋体" w:cs="宋体"/>
          <w:kern w:val="0"/>
          <w:sz w:val="24"/>
          <w:szCs w:val="24"/>
          <w:highlight w:val="none"/>
          <w:lang w:val="en-US" w:eastAsia="zh-CN" w:bidi="ar"/>
        </w:rPr>
      </w:pPr>
      <w:r>
        <w:rPr>
          <w:highlight w:val="none"/>
        </w:rPr>
        <w:drawing>
          <wp:inline distT="0" distB="0" distL="114300" distR="114300">
            <wp:extent cx="4433570" cy="4740910"/>
            <wp:effectExtent l="0" t="0" r="5080" b="254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0"/>
                    <a:stretch>
                      <a:fillRect/>
                    </a:stretch>
                  </pic:blipFill>
                  <pic:spPr>
                    <a:xfrm>
                      <a:off x="0" y="0"/>
                      <a:ext cx="4433570" cy="4740910"/>
                    </a:xfrm>
                    <a:prstGeom prst="rect">
                      <a:avLst/>
                    </a:prstGeom>
                    <a:noFill/>
                    <a:ln>
                      <a:noFill/>
                    </a:ln>
                  </pic:spPr>
                </pic:pic>
              </a:graphicData>
            </a:graphic>
          </wp:inline>
        </w:drawing>
      </w:r>
    </w:p>
    <w:p>
      <w:pPr>
        <w:pStyle w:val="49"/>
        <w:rPr>
          <w:rFonts w:hint="eastAsia"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 xml:space="preserve">图2  </w:t>
      </w:r>
      <w:r>
        <w:rPr>
          <w:rFonts w:hint="eastAsia" w:ascii="Times New Roman" w:hAnsi="Times New Roman" w:eastAsia="宋体" w:cs="Times New Roman"/>
          <w:b/>
          <w:bCs/>
          <w:color w:val="auto"/>
          <w:sz w:val="24"/>
          <w:szCs w:val="24"/>
          <w:highlight w:val="none"/>
        </w:rPr>
        <w:t>入河排污口设置评估工作程序</w:t>
      </w:r>
    </w:p>
    <w:p>
      <w:pPr>
        <w:spacing w:line="360" w:lineRule="auto"/>
        <w:ind w:firstLine="482" w:firstLineChars="200"/>
        <w:outlineLvl w:val="2"/>
        <w:rPr>
          <w:rFonts w:hint="default" w:ascii="Times New Roman" w:hAnsi="Times New Roman" w:cs="Times New Roman"/>
          <w:b/>
          <w:bCs/>
          <w:color w:val="auto"/>
          <w:sz w:val="24"/>
          <w:szCs w:val="24"/>
          <w:highlight w:val="none"/>
          <w:lang w:val="en-US" w:eastAsia="zh-CN"/>
        </w:rPr>
      </w:pPr>
      <w:bookmarkStart w:id="106" w:name="_Toc11768"/>
      <w:r>
        <w:rPr>
          <w:rFonts w:hint="eastAsia" w:ascii="Times New Roman" w:hAnsi="Times New Roman" w:cs="Times New Roman"/>
          <w:b/>
          <w:bCs/>
          <w:color w:val="auto"/>
          <w:sz w:val="24"/>
          <w:szCs w:val="24"/>
          <w:highlight w:val="none"/>
          <w:lang w:val="en-US" w:eastAsia="zh-CN"/>
        </w:rPr>
        <w:t>2.5</w:t>
      </w:r>
      <w:r>
        <w:rPr>
          <w:rFonts w:hint="default" w:ascii="Times New Roman" w:hAnsi="Times New Roman" w:cs="Times New Roman"/>
          <w:b/>
          <w:bCs/>
          <w:color w:val="auto"/>
          <w:sz w:val="24"/>
          <w:szCs w:val="24"/>
          <w:highlight w:val="none"/>
          <w:lang w:val="en-US" w:eastAsia="zh-CN"/>
        </w:rPr>
        <w:t>.7 评估方法</w:t>
      </w:r>
      <w:bookmarkEnd w:id="106"/>
    </w:p>
    <w:p>
      <w:pPr>
        <w:spacing w:line="360" w:lineRule="auto"/>
        <w:ind w:firstLine="480" w:firstLineChars="20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技术评估可采用资料审核、现场</w:t>
      </w:r>
      <w:r>
        <w:rPr>
          <w:rFonts w:hint="eastAsia" w:ascii="Times New Roman" w:hAnsi="Times New Roman" w:cs="Times New Roman"/>
          <w:color w:val="auto"/>
          <w:sz w:val="24"/>
          <w:szCs w:val="24"/>
          <w:highlight w:val="none"/>
          <w:lang w:val="en-US" w:eastAsia="zh-CN"/>
        </w:rPr>
        <w:t>勘查</w:t>
      </w:r>
      <w:r>
        <w:rPr>
          <w:rFonts w:hint="default" w:ascii="Times New Roman" w:hAnsi="Times New Roman" w:cs="Times New Roman"/>
          <w:color w:val="auto"/>
          <w:sz w:val="24"/>
          <w:szCs w:val="24"/>
          <w:highlight w:val="none"/>
        </w:rPr>
        <w:t>、专家</w:t>
      </w:r>
      <w:r>
        <w:rPr>
          <w:rFonts w:hint="default" w:ascii="Times New Roman" w:hAnsi="Times New Roman" w:cs="Times New Roman"/>
          <w:color w:val="auto"/>
          <w:sz w:val="24"/>
          <w:szCs w:val="24"/>
          <w:highlight w:val="none"/>
          <w:lang w:val="en-US" w:eastAsia="zh-CN"/>
        </w:rPr>
        <w:t>咨询</w:t>
      </w:r>
      <w:r>
        <w:rPr>
          <w:rFonts w:hint="default" w:ascii="Times New Roman" w:hAnsi="Times New Roman" w:cs="Times New Roman"/>
          <w:color w:val="auto"/>
          <w:sz w:val="24"/>
          <w:szCs w:val="24"/>
          <w:highlight w:val="none"/>
        </w:rPr>
        <w:t>等一种或多种方法。</w:t>
      </w:r>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（1）资料审核</w:t>
      </w:r>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对入河排污口设置论证报告进行审核，重点审核报告的规范性，与法律法规、标准规范、政策及规划等要求的符合性。</w:t>
      </w:r>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（2）现场</w:t>
      </w:r>
      <w:r>
        <w:rPr>
          <w:rFonts w:hint="eastAsia" w:ascii="Times New Roman" w:hAnsi="Times New Roman" w:cs="Times New Roman"/>
          <w:color w:val="auto"/>
          <w:sz w:val="24"/>
          <w:szCs w:val="24"/>
          <w:highlight w:val="none"/>
          <w:lang w:val="en-US" w:eastAsia="zh-CN"/>
        </w:rPr>
        <w:t>勘查</w:t>
      </w:r>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采用实地勘查、无人机等一种或多种方式对入河排污口设置申请单位的产排污情况、入河排污口及其周边环境进行核实，重点核实是否存在饮用水水源保护区等水环境保护目标及其他限制性因素。</w:t>
      </w:r>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（3）专家咨询</w:t>
      </w:r>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邀请相关专家进行技术评估，可采取现场会议、网络会议、专家函审等方式。</w:t>
      </w:r>
    </w:p>
    <w:p>
      <w:pPr>
        <w:spacing w:line="360" w:lineRule="auto"/>
        <w:ind w:firstLine="482" w:firstLineChars="200"/>
        <w:outlineLvl w:val="2"/>
        <w:rPr>
          <w:rFonts w:hint="default" w:ascii="Times New Roman" w:hAnsi="Times New Roman" w:cs="Times New Roman"/>
          <w:b/>
          <w:bCs/>
          <w:color w:val="auto"/>
          <w:sz w:val="24"/>
          <w:szCs w:val="24"/>
          <w:highlight w:val="none"/>
          <w:lang w:val="en-US" w:eastAsia="zh-CN"/>
        </w:rPr>
      </w:pPr>
      <w:bookmarkStart w:id="107" w:name="_Toc11792"/>
      <w:r>
        <w:rPr>
          <w:rFonts w:hint="eastAsia" w:ascii="Times New Roman" w:hAnsi="Times New Roman" w:cs="Times New Roman"/>
          <w:b/>
          <w:bCs/>
          <w:color w:val="auto"/>
          <w:sz w:val="24"/>
          <w:szCs w:val="24"/>
          <w:highlight w:val="none"/>
          <w:lang w:val="en-US" w:eastAsia="zh-CN"/>
        </w:rPr>
        <w:t>2.5</w:t>
      </w:r>
      <w:r>
        <w:rPr>
          <w:rFonts w:hint="default" w:ascii="Times New Roman" w:hAnsi="Times New Roman" w:cs="Times New Roman"/>
          <w:b/>
          <w:bCs/>
          <w:color w:val="auto"/>
          <w:sz w:val="24"/>
          <w:szCs w:val="24"/>
          <w:highlight w:val="none"/>
          <w:lang w:val="en-US" w:eastAsia="zh-CN"/>
        </w:rPr>
        <w:t>.</w:t>
      </w:r>
      <w:bookmarkStart w:id="108" w:name="_bookmark5"/>
      <w:bookmarkEnd w:id="108"/>
      <w:bookmarkStart w:id="109" w:name="5_污染控制"/>
      <w:bookmarkEnd w:id="109"/>
      <w:r>
        <w:rPr>
          <w:rFonts w:hint="default" w:ascii="Times New Roman" w:hAnsi="Times New Roman" w:cs="Times New Roman"/>
          <w:b/>
          <w:bCs/>
          <w:color w:val="auto"/>
          <w:sz w:val="24"/>
          <w:szCs w:val="24"/>
          <w:highlight w:val="none"/>
          <w:lang w:val="en-US" w:eastAsia="zh-CN"/>
        </w:rPr>
        <w:t>8 评估要点</w:t>
      </w:r>
      <w:bookmarkEnd w:id="107"/>
    </w:p>
    <w:p>
      <w:pPr>
        <w:spacing w:line="360" w:lineRule="auto"/>
        <w:ind w:firstLine="480" w:firstLineChars="200"/>
        <w:rPr>
          <w:rFonts w:hint="default" w:ascii="Times New Roman" w:hAnsi="Times New Roman" w:cs="Times New Roman"/>
          <w:color w:val="auto"/>
          <w:sz w:val="24"/>
          <w:szCs w:val="24"/>
          <w:highlight w:val="none"/>
        </w:rPr>
      </w:pPr>
      <w:bookmarkStart w:id="110" w:name="_Toc183917392"/>
      <w:bookmarkStart w:id="111" w:name="_Toc153925937"/>
      <w:bookmarkStart w:id="112" w:name="_Toc174770779"/>
      <w:r>
        <w:rPr>
          <w:rFonts w:hint="default" w:ascii="Times New Roman" w:hAnsi="Times New Roman" w:cs="Times New Roman"/>
          <w:color w:val="auto"/>
          <w:sz w:val="24"/>
          <w:szCs w:val="24"/>
          <w:highlight w:val="none"/>
        </w:rPr>
        <w:t>入河排污口设置的评估要点根据</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入河入海排污口监督管理技术指南  入河排污口设置</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HJ 1386</w:t>
      </w:r>
      <w:r>
        <w:rPr>
          <w:rFonts w:hint="default" w:ascii="Times New Roman" w:hAnsi="Times New Roman" w:cs="Times New Roman"/>
          <w:color w:val="auto"/>
          <w:sz w:val="24"/>
          <w:szCs w:val="24"/>
          <w:highlight w:val="none"/>
          <w:lang w:val="en-US" w:eastAsia="zh-CN"/>
        </w:rPr>
        <w:t>-2024</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确定。</w:t>
      </w:r>
    </w:p>
    <w:p>
      <w:pPr>
        <w:spacing w:line="360" w:lineRule="auto"/>
        <w:ind w:firstLine="480" w:firstLineChars="20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rPr>
        <w:t>（1）</w:t>
      </w:r>
      <w:r>
        <w:rPr>
          <w:rFonts w:hint="default" w:ascii="Times New Roman" w:hAnsi="Times New Roman" w:cs="Times New Roman"/>
          <w:color w:val="auto"/>
          <w:sz w:val="24"/>
          <w:szCs w:val="24"/>
          <w:highlight w:val="none"/>
          <w:lang w:val="en-US" w:eastAsia="zh-CN"/>
        </w:rPr>
        <w:t>入河排污口设置方案应结合项目特点制定，有条件设置比选方案的大型建设项目和涉及敏感水域等限制条件的项目，宜设置2个</w:t>
      </w:r>
      <w:r>
        <w:rPr>
          <w:rFonts w:hint="eastAsia" w:ascii="Times New Roman" w:hAnsi="Times New Roman" w:cs="Times New Roman"/>
          <w:color w:val="auto"/>
          <w:sz w:val="24"/>
          <w:szCs w:val="24"/>
          <w:highlight w:val="none"/>
          <w:lang w:val="en-US" w:eastAsia="zh-CN"/>
        </w:rPr>
        <w:t>及</w:t>
      </w:r>
      <w:r>
        <w:rPr>
          <w:rFonts w:hint="default" w:ascii="Times New Roman" w:hAnsi="Times New Roman" w:cs="Times New Roman"/>
          <w:color w:val="auto"/>
          <w:sz w:val="24"/>
          <w:szCs w:val="24"/>
          <w:highlight w:val="none"/>
          <w:lang w:val="en-US" w:eastAsia="zh-CN"/>
        </w:rPr>
        <w:t>以上备选方案。</w:t>
      </w:r>
    </w:p>
    <w:p>
      <w:pPr>
        <w:spacing w:line="360" w:lineRule="auto"/>
        <w:ind w:firstLine="480" w:firstLineChars="200"/>
        <w:rPr>
          <w:rFonts w:hint="default" w:ascii="Times New Roman" w:hAnsi="Times New Roman" w:eastAsia="宋体" w:cs="Times New Roman"/>
          <w:color w:val="auto"/>
          <w:sz w:val="24"/>
          <w:szCs w:val="24"/>
          <w:highlight w:val="none"/>
          <w:lang w:eastAsia="zh-CN"/>
        </w:rPr>
      </w:pP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lang w:val="en-US" w:eastAsia="zh-CN"/>
        </w:rPr>
        <w:t>2</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入河排污口设置应符合国家法律法规</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相关政策的要求和规定，国家和行业有关技术标准与规范、规程，各级生态环境保护规划、</w:t>
      </w:r>
      <w:r>
        <w:rPr>
          <w:rFonts w:hint="default" w:ascii="Times New Roman" w:hAnsi="Times New Roman" w:cs="Times New Roman"/>
          <w:color w:val="auto"/>
          <w:sz w:val="24"/>
          <w:szCs w:val="24"/>
          <w:highlight w:val="none"/>
          <w:lang w:val="en-US" w:eastAsia="zh-CN"/>
        </w:rPr>
        <w:t>水环境保护专项规划、</w:t>
      </w:r>
      <w:r>
        <w:rPr>
          <w:rFonts w:hint="default" w:ascii="Times New Roman" w:hAnsi="Times New Roman" w:cs="Times New Roman"/>
          <w:color w:val="auto"/>
          <w:sz w:val="24"/>
          <w:szCs w:val="24"/>
          <w:highlight w:val="none"/>
        </w:rPr>
        <w:t>水资源保护规划、水功能区划、河湖岸线保护与利用规划等规划区划</w:t>
      </w:r>
      <w:r>
        <w:rPr>
          <w:rFonts w:hint="default" w:ascii="Times New Roman" w:hAnsi="Times New Roman" w:cs="Times New Roman"/>
          <w:color w:val="auto"/>
          <w:sz w:val="24"/>
          <w:szCs w:val="24"/>
          <w:highlight w:val="none"/>
          <w:lang w:eastAsia="zh-CN"/>
        </w:rPr>
        <w:t>。</w:t>
      </w:r>
    </w:p>
    <w:p>
      <w:pPr>
        <w:spacing w:line="360" w:lineRule="auto"/>
        <w:ind w:firstLine="480" w:firstLineChars="200"/>
        <w:rPr>
          <w:rFonts w:hint="default" w:ascii="Times New Roman" w:hAnsi="Times New Roman" w:eastAsia="宋体" w:cs="Times New Roman"/>
          <w:color w:val="auto"/>
          <w:sz w:val="24"/>
          <w:szCs w:val="24"/>
          <w:highlight w:val="none"/>
          <w:lang w:eastAsia="zh-CN"/>
        </w:rPr>
      </w:pP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lang w:val="en-US" w:eastAsia="zh-CN"/>
        </w:rPr>
        <w:t>3</w:t>
      </w:r>
      <w:r>
        <w:rPr>
          <w:rFonts w:hint="default" w:ascii="Times New Roman" w:hAnsi="Times New Roman" w:cs="Times New Roman"/>
          <w:color w:val="auto"/>
          <w:sz w:val="24"/>
          <w:szCs w:val="24"/>
          <w:highlight w:val="none"/>
        </w:rPr>
        <w:t>）入河排污量</w:t>
      </w:r>
      <w:r>
        <w:rPr>
          <w:rFonts w:hint="default" w:ascii="Times New Roman" w:hAnsi="Times New Roman" w:cs="Times New Roman"/>
          <w:color w:val="auto"/>
          <w:sz w:val="24"/>
          <w:szCs w:val="24"/>
          <w:highlight w:val="none"/>
          <w:lang w:val="en-US" w:eastAsia="zh-CN"/>
        </w:rPr>
        <w:t>确定应当结合</w:t>
      </w:r>
      <w:r>
        <w:rPr>
          <w:rFonts w:hint="eastAsia" w:ascii="Times New Roman" w:hAnsi="Times New Roman" w:cs="Times New Roman"/>
          <w:color w:val="auto"/>
          <w:sz w:val="24"/>
          <w:szCs w:val="24"/>
          <w:highlight w:val="none"/>
          <w:lang w:val="en-US" w:eastAsia="zh-CN"/>
        </w:rPr>
        <w:t>排污许可证许可量、</w:t>
      </w:r>
      <w:r>
        <w:rPr>
          <w:rFonts w:hint="default" w:ascii="Times New Roman" w:hAnsi="Times New Roman" w:cs="Times New Roman"/>
          <w:color w:val="auto"/>
          <w:sz w:val="24"/>
          <w:szCs w:val="24"/>
          <w:highlight w:val="none"/>
          <w:lang w:val="en-US" w:eastAsia="zh-CN"/>
        </w:rPr>
        <w:t>控制断面达标反算结果</w:t>
      </w:r>
      <w:r>
        <w:rPr>
          <w:rFonts w:hint="eastAsia" w:ascii="Times New Roman" w:hAnsi="Times New Roman" w:cs="Times New Roman"/>
          <w:color w:val="auto"/>
          <w:sz w:val="24"/>
          <w:szCs w:val="24"/>
          <w:highlight w:val="none"/>
          <w:lang w:val="en-US" w:eastAsia="zh-CN"/>
        </w:rPr>
        <w:t>以及</w:t>
      </w:r>
      <w:r>
        <w:rPr>
          <w:rFonts w:hint="default" w:ascii="Times New Roman" w:hAnsi="Times New Roman" w:cs="Times New Roman"/>
          <w:color w:val="auto"/>
          <w:sz w:val="24"/>
          <w:szCs w:val="24"/>
          <w:highlight w:val="none"/>
          <w:lang w:val="en-US" w:eastAsia="zh-CN"/>
        </w:rPr>
        <w:t>环境影响分析结论</w:t>
      </w:r>
      <w:r>
        <w:rPr>
          <w:rFonts w:hint="eastAsia" w:ascii="Times New Roman" w:hAnsi="Times New Roman" w:cs="Times New Roman"/>
          <w:color w:val="auto"/>
          <w:sz w:val="24"/>
          <w:szCs w:val="24"/>
          <w:highlight w:val="none"/>
          <w:lang w:val="en-US" w:eastAsia="zh-CN"/>
        </w:rPr>
        <w:t>等</w:t>
      </w:r>
      <w:r>
        <w:rPr>
          <w:rFonts w:hint="default" w:ascii="Times New Roman" w:hAnsi="Times New Roman" w:cs="Times New Roman"/>
          <w:color w:val="auto"/>
          <w:sz w:val="24"/>
          <w:szCs w:val="24"/>
          <w:highlight w:val="none"/>
          <w:lang w:val="en-US" w:eastAsia="zh-CN"/>
        </w:rPr>
        <w:t>，确保</w:t>
      </w:r>
      <w:r>
        <w:rPr>
          <w:rFonts w:hint="default" w:ascii="Times New Roman" w:hAnsi="Times New Roman" w:cs="Times New Roman"/>
          <w:color w:val="auto"/>
          <w:sz w:val="24"/>
          <w:szCs w:val="24"/>
          <w:highlight w:val="none"/>
        </w:rPr>
        <w:t>满足</w:t>
      </w:r>
      <w:r>
        <w:rPr>
          <w:rFonts w:hint="eastAsia" w:ascii="Times New Roman" w:hAnsi="Times New Roman" w:cs="Times New Roman"/>
          <w:color w:val="auto"/>
          <w:sz w:val="24"/>
          <w:szCs w:val="24"/>
          <w:highlight w:val="none"/>
          <w:lang w:val="en-US" w:eastAsia="zh-CN"/>
        </w:rPr>
        <w:t>水环境保护功能目标、水环境保护质量目标</w:t>
      </w:r>
      <w:r>
        <w:rPr>
          <w:rFonts w:hint="default" w:ascii="Times New Roman" w:hAnsi="Times New Roman" w:cs="Times New Roman"/>
          <w:color w:val="auto"/>
          <w:sz w:val="24"/>
          <w:szCs w:val="24"/>
          <w:highlight w:val="none"/>
          <w:lang w:val="en-US" w:eastAsia="zh-CN"/>
        </w:rPr>
        <w:t>和</w:t>
      </w:r>
      <w:r>
        <w:rPr>
          <w:rFonts w:hint="default" w:ascii="Times New Roman" w:hAnsi="Times New Roman" w:cs="Times New Roman"/>
          <w:color w:val="auto"/>
          <w:sz w:val="24"/>
          <w:szCs w:val="24"/>
          <w:highlight w:val="none"/>
        </w:rPr>
        <w:t>水生态保护要求</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lang w:val="en-US" w:eastAsia="zh-CN"/>
        </w:rPr>
        <w:t>对于设置备选方案的入河排污口，应当分别确定；</w:t>
      </w:r>
      <w:r>
        <w:rPr>
          <w:rFonts w:hint="default" w:ascii="Times New Roman" w:hAnsi="Times New Roman" w:cs="Times New Roman"/>
          <w:color w:val="auto"/>
          <w:sz w:val="24"/>
          <w:szCs w:val="24"/>
          <w:highlight w:val="none"/>
        </w:rPr>
        <w:t>对于现有入河排污口，原则上不突破</w:t>
      </w:r>
      <w:r>
        <w:rPr>
          <w:rFonts w:hint="default" w:ascii="Times New Roman" w:hAnsi="Times New Roman" w:cs="Times New Roman"/>
          <w:color w:val="auto"/>
          <w:sz w:val="24"/>
          <w:szCs w:val="24"/>
          <w:highlight w:val="none"/>
          <w:lang w:val="en-US" w:eastAsia="zh-CN"/>
        </w:rPr>
        <w:t>现有许可</w:t>
      </w:r>
      <w:r>
        <w:rPr>
          <w:rFonts w:hint="default" w:ascii="Times New Roman" w:hAnsi="Times New Roman" w:cs="Times New Roman"/>
          <w:color w:val="auto"/>
          <w:sz w:val="24"/>
          <w:szCs w:val="24"/>
          <w:highlight w:val="none"/>
        </w:rPr>
        <w:t>文件中的排放量</w:t>
      </w:r>
      <w:r>
        <w:rPr>
          <w:rFonts w:hint="default" w:ascii="Times New Roman" w:hAnsi="Times New Roman" w:cs="Times New Roman"/>
          <w:color w:val="auto"/>
          <w:sz w:val="24"/>
          <w:szCs w:val="24"/>
          <w:highlight w:val="none"/>
          <w:lang w:eastAsia="zh-CN"/>
        </w:rPr>
        <w:t>。</w:t>
      </w:r>
    </w:p>
    <w:p>
      <w:pPr>
        <w:spacing w:line="360" w:lineRule="auto"/>
        <w:ind w:firstLine="480" w:firstLineChars="20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rPr>
        <w:t>（4）</w:t>
      </w:r>
      <w:r>
        <w:rPr>
          <w:rFonts w:hint="default" w:ascii="Times New Roman" w:hAnsi="Times New Roman" w:cs="Times New Roman"/>
          <w:color w:val="auto"/>
          <w:sz w:val="24"/>
          <w:szCs w:val="24"/>
          <w:highlight w:val="none"/>
          <w:lang w:val="en-US" w:eastAsia="zh-CN"/>
        </w:rPr>
        <w:t>水环境影响分析参照HJ2.3选用适当预测模型，对于水面较宽、混合过程段较长的宜选用二维模型。对于设置备选方案的入河排污口，应当分别进行影响分析。</w:t>
      </w:r>
    </w:p>
    <w:p>
      <w:pPr>
        <w:spacing w:line="360" w:lineRule="auto"/>
        <w:ind w:firstLine="480" w:firstLineChars="200"/>
        <w:rPr>
          <w:rFonts w:hint="default" w:ascii="Times New Roman" w:hAnsi="Times New Roman" w:eastAsia="宋体" w:cs="Times New Roman"/>
          <w:color w:val="auto"/>
          <w:sz w:val="24"/>
          <w:szCs w:val="24"/>
          <w:highlight w:val="none"/>
          <w:lang w:eastAsia="zh-CN"/>
        </w:rPr>
      </w:pP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lang w:val="en-US" w:eastAsia="zh-CN"/>
        </w:rPr>
        <w:t>5</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lang w:val="en-US" w:eastAsia="zh-CN"/>
        </w:rPr>
        <w:t>其他需要特别分析或说明的事项应结合项目特点</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lang w:val="en-US" w:eastAsia="zh-CN"/>
        </w:rPr>
        <w:t>当存在需要单独说明分析的</w:t>
      </w:r>
      <w:r>
        <w:rPr>
          <w:rFonts w:hint="eastAsia" w:ascii="Times New Roman" w:hAnsi="Times New Roman" w:cs="Times New Roman"/>
          <w:color w:val="auto"/>
          <w:sz w:val="24"/>
          <w:szCs w:val="24"/>
          <w:highlight w:val="none"/>
          <w:lang w:val="en-US" w:eastAsia="zh-CN"/>
        </w:rPr>
        <w:t>内容</w:t>
      </w:r>
      <w:r>
        <w:rPr>
          <w:rFonts w:hint="default" w:ascii="Times New Roman" w:hAnsi="Times New Roman" w:cs="Times New Roman"/>
          <w:color w:val="auto"/>
          <w:sz w:val="24"/>
          <w:szCs w:val="24"/>
          <w:highlight w:val="none"/>
          <w:lang w:val="en-US" w:eastAsia="zh-CN"/>
        </w:rPr>
        <w:t>时</w:t>
      </w:r>
      <w:r>
        <w:rPr>
          <w:rFonts w:hint="eastAsia" w:ascii="Times New Roman" w:hAnsi="Times New Roman" w:cs="Times New Roman"/>
          <w:color w:val="auto"/>
          <w:sz w:val="24"/>
          <w:szCs w:val="24"/>
          <w:highlight w:val="none"/>
          <w:lang w:val="en-US" w:eastAsia="zh-CN"/>
        </w:rPr>
        <w:t>进行针对性评估</w:t>
      </w:r>
      <w:r>
        <w:rPr>
          <w:rFonts w:hint="default" w:ascii="Times New Roman" w:hAnsi="Times New Roman" w:cs="Times New Roman"/>
          <w:color w:val="auto"/>
          <w:sz w:val="24"/>
          <w:szCs w:val="24"/>
          <w:highlight w:val="none"/>
          <w:lang w:val="en-US" w:eastAsia="zh-CN"/>
        </w:rPr>
        <w:t>。</w:t>
      </w:r>
    </w:p>
    <w:p>
      <w:pPr>
        <w:spacing w:line="360" w:lineRule="auto"/>
        <w:ind w:firstLine="480" w:firstLineChars="20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lang w:val="en-US" w:eastAsia="zh-CN"/>
        </w:rPr>
        <w:t>6</w:t>
      </w:r>
      <w:r>
        <w:rPr>
          <w:rFonts w:hint="default" w:ascii="Times New Roman" w:hAnsi="Times New Roman" w:cs="Times New Roman"/>
          <w:color w:val="auto"/>
          <w:sz w:val="24"/>
          <w:szCs w:val="24"/>
          <w:highlight w:val="none"/>
        </w:rPr>
        <w:t>）入河排污口设置对</w:t>
      </w:r>
      <w:r>
        <w:rPr>
          <w:rFonts w:hint="default" w:ascii="Times New Roman" w:hAnsi="Times New Roman" w:cs="Times New Roman"/>
          <w:color w:val="auto"/>
          <w:sz w:val="24"/>
          <w:szCs w:val="24"/>
          <w:highlight w:val="none"/>
          <w:lang w:val="en-US" w:eastAsia="zh-CN"/>
        </w:rPr>
        <w:t>供水、堤防安全和河势稳定可能造成影响的，结论应以相关部门意见为准</w:t>
      </w:r>
      <w:r>
        <w:rPr>
          <w:rFonts w:hint="default" w:ascii="Times New Roman" w:hAnsi="Times New Roman" w:cs="Times New Roman"/>
          <w:color w:val="auto"/>
          <w:sz w:val="24"/>
          <w:szCs w:val="24"/>
          <w:highlight w:val="none"/>
        </w:rPr>
        <w:t>。</w:t>
      </w:r>
    </w:p>
    <w:bookmarkEnd w:id="110"/>
    <w:bookmarkEnd w:id="111"/>
    <w:bookmarkEnd w:id="112"/>
    <w:p>
      <w:pPr>
        <w:spacing w:line="360" w:lineRule="auto"/>
        <w:ind w:firstLine="482" w:firstLineChars="200"/>
        <w:outlineLvl w:val="2"/>
        <w:rPr>
          <w:rFonts w:hint="default" w:ascii="Times New Roman" w:hAnsi="Times New Roman" w:cs="Times New Roman"/>
          <w:b/>
          <w:bCs/>
          <w:color w:val="auto"/>
          <w:sz w:val="24"/>
          <w:szCs w:val="24"/>
          <w:highlight w:val="none"/>
          <w:lang w:val="en-US" w:eastAsia="zh-CN"/>
        </w:rPr>
      </w:pPr>
      <w:bookmarkStart w:id="113" w:name="_Toc21599"/>
      <w:r>
        <w:rPr>
          <w:rFonts w:hint="eastAsia" w:ascii="Times New Roman" w:hAnsi="Times New Roman" w:cs="Times New Roman"/>
          <w:b/>
          <w:bCs/>
          <w:color w:val="auto"/>
          <w:sz w:val="24"/>
          <w:szCs w:val="24"/>
          <w:highlight w:val="none"/>
          <w:lang w:val="en-US" w:eastAsia="zh-CN"/>
        </w:rPr>
        <w:t>2.5.9</w:t>
      </w:r>
      <w:r>
        <w:rPr>
          <w:rFonts w:hint="default" w:ascii="Times New Roman" w:hAnsi="Times New Roman" w:cs="Times New Roman"/>
          <w:b/>
          <w:bCs/>
          <w:color w:val="auto"/>
          <w:sz w:val="24"/>
          <w:szCs w:val="24"/>
          <w:highlight w:val="none"/>
          <w:lang w:val="en-US" w:eastAsia="zh-CN"/>
        </w:rPr>
        <w:t xml:space="preserve"> 评估报告</w:t>
      </w:r>
      <w:bookmarkEnd w:id="113"/>
    </w:p>
    <w:p>
      <w:pPr>
        <w:spacing w:line="360" w:lineRule="auto"/>
        <w:ind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cs="Times New Roman"/>
          <w:color w:val="auto"/>
          <w:sz w:val="24"/>
          <w:szCs w:val="24"/>
          <w:highlight w:val="none"/>
          <w:lang w:val="en-US" w:eastAsia="zh-CN"/>
        </w:rPr>
        <w:t>入河排污口设置</w:t>
      </w:r>
      <w:r>
        <w:rPr>
          <w:rFonts w:hint="eastAsia" w:ascii="Times New Roman" w:hAnsi="Times New Roman" w:cs="Times New Roman"/>
          <w:color w:val="auto"/>
          <w:sz w:val="24"/>
          <w:szCs w:val="24"/>
          <w:highlight w:val="none"/>
          <w:lang w:val="en-US" w:eastAsia="zh-CN"/>
        </w:rPr>
        <w:t>论证报告</w:t>
      </w:r>
      <w:r>
        <w:rPr>
          <w:rFonts w:hint="default" w:ascii="Times New Roman" w:hAnsi="Times New Roman" w:cs="Times New Roman"/>
          <w:color w:val="auto"/>
          <w:sz w:val="24"/>
          <w:szCs w:val="24"/>
          <w:highlight w:val="none"/>
          <w:lang w:val="en-US" w:eastAsia="zh-CN"/>
        </w:rPr>
        <w:t>技术评估报告要求</w:t>
      </w:r>
      <w:r>
        <w:rPr>
          <w:rFonts w:hint="default" w:ascii="Times New Roman" w:hAnsi="Times New Roman" w:eastAsia="宋体" w:cs="Times New Roman"/>
          <w:color w:val="auto"/>
          <w:sz w:val="24"/>
          <w:szCs w:val="24"/>
          <w:highlight w:val="none"/>
        </w:rPr>
        <w:t>实事求是，突出入河排污口设置特点和区域环境特点，体现科学、客观、</w:t>
      </w:r>
      <w:r>
        <w:rPr>
          <w:rFonts w:hint="eastAsia" w:ascii="Times New Roman" w:hAnsi="Times New Roman" w:cs="Times New Roman"/>
          <w:color w:val="auto"/>
          <w:sz w:val="24"/>
          <w:szCs w:val="24"/>
          <w:highlight w:val="none"/>
          <w:lang w:val="en-US" w:eastAsia="zh-CN"/>
        </w:rPr>
        <w:t>协同</w:t>
      </w:r>
      <w:r>
        <w:rPr>
          <w:rFonts w:hint="default" w:ascii="Times New Roman" w:hAnsi="Times New Roman" w:eastAsia="宋体" w:cs="Times New Roman"/>
          <w:color w:val="auto"/>
          <w:sz w:val="24"/>
          <w:szCs w:val="24"/>
          <w:highlight w:val="none"/>
        </w:rPr>
        <w:t>、</w:t>
      </w:r>
      <w:r>
        <w:rPr>
          <w:rFonts w:hint="eastAsia" w:ascii="Times New Roman" w:hAnsi="Times New Roman" w:cs="Times New Roman"/>
          <w:color w:val="auto"/>
          <w:sz w:val="24"/>
          <w:szCs w:val="24"/>
          <w:highlight w:val="none"/>
          <w:lang w:val="en-US" w:eastAsia="zh-CN"/>
        </w:rPr>
        <w:t>突出重点</w:t>
      </w:r>
      <w:r>
        <w:rPr>
          <w:rFonts w:hint="default" w:ascii="Times New Roman" w:hAnsi="Times New Roman" w:eastAsia="宋体" w:cs="Times New Roman"/>
          <w:color w:val="auto"/>
          <w:sz w:val="24"/>
          <w:szCs w:val="24"/>
          <w:highlight w:val="none"/>
        </w:rPr>
        <w:t>的原则。</w:t>
      </w:r>
      <w:r>
        <w:rPr>
          <w:rFonts w:hint="default" w:ascii="Times New Roman" w:hAnsi="Times New Roman" w:eastAsia="宋体" w:cs="Times New Roman"/>
          <w:color w:val="auto"/>
          <w:sz w:val="24"/>
          <w:szCs w:val="24"/>
          <w:highlight w:val="none"/>
          <w:lang w:val="en-US" w:eastAsia="zh-CN"/>
        </w:rPr>
        <w:t>评估报告</w:t>
      </w:r>
      <w:r>
        <w:rPr>
          <w:rFonts w:hint="default" w:ascii="Times New Roman" w:hAnsi="Times New Roman" w:eastAsia="宋体" w:cs="Times New Roman"/>
          <w:color w:val="auto"/>
          <w:sz w:val="24"/>
          <w:szCs w:val="24"/>
          <w:highlight w:val="none"/>
        </w:rPr>
        <w:t>要求文字通畅简洁，入河排污口设置申请单位概况、入河排污口设置情况和关键问题交代清楚，评估要求依据充分、客观可行，评估结论明确、可信。</w:t>
      </w:r>
    </w:p>
    <w:p>
      <w:pPr>
        <w:pStyle w:val="4"/>
        <w:numPr>
          <w:ilvl w:val="255"/>
          <w:numId w:val="0"/>
        </w:numPr>
        <w:spacing w:line="360" w:lineRule="auto"/>
        <w:rPr>
          <w:rFonts w:hint="eastAsia" w:ascii="Times New Roman" w:hAnsi="Times New Roman" w:eastAsia="宋体" w:cs="Times New Roman"/>
          <w:b/>
          <w:color w:val="auto"/>
          <w:sz w:val="24"/>
          <w:szCs w:val="24"/>
          <w:highlight w:val="none"/>
          <w:lang w:val="en-US" w:eastAsia="zh-CN"/>
        </w:rPr>
      </w:pPr>
      <w:bookmarkStart w:id="114" w:name="_Toc31259"/>
      <w:r>
        <w:rPr>
          <w:rFonts w:hint="eastAsia" w:ascii="Times New Roman" w:hAnsi="Times New Roman" w:eastAsia="宋体" w:cs="Times New Roman"/>
          <w:b/>
          <w:color w:val="auto"/>
          <w:sz w:val="24"/>
          <w:szCs w:val="24"/>
          <w:highlight w:val="none"/>
          <w:lang w:val="en-US" w:eastAsia="zh-CN"/>
        </w:rPr>
        <w:t>3</w:t>
      </w:r>
      <w:r>
        <w:rPr>
          <w:rFonts w:hint="default" w:ascii="Times New Roman" w:hAnsi="Times New Roman" w:eastAsia="宋体" w:cs="Times New Roman"/>
          <w:b/>
          <w:color w:val="auto"/>
          <w:sz w:val="24"/>
          <w:szCs w:val="24"/>
          <w:highlight w:val="none"/>
        </w:rPr>
        <w:t xml:space="preserve"> </w:t>
      </w:r>
      <w:r>
        <w:rPr>
          <w:rFonts w:hint="eastAsia" w:ascii="Times New Roman" w:hAnsi="Times New Roman" w:eastAsia="宋体" w:cs="Times New Roman"/>
          <w:b/>
          <w:color w:val="auto"/>
          <w:sz w:val="24"/>
          <w:szCs w:val="24"/>
          <w:highlight w:val="none"/>
          <w:lang w:val="en-US" w:eastAsia="zh-CN"/>
        </w:rPr>
        <w:t xml:space="preserve"> 实证研究</w:t>
      </w:r>
      <w:bookmarkEnd w:id="114"/>
    </w:p>
    <w:p>
      <w:pPr>
        <w:spacing w:line="360" w:lineRule="auto"/>
        <w:ind w:firstLine="480" w:firstLineChars="20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入河排污口设置审批是水环境管理的重要环节，旨在控制污染物排放，保护水生态环境。</w:t>
      </w:r>
      <w:r>
        <w:rPr>
          <w:rFonts w:hint="eastAsia" w:ascii="Times New Roman" w:hAnsi="Times New Roman" w:cs="Times New Roman"/>
          <w:color w:val="auto"/>
          <w:sz w:val="24"/>
          <w:szCs w:val="24"/>
          <w:highlight w:val="none"/>
          <w:lang w:val="en-US" w:eastAsia="zh-CN"/>
        </w:rPr>
        <w:t>因本标准为</w:t>
      </w:r>
      <w:r>
        <w:rPr>
          <w:rFonts w:hint="default" w:ascii="Times New Roman" w:hAnsi="Times New Roman" w:cs="Times New Roman"/>
          <w:color w:val="auto"/>
          <w:sz w:val="24"/>
          <w:szCs w:val="24"/>
          <w:highlight w:val="none"/>
          <w:lang w:val="en-US" w:eastAsia="zh-CN"/>
        </w:rPr>
        <w:t>生态环境管理技术规范</w:t>
      </w:r>
      <w:r>
        <w:rPr>
          <w:rFonts w:hint="eastAsia" w:ascii="Times New Roman" w:hAnsi="Times New Roman" w:cs="Times New Roman"/>
          <w:color w:val="auto"/>
          <w:sz w:val="24"/>
          <w:szCs w:val="24"/>
          <w:highlight w:val="none"/>
          <w:lang w:val="en-US" w:eastAsia="zh-CN"/>
        </w:rPr>
        <w:t>，属于技术指导类，因此</w:t>
      </w:r>
      <w:r>
        <w:rPr>
          <w:rFonts w:hint="default" w:ascii="Times New Roman" w:hAnsi="Times New Roman" w:cs="Times New Roman"/>
          <w:color w:val="auto"/>
          <w:sz w:val="24"/>
          <w:szCs w:val="24"/>
          <w:highlight w:val="none"/>
          <w:lang w:val="en-US" w:eastAsia="zh-CN"/>
        </w:rPr>
        <w:t>为深入了解入河排污口设置审批中存在的问题，以及标准编制过程中充分吸纳地方生态环境主管部门（审批部门）的工作需求，于2024年10月先后赴榆林、汉中、渭南、西安等地开展实地调研。总体上，目前陕西省入河排污口设置审批工作虽取得一定进展，但仍不容乐观，在实际审批中仍存在诸多问题，影响了审批效率和质量，具体如下：</w:t>
      </w:r>
    </w:p>
    <w:p>
      <w:pPr>
        <w:spacing w:line="360" w:lineRule="auto"/>
        <w:ind w:firstLine="480" w:firstLineChars="200"/>
        <w:rPr>
          <w:rFonts w:hint="default" w:ascii="Times New Roman" w:hAnsi="Times New Roman" w:eastAsia="宋体" w:cs="Times New Roman"/>
          <w:color w:val="auto"/>
          <w:sz w:val="24"/>
          <w:szCs w:val="24"/>
          <w:highlight w:val="none"/>
          <w:lang w:eastAsia="zh-CN"/>
        </w:rPr>
      </w:pP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lang w:val="en-US" w:eastAsia="zh-CN"/>
        </w:rPr>
        <w:t>1</w:t>
      </w:r>
      <w:r>
        <w:rPr>
          <w:rFonts w:hint="default" w:ascii="Times New Roman" w:hAnsi="Times New Roman" w:cs="Times New Roman"/>
          <w:color w:val="auto"/>
          <w:sz w:val="24"/>
          <w:szCs w:val="24"/>
          <w:highlight w:val="none"/>
        </w:rPr>
        <w:t>）审批</w:t>
      </w:r>
      <w:r>
        <w:rPr>
          <w:rFonts w:hint="default" w:ascii="Times New Roman" w:hAnsi="Times New Roman" w:cs="Times New Roman"/>
          <w:color w:val="auto"/>
          <w:sz w:val="24"/>
          <w:szCs w:val="24"/>
          <w:highlight w:val="none"/>
          <w:lang w:val="en-US" w:eastAsia="zh-CN"/>
        </w:rPr>
        <w:t>手续</w:t>
      </w:r>
      <w:r>
        <w:rPr>
          <w:rFonts w:hint="default" w:ascii="Times New Roman" w:hAnsi="Times New Roman" w:cs="Times New Roman"/>
          <w:color w:val="auto"/>
          <w:sz w:val="24"/>
          <w:szCs w:val="24"/>
          <w:highlight w:val="none"/>
        </w:rPr>
        <w:t>不</w:t>
      </w:r>
      <w:r>
        <w:rPr>
          <w:rFonts w:hint="default" w:ascii="Times New Roman" w:hAnsi="Times New Roman" w:cs="Times New Roman"/>
          <w:color w:val="auto"/>
          <w:sz w:val="24"/>
          <w:szCs w:val="24"/>
          <w:highlight w:val="none"/>
          <w:lang w:val="en-US" w:eastAsia="zh-CN"/>
        </w:rPr>
        <w:t>完善</w:t>
      </w:r>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rPr>
        <w:t>《入河排污口监督管理办法》（</w:t>
      </w:r>
      <w:r>
        <w:rPr>
          <w:rFonts w:hint="default" w:ascii="Times New Roman" w:hAnsi="Times New Roman" w:cs="Times New Roman"/>
          <w:color w:val="auto"/>
          <w:sz w:val="24"/>
          <w:szCs w:val="24"/>
          <w:highlight w:val="none"/>
          <w:lang w:val="en-US" w:eastAsia="zh-CN"/>
        </w:rPr>
        <w:t>部令 第35号</w:t>
      </w:r>
      <w:r>
        <w:rPr>
          <w:rFonts w:hint="default" w:ascii="Times New Roman" w:hAnsi="Times New Roman" w:cs="Times New Roman"/>
          <w:color w:val="auto"/>
          <w:sz w:val="24"/>
          <w:szCs w:val="24"/>
          <w:highlight w:val="none"/>
        </w:rPr>
        <w:t>）要求</w:t>
      </w:r>
      <w:r>
        <w:rPr>
          <w:rFonts w:hint="default" w:ascii="Times New Roman" w:hAnsi="Times New Roman" w:cs="Times New Roman"/>
          <w:color w:val="auto"/>
          <w:sz w:val="24"/>
          <w:szCs w:val="24"/>
          <w:highlight w:val="none"/>
          <w:lang w:val="en-US" w:eastAsia="zh-CN"/>
        </w:rPr>
        <w:t>工矿企业排污口、工业以及其他各类园区污水处理厂排污口和城镇污水处理厂排污口</w:t>
      </w:r>
      <w:r>
        <w:rPr>
          <w:rFonts w:hint="default" w:ascii="Times New Roman" w:hAnsi="Times New Roman" w:cs="Times New Roman"/>
          <w:color w:val="auto"/>
          <w:sz w:val="24"/>
          <w:szCs w:val="24"/>
          <w:highlight w:val="none"/>
        </w:rPr>
        <w:t>需</w:t>
      </w:r>
      <w:r>
        <w:rPr>
          <w:rFonts w:hint="default" w:ascii="Times New Roman" w:hAnsi="Times New Roman" w:cs="Times New Roman"/>
          <w:color w:val="auto"/>
          <w:sz w:val="24"/>
          <w:szCs w:val="24"/>
          <w:highlight w:val="none"/>
          <w:lang w:val="en-US" w:eastAsia="zh-CN"/>
        </w:rPr>
        <w:t>开展</w:t>
      </w:r>
      <w:r>
        <w:rPr>
          <w:rFonts w:hint="default" w:ascii="Times New Roman" w:hAnsi="Times New Roman" w:cs="Times New Roman"/>
          <w:color w:val="auto"/>
          <w:sz w:val="24"/>
          <w:szCs w:val="24"/>
          <w:highlight w:val="none"/>
        </w:rPr>
        <w:t>审批</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lang w:val="en-US" w:eastAsia="zh-CN"/>
        </w:rPr>
        <w:t>截止2025年2月，</w:t>
      </w:r>
      <w:r>
        <w:rPr>
          <w:rFonts w:hint="default" w:ascii="Times New Roman" w:hAnsi="Times New Roman" w:cs="Times New Roman"/>
          <w:color w:val="auto"/>
          <w:sz w:val="24"/>
          <w:szCs w:val="24"/>
          <w:highlight w:val="none"/>
        </w:rPr>
        <w:t>据</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lang w:val="en-US" w:eastAsia="zh-CN"/>
        </w:rPr>
        <w:t>全国入河排污口监督管理信息化平台</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统计数据</w:t>
      </w:r>
      <w:r>
        <w:rPr>
          <w:rFonts w:hint="default" w:ascii="Times New Roman" w:hAnsi="Times New Roman" w:cs="Times New Roman"/>
          <w:color w:val="auto"/>
          <w:sz w:val="24"/>
          <w:szCs w:val="24"/>
          <w:highlight w:val="none"/>
          <w:lang w:val="en-US" w:eastAsia="zh-CN"/>
        </w:rPr>
        <w:t>和现场调研</w:t>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lang w:val="en-US" w:eastAsia="zh-CN"/>
        </w:rPr>
        <w:t>陕西</w:t>
      </w:r>
      <w:r>
        <w:rPr>
          <w:rFonts w:hint="default" w:ascii="Times New Roman" w:hAnsi="Times New Roman" w:cs="Times New Roman"/>
          <w:color w:val="auto"/>
          <w:sz w:val="24"/>
          <w:szCs w:val="24"/>
          <w:highlight w:val="none"/>
        </w:rPr>
        <w:t>省</w:t>
      </w:r>
      <w:r>
        <w:rPr>
          <w:rFonts w:hint="default" w:ascii="Times New Roman" w:hAnsi="Times New Roman" w:cs="Times New Roman"/>
          <w:color w:val="auto"/>
          <w:sz w:val="24"/>
          <w:szCs w:val="24"/>
          <w:highlight w:val="none"/>
          <w:lang w:val="en-US" w:eastAsia="zh-CN"/>
        </w:rPr>
        <w:t>12个设区市涉及上述三类属于审批类存量入河排污口468个，填报“已审批”172个，即仅36.8</w:t>
      </w:r>
      <w:r>
        <w:rPr>
          <w:rFonts w:hint="default" w:ascii="Times New Roman" w:hAnsi="Times New Roman" w:cs="Times New Roman"/>
          <w:color w:val="auto"/>
          <w:sz w:val="24"/>
          <w:szCs w:val="24"/>
          <w:highlight w:val="none"/>
        </w:rPr>
        <w:t>%的</w:t>
      </w:r>
      <w:r>
        <w:rPr>
          <w:rFonts w:hint="default" w:ascii="Times New Roman" w:hAnsi="Times New Roman" w:cs="Times New Roman"/>
          <w:color w:val="auto"/>
          <w:sz w:val="24"/>
          <w:szCs w:val="24"/>
          <w:highlight w:val="none"/>
          <w:lang w:val="en-US" w:eastAsia="zh-CN"/>
        </w:rPr>
        <w:t>履行了入河排污口设置</w:t>
      </w:r>
      <w:r>
        <w:rPr>
          <w:rFonts w:hint="default" w:ascii="Times New Roman" w:hAnsi="Times New Roman" w:cs="Times New Roman"/>
          <w:color w:val="auto"/>
          <w:sz w:val="24"/>
          <w:szCs w:val="24"/>
          <w:highlight w:val="none"/>
        </w:rPr>
        <w:t>审批手续</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lang w:val="en-US" w:eastAsia="zh-CN"/>
        </w:rPr>
        <w:t>仍有大量存量入河排污口尚未履行审批程序。</w:t>
      </w:r>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（2）技术评估质量参差不齐</w:t>
      </w:r>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评估标准不统一：不同设区市入河排污口审批单位或评估机构对入河排污口技术评估的标准和要求不一致，导致评估结果差异较大。</w:t>
      </w:r>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专业能力不足：部分设区市评估机构专业评估人员力量不足，专业背景不一，缺乏对水环境、水生态影响等方面的深入认识；加之编制入河排污口设置论证报告的第三方专业技术单位及设置申请单位技术水平良莠不齐，报告质量参差不齐，增加了评估机构评估难度。</w:t>
      </w:r>
    </w:p>
    <w:p>
      <w:pPr>
        <w:pStyle w:val="4"/>
        <w:numPr>
          <w:ilvl w:val="255"/>
          <w:numId w:val="0"/>
        </w:numPr>
        <w:spacing w:line="360" w:lineRule="auto"/>
        <w:rPr>
          <w:rFonts w:hint="default" w:ascii="Times New Roman" w:hAnsi="Times New Roman" w:eastAsia="宋体" w:cs="Times New Roman"/>
          <w:b/>
          <w:color w:val="auto"/>
          <w:sz w:val="24"/>
          <w:szCs w:val="24"/>
          <w:highlight w:val="none"/>
          <w:lang w:val="en-US" w:eastAsia="zh-CN"/>
        </w:rPr>
      </w:pPr>
      <w:bookmarkStart w:id="115" w:name="_Toc22946"/>
      <w:r>
        <w:rPr>
          <w:rFonts w:hint="eastAsia" w:ascii="Times New Roman" w:hAnsi="Times New Roman" w:eastAsia="宋体" w:cs="Times New Roman"/>
          <w:b/>
          <w:color w:val="auto"/>
          <w:sz w:val="24"/>
          <w:szCs w:val="24"/>
          <w:highlight w:val="none"/>
          <w:lang w:val="en-US" w:eastAsia="zh-CN"/>
        </w:rPr>
        <w:t>4</w:t>
      </w:r>
      <w:r>
        <w:rPr>
          <w:rFonts w:hint="default" w:ascii="Times New Roman" w:hAnsi="Times New Roman" w:eastAsia="宋体" w:cs="Times New Roman"/>
          <w:b/>
          <w:color w:val="auto"/>
          <w:sz w:val="24"/>
          <w:szCs w:val="24"/>
          <w:highlight w:val="none"/>
          <w:lang w:val="en-US" w:eastAsia="zh-CN"/>
        </w:rPr>
        <w:t xml:space="preserve">  </w:t>
      </w:r>
      <w:r>
        <w:rPr>
          <w:rFonts w:hint="eastAsia" w:ascii="Times New Roman" w:hAnsi="Times New Roman" w:eastAsia="宋体" w:cs="Times New Roman"/>
          <w:b/>
          <w:color w:val="auto"/>
          <w:sz w:val="24"/>
          <w:szCs w:val="24"/>
          <w:highlight w:val="none"/>
          <w:lang w:val="en-US" w:eastAsia="zh-CN"/>
        </w:rPr>
        <w:t>知识产权</w:t>
      </w:r>
      <w:bookmarkEnd w:id="115"/>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本标准知识产权归</w:t>
      </w:r>
      <w:r>
        <w:rPr>
          <w:rFonts w:hint="eastAsia" w:ascii="Times New Roman" w:hAnsi="Times New Roman" w:cs="Times New Roman"/>
          <w:color w:val="auto"/>
          <w:sz w:val="24"/>
          <w:szCs w:val="24"/>
          <w:highlight w:val="none"/>
          <w:lang w:val="en-US" w:eastAsia="zh-CN"/>
        </w:rPr>
        <w:t>标准编制主导</w:t>
      </w:r>
      <w:r>
        <w:rPr>
          <w:rFonts w:hint="default" w:ascii="Times New Roman" w:hAnsi="Times New Roman" w:cs="Times New Roman"/>
          <w:color w:val="auto"/>
          <w:sz w:val="24"/>
          <w:szCs w:val="24"/>
          <w:highlight w:val="none"/>
          <w:lang w:val="en-US" w:eastAsia="zh-CN"/>
        </w:rPr>
        <w:t>单位所有，本标准没有知识产权争议。</w:t>
      </w:r>
    </w:p>
    <w:p>
      <w:pPr>
        <w:pStyle w:val="4"/>
        <w:numPr>
          <w:ilvl w:val="255"/>
          <w:numId w:val="0"/>
        </w:numPr>
        <w:spacing w:line="360" w:lineRule="auto"/>
        <w:rPr>
          <w:rFonts w:hint="default" w:ascii="Times New Roman" w:hAnsi="Times New Roman" w:eastAsia="宋体" w:cs="Times New Roman"/>
          <w:b/>
          <w:color w:val="auto"/>
          <w:sz w:val="24"/>
          <w:szCs w:val="24"/>
          <w:highlight w:val="none"/>
          <w:lang w:val="en-US" w:eastAsia="zh-CN"/>
        </w:rPr>
      </w:pPr>
      <w:bookmarkStart w:id="116" w:name="_Toc14539"/>
      <w:r>
        <w:rPr>
          <w:rFonts w:hint="eastAsia" w:ascii="Times New Roman" w:hAnsi="Times New Roman" w:eastAsia="宋体" w:cs="Times New Roman"/>
          <w:b/>
          <w:color w:val="auto"/>
          <w:sz w:val="24"/>
          <w:szCs w:val="24"/>
          <w:highlight w:val="none"/>
          <w:lang w:val="en-US" w:eastAsia="zh-CN"/>
        </w:rPr>
        <w:t>5</w:t>
      </w:r>
      <w:r>
        <w:rPr>
          <w:rFonts w:hint="default" w:ascii="Times New Roman" w:hAnsi="Times New Roman" w:eastAsia="宋体" w:cs="Times New Roman"/>
          <w:b/>
          <w:color w:val="auto"/>
          <w:sz w:val="24"/>
          <w:szCs w:val="24"/>
          <w:highlight w:val="none"/>
        </w:rPr>
        <w:t xml:space="preserve"> </w:t>
      </w:r>
      <w:bookmarkEnd w:id="44"/>
      <w:bookmarkEnd w:id="45"/>
      <w:bookmarkEnd w:id="46"/>
      <w:bookmarkEnd w:id="47"/>
      <w:r>
        <w:rPr>
          <w:rFonts w:hint="default" w:ascii="Times New Roman" w:hAnsi="Times New Roman" w:eastAsia="宋体" w:cs="Times New Roman"/>
          <w:b/>
          <w:color w:val="auto"/>
          <w:sz w:val="24"/>
          <w:szCs w:val="24"/>
          <w:highlight w:val="none"/>
          <w:lang w:val="en-US" w:eastAsia="zh-CN"/>
        </w:rPr>
        <w:t xml:space="preserve"> </w:t>
      </w:r>
      <w:r>
        <w:rPr>
          <w:rFonts w:hint="eastAsia" w:ascii="Times New Roman" w:hAnsi="Times New Roman" w:eastAsia="宋体" w:cs="Times New Roman"/>
          <w:b/>
          <w:color w:val="auto"/>
          <w:sz w:val="24"/>
          <w:szCs w:val="24"/>
          <w:highlight w:val="none"/>
          <w:lang w:val="en-US" w:eastAsia="zh-CN"/>
        </w:rPr>
        <w:t>采标情况</w:t>
      </w:r>
      <w:bookmarkEnd w:id="116"/>
    </w:p>
    <w:p>
      <w:pPr>
        <w:pStyle w:val="5"/>
        <w:numPr>
          <w:ilvl w:val="0"/>
          <w:numId w:val="0"/>
        </w:numPr>
        <w:spacing w:before="0" w:after="0" w:line="360" w:lineRule="auto"/>
        <w:rPr>
          <w:rFonts w:hint="default" w:ascii="Times New Roman" w:hAnsi="Times New Roman" w:eastAsia="宋体" w:cs="Times New Roman"/>
          <w:b/>
          <w:color w:val="auto"/>
          <w:szCs w:val="24"/>
          <w:highlight w:val="none"/>
          <w:lang w:val="en-US" w:eastAsia="zh-CN"/>
        </w:rPr>
      </w:pPr>
      <w:bookmarkStart w:id="117" w:name="_Toc4676"/>
      <w:r>
        <w:rPr>
          <w:rFonts w:hint="eastAsia" w:ascii="Times New Roman" w:hAnsi="Times New Roman" w:eastAsia="宋体" w:cs="Times New Roman"/>
          <w:b/>
          <w:color w:val="auto"/>
          <w:szCs w:val="24"/>
          <w:highlight w:val="none"/>
          <w:lang w:val="en-US" w:eastAsia="zh-CN"/>
        </w:rPr>
        <w:t>5</w:t>
      </w:r>
      <w:r>
        <w:rPr>
          <w:rFonts w:hint="default" w:ascii="Times New Roman" w:hAnsi="Times New Roman" w:eastAsia="宋体" w:cs="Times New Roman"/>
          <w:b/>
          <w:color w:val="auto"/>
          <w:szCs w:val="24"/>
          <w:highlight w:val="none"/>
        </w:rPr>
        <w:t>.1</w:t>
      </w:r>
      <w:r>
        <w:rPr>
          <w:rFonts w:hint="default" w:ascii="Times New Roman" w:hAnsi="Times New Roman" w:eastAsia="宋体" w:cs="Times New Roman"/>
          <w:b/>
          <w:color w:val="auto"/>
          <w:szCs w:val="24"/>
          <w:highlight w:val="none"/>
          <w:lang w:val="en-US" w:eastAsia="zh-CN"/>
        </w:rPr>
        <w:t xml:space="preserve"> 国外相关标准情况</w:t>
      </w:r>
      <w:bookmarkEnd w:id="117"/>
    </w:p>
    <w:p>
      <w:pPr>
        <w:spacing w:line="360" w:lineRule="auto"/>
        <w:ind w:firstLine="482" w:firstLineChars="200"/>
        <w:rPr>
          <w:rFonts w:hint="default" w:ascii="Times New Roman" w:hAnsi="Times New Roman" w:cs="Times New Roman"/>
          <w:b/>
          <w:bCs/>
          <w:color w:val="auto"/>
          <w:sz w:val="24"/>
          <w:szCs w:val="24"/>
          <w:highlight w:val="none"/>
          <w:lang w:val="en-US" w:eastAsia="zh-CN"/>
        </w:rPr>
      </w:pPr>
      <w:r>
        <w:rPr>
          <w:rFonts w:hint="default" w:ascii="Times New Roman" w:hAnsi="Times New Roman" w:cs="Times New Roman"/>
          <w:b/>
          <w:bCs/>
          <w:color w:val="auto"/>
          <w:sz w:val="24"/>
          <w:szCs w:val="24"/>
          <w:highlight w:val="none"/>
          <w:lang w:val="en-US" w:eastAsia="zh-CN"/>
        </w:rPr>
        <w:t>（1）美国</w:t>
      </w:r>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1972年美国颁布的《清洁水法》是排污口管理的核心法律，确立了“国家污染物排放消除系统”（National Pollutant Discharge Elimination System）即NPDES许可证制度，要求所有点源排污必须取得许可证，明确了污染物种类、浓度、排放总量及监测要求，涵盖工业、市政污水排放，许可证需定期更新并公开。另外，通过《安全饮用水法》《濒危物种法》等补充法律，细化对特殊污染物（如重金属、有机毒物）的管控要求，并引入公众参与机制。同时最大日负荷总量（TMDL）计划通过数学模型（如TMDL模型工具箱）计算水体污染物承载能力，反推排污口允许排放量，实现“总量控制+浓度控制”双约束；除点源外，TMDL计划还纳入农业径流、城市雨水等非点源污染控制。</w:t>
      </w:r>
    </w:p>
    <w:p>
      <w:pPr>
        <w:spacing w:line="360" w:lineRule="auto"/>
        <w:ind w:firstLine="482" w:firstLineChars="200"/>
        <w:rPr>
          <w:rFonts w:hint="default" w:ascii="Times New Roman" w:hAnsi="Times New Roman" w:cs="Times New Roman"/>
          <w:b/>
          <w:bCs/>
          <w:color w:val="auto"/>
          <w:sz w:val="24"/>
          <w:szCs w:val="24"/>
          <w:highlight w:val="none"/>
          <w:lang w:val="en-US" w:eastAsia="zh-CN"/>
        </w:rPr>
      </w:pPr>
      <w:r>
        <w:rPr>
          <w:rFonts w:hint="default" w:ascii="Times New Roman" w:hAnsi="Times New Roman" w:cs="Times New Roman"/>
          <w:b/>
          <w:bCs/>
          <w:color w:val="auto"/>
          <w:sz w:val="24"/>
          <w:szCs w:val="24"/>
          <w:highlight w:val="none"/>
          <w:lang w:val="en-US" w:eastAsia="zh-CN"/>
        </w:rPr>
        <w:t>（2）欧盟</w:t>
      </w:r>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欧盟通过《工业排放指令》（IED）构建统一排污许可体系，要求成员国将指令转化为国内法，覆盖工业设施污染物排放，包括入河排污口设置，强调最佳可行技术（BAT）的应用。成员国根据欧盟指令制定具体规则，如德国《联邦水法》规定排污口设置需经水行政主管部门审批，并评估对水体生态的影响。欧盟要求许可证审批过程中纳入听证程序，保障公众知情权与参与权。</w:t>
      </w:r>
    </w:p>
    <w:p>
      <w:pPr>
        <w:spacing w:line="360" w:lineRule="auto"/>
        <w:ind w:firstLine="482" w:firstLineChars="200"/>
        <w:rPr>
          <w:rFonts w:hint="default" w:ascii="Times New Roman" w:hAnsi="Times New Roman" w:cs="Times New Roman"/>
          <w:b/>
          <w:bCs/>
          <w:color w:val="auto"/>
          <w:sz w:val="24"/>
          <w:szCs w:val="24"/>
          <w:highlight w:val="none"/>
          <w:lang w:val="en-US" w:eastAsia="zh-CN"/>
        </w:rPr>
      </w:pPr>
      <w:r>
        <w:rPr>
          <w:rFonts w:hint="default" w:ascii="Times New Roman" w:hAnsi="Times New Roman" w:cs="Times New Roman"/>
          <w:b/>
          <w:bCs/>
          <w:color w:val="auto"/>
          <w:sz w:val="24"/>
          <w:szCs w:val="24"/>
          <w:highlight w:val="none"/>
          <w:lang w:val="en-US" w:eastAsia="zh-CN"/>
        </w:rPr>
        <w:t>（3）英国</w:t>
      </w:r>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英国通过《水法》（Water Act）及《环境许可条例》（Environmental Permitting Regulations）管理排污行为，要求向水体排放污染物的企业必须取得环境署（Environment Agency）颁发的排放许可证，明确污染物种类、浓度及总量限制。且实施分级与分类管理，对重点排污源工业排污口、污水处理厂排污口需经严格审批，小型农业或生活排污口则通过简化程序登记管理。.对于环境容量与排放限制，是基于水环境承载力，通过水文模型（如MIKE或HEC-RAS）计算污染物允许排放量，实施“总量+浓度”双控，确保排污口设置不突破水体自净能力。</w:t>
      </w:r>
    </w:p>
    <w:p>
      <w:pPr>
        <w:spacing w:line="360" w:lineRule="auto"/>
        <w:ind w:firstLine="482" w:firstLineChars="200"/>
        <w:rPr>
          <w:rFonts w:hint="default" w:ascii="Times New Roman" w:hAnsi="Times New Roman" w:cs="Times New Roman"/>
          <w:b/>
          <w:bCs/>
          <w:color w:val="auto"/>
          <w:sz w:val="24"/>
          <w:szCs w:val="24"/>
          <w:highlight w:val="none"/>
          <w:lang w:val="en-US" w:eastAsia="zh-CN"/>
        </w:rPr>
      </w:pPr>
      <w:r>
        <w:rPr>
          <w:rFonts w:hint="default" w:ascii="Times New Roman" w:hAnsi="Times New Roman" w:cs="Times New Roman"/>
          <w:b/>
          <w:bCs/>
          <w:color w:val="auto"/>
          <w:sz w:val="24"/>
          <w:szCs w:val="24"/>
          <w:highlight w:val="none"/>
          <w:lang w:val="en-US" w:eastAsia="zh-CN"/>
        </w:rPr>
        <w:t>（4）日本</w:t>
      </w:r>
    </w:p>
    <w:p>
      <w:pPr>
        <w:spacing w:line="360" w:lineRule="auto"/>
        <w:ind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水质污浊防止法》作为日本水污染防治的核心法律，明确要求排污单位向地方政府申请排污许可，提交污染物种类、排放量及处理设施信息，确保排放符合水质标准。另，各都道府县根据区域环境特点制定细化条例，如东京都通过《环境确保条例》强化对工业排污口的管控，要求企业采用最佳可行技术（BAT）减少污染负荷。且实施分类管理机制，针对化工、电镀、造纸等高污染行业，实施严格的审批制度，要求提交环境影响评估报告，并定期接受第三方监测。对生活污水和小型农业排污口采取登记备案制，降低行政成本，但需确保符合排放限值。基于受纳水体的自净能力，制定分区域的污染物排放浓度和总量限制标准。引入水质模型（如WASP）预测排污对水体生态的影响，优化排污口选址和排放方案。</w:t>
      </w:r>
    </w:p>
    <w:p>
      <w:pPr>
        <w:pStyle w:val="5"/>
        <w:numPr>
          <w:ilvl w:val="0"/>
          <w:numId w:val="0"/>
        </w:numPr>
        <w:spacing w:before="0" w:after="0" w:line="360" w:lineRule="auto"/>
        <w:rPr>
          <w:rFonts w:hint="default" w:ascii="Times New Roman" w:hAnsi="Times New Roman" w:eastAsia="宋体" w:cs="Times New Roman"/>
          <w:b/>
          <w:color w:val="auto"/>
          <w:szCs w:val="24"/>
          <w:highlight w:val="none"/>
          <w:lang w:val="en-US" w:eastAsia="zh-CN"/>
        </w:rPr>
      </w:pPr>
      <w:bookmarkStart w:id="118" w:name="_Toc4204"/>
      <w:r>
        <w:rPr>
          <w:rFonts w:hint="eastAsia" w:ascii="Times New Roman" w:hAnsi="Times New Roman" w:eastAsia="宋体" w:cs="Times New Roman"/>
          <w:b/>
          <w:color w:val="auto"/>
          <w:szCs w:val="24"/>
          <w:highlight w:val="none"/>
          <w:lang w:val="en-US" w:eastAsia="zh-CN"/>
        </w:rPr>
        <w:t>5</w:t>
      </w:r>
      <w:r>
        <w:rPr>
          <w:rFonts w:hint="default" w:ascii="Times New Roman" w:hAnsi="Times New Roman" w:eastAsia="宋体" w:cs="Times New Roman"/>
          <w:b/>
          <w:color w:val="auto"/>
          <w:szCs w:val="24"/>
          <w:highlight w:val="none"/>
        </w:rPr>
        <w:t>.</w:t>
      </w:r>
      <w:r>
        <w:rPr>
          <w:rFonts w:hint="default" w:ascii="Times New Roman" w:hAnsi="Times New Roman" w:eastAsia="宋体" w:cs="Times New Roman"/>
          <w:b/>
          <w:color w:val="auto"/>
          <w:szCs w:val="24"/>
          <w:highlight w:val="none"/>
          <w:lang w:val="en-US" w:eastAsia="zh-CN"/>
        </w:rPr>
        <w:t>2 国内相关标准情况</w:t>
      </w:r>
      <w:bookmarkEnd w:id="118"/>
    </w:p>
    <w:p>
      <w:pPr>
        <w:spacing w:line="360" w:lineRule="auto"/>
        <w:ind w:firstLine="482" w:firstLineChars="200"/>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（1）现行相关法律法规</w:t>
      </w:r>
    </w:p>
    <w:p>
      <w:pPr>
        <w:spacing w:line="360" w:lineRule="auto"/>
        <w:ind w:firstLine="480" w:firstLineChars="200"/>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rPr>
        <w:t>目前，《水法》、《水污染防治法》作为入河排污口的上位法，对入河排污口的监管及设置审批等做出了规定。但上位法中入河排污口设置的职责仍在水利部，相关的监督管理工作均由相应级别的水行政主管部门或者流域管理机构负责，住建部门、</w:t>
      </w:r>
      <w:r>
        <w:rPr>
          <w:rFonts w:hint="eastAsia" w:ascii="Times New Roman" w:hAnsi="Times New Roman" w:cs="Times New Roman"/>
          <w:color w:val="auto"/>
          <w:sz w:val="24"/>
          <w:szCs w:val="24"/>
          <w:highlight w:val="none"/>
          <w:lang w:val="en-US" w:eastAsia="zh-CN"/>
        </w:rPr>
        <w:t>生态环境</w:t>
      </w:r>
      <w:r>
        <w:rPr>
          <w:rFonts w:hint="default" w:ascii="Times New Roman" w:hAnsi="Times New Roman" w:cs="Times New Roman"/>
          <w:color w:val="auto"/>
          <w:sz w:val="24"/>
          <w:szCs w:val="24"/>
          <w:highlight w:val="none"/>
        </w:rPr>
        <w:t>部门共同监管。</w:t>
      </w:r>
      <w:r>
        <w:rPr>
          <w:rFonts w:hint="eastAsia" w:ascii="Times New Roman" w:hAnsi="Times New Roman" w:cs="Times New Roman"/>
          <w:color w:val="auto"/>
          <w:sz w:val="24"/>
          <w:szCs w:val="24"/>
          <w:highlight w:val="none"/>
          <w:lang w:val="en-US" w:eastAsia="zh-CN"/>
        </w:rPr>
        <w:t>《黄河保护法》、《长江保护法》规定了在黄河流域、长江流域河道、湖泊新设、改设或者扩大排污口，应当报经有管辖权的生态环境主管部门或者流域生态环境监督管理机构批准。《</w:t>
      </w:r>
      <w:r>
        <w:rPr>
          <w:rFonts w:hint="default" w:ascii="Times New Roman" w:hAnsi="Times New Roman" w:cs="Times New Roman"/>
          <w:color w:val="auto"/>
          <w:sz w:val="24"/>
          <w:szCs w:val="24"/>
          <w:highlight w:val="none"/>
          <w:lang w:val="en-US" w:eastAsia="zh-CN"/>
        </w:rPr>
        <w:t>陕西省渭河保护条例</w:t>
      </w:r>
      <w:r>
        <w:rPr>
          <w:rFonts w:hint="eastAsia" w:ascii="Times New Roman" w:hAnsi="Times New Roman" w:cs="Times New Roman"/>
          <w:color w:val="auto"/>
          <w:sz w:val="24"/>
          <w:szCs w:val="24"/>
          <w:highlight w:val="none"/>
          <w:lang w:val="en-US" w:eastAsia="zh-CN"/>
        </w:rPr>
        <w:t>》规定</w:t>
      </w:r>
      <w:r>
        <w:rPr>
          <w:rFonts w:hint="default" w:ascii="Times New Roman" w:hAnsi="Times New Roman" w:cs="Times New Roman"/>
          <w:color w:val="auto"/>
          <w:sz w:val="24"/>
          <w:szCs w:val="24"/>
          <w:highlight w:val="none"/>
          <w:lang w:val="en-US" w:eastAsia="zh-CN"/>
        </w:rPr>
        <w:t>在渭河干流及其支流河道新建、改建、扩建排污口，依法报经有管辖权的生态环境行政主管部门或者黄河流域生态环境监督管理机构批准。</w:t>
      </w:r>
      <w:r>
        <w:rPr>
          <w:rFonts w:hint="eastAsia" w:ascii="Times New Roman" w:hAnsi="Times New Roman" w:cs="Times New Roman"/>
          <w:color w:val="auto"/>
          <w:sz w:val="24"/>
          <w:szCs w:val="24"/>
          <w:highlight w:val="none"/>
          <w:lang w:val="en-US" w:eastAsia="zh-CN"/>
        </w:rPr>
        <w:t>《</w:t>
      </w:r>
      <w:r>
        <w:rPr>
          <w:rFonts w:ascii="宋体" w:hAnsi="宋体" w:eastAsia="宋体" w:cs="宋体"/>
          <w:color w:val="auto"/>
          <w:sz w:val="24"/>
          <w:szCs w:val="24"/>
          <w:highlight w:val="none"/>
        </w:rPr>
        <w:t>陕西省汉江丹江流域水污染防治条例</w:t>
      </w:r>
      <w:r>
        <w:rPr>
          <w:rFonts w:hint="eastAsia" w:ascii="Times New Roman" w:hAnsi="Times New Roman" w:cs="Times New Roman"/>
          <w:color w:val="auto"/>
          <w:sz w:val="24"/>
          <w:szCs w:val="24"/>
          <w:highlight w:val="none"/>
          <w:lang w:val="en-US" w:eastAsia="zh-CN"/>
        </w:rPr>
        <w:t>》规定</w:t>
      </w:r>
      <w:r>
        <w:rPr>
          <w:rFonts w:ascii="宋体" w:hAnsi="宋体" w:eastAsia="宋体" w:cs="宋体"/>
          <w:color w:val="auto"/>
          <w:sz w:val="24"/>
          <w:szCs w:val="24"/>
          <w:highlight w:val="none"/>
        </w:rPr>
        <w:t>在汉江丹江流域江河、湖泊新设、改设或者扩大排污口,应当经有管辖权的生态环境行政主管部门或者流域生态环境监督管理机构同意。</w:t>
      </w:r>
    </w:p>
    <w:p>
      <w:pPr>
        <w:spacing w:line="360" w:lineRule="auto"/>
        <w:ind w:firstLine="482" w:firstLineChars="200"/>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cs="Times New Roman"/>
          <w:b/>
          <w:bCs/>
          <w:color w:val="auto"/>
          <w:sz w:val="24"/>
          <w:szCs w:val="24"/>
          <w:highlight w:val="none"/>
          <w:lang w:eastAsia="zh-CN"/>
        </w:rPr>
        <w:t>（</w:t>
      </w:r>
      <w:r>
        <w:rPr>
          <w:rFonts w:hint="eastAsia" w:ascii="Times New Roman" w:hAnsi="Times New Roman" w:cs="Times New Roman"/>
          <w:b/>
          <w:bCs/>
          <w:color w:val="auto"/>
          <w:sz w:val="24"/>
          <w:szCs w:val="24"/>
          <w:highlight w:val="none"/>
          <w:lang w:val="en-US" w:eastAsia="zh-CN"/>
        </w:rPr>
        <w:t>2</w:t>
      </w:r>
      <w:r>
        <w:rPr>
          <w:rFonts w:hint="eastAsia" w:ascii="Times New Roman" w:hAnsi="Times New Roman" w:cs="Times New Roman"/>
          <w:b/>
          <w:bCs/>
          <w:color w:val="auto"/>
          <w:sz w:val="24"/>
          <w:szCs w:val="24"/>
          <w:highlight w:val="none"/>
          <w:lang w:eastAsia="zh-CN"/>
        </w:rPr>
        <w:t>）</w:t>
      </w:r>
      <w:r>
        <w:rPr>
          <w:rFonts w:hint="eastAsia" w:ascii="Times New Roman" w:hAnsi="Times New Roman" w:cs="Times New Roman"/>
          <w:b/>
          <w:bCs/>
          <w:color w:val="auto"/>
          <w:sz w:val="24"/>
          <w:szCs w:val="24"/>
          <w:highlight w:val="none"/>
          <w:lang w:val="en-US" w:eastAsia="zh-CN"/>
        </w:rPr>
        <w:t>现行相关标准</w:t>
      </w:r>
    </w:p>
    <w:p>
      <w:pPr>
        <w:spacing w:line="360" w:lineRule="auto"/>
        <w:ind w:firstLine="480" w:firstLineChars="200"/>
        <w:rPr>
          <w:rFonts w:hint="eastAsia" w:ascii="宋体" w:hAnsi="宋体" w:eastAsia="宋体" w:cs="宋体"/>
          <w:i w:val="0"/>
          <w:iCs w:val="0"/>
          <w:caps w:val="0"/>
          <w:color w:val="auto"/>
          <w:spacing w:val="0"/>
          <w:sz w:val="24"/>
          <w:szCs w:val="24"/>
          <w:highlight w:val="none"/>
          <w:shd w:val="clear" w:fill="FFFFFF"/>
        </w:rPr>
      </w:pPr>
      <w:r>
        <w:rPr>
          <w:rFonts w:hint="default" w:ascii="Times New Roman" w:hAnsi="Times New Roman" w:cs="Times New Roman"/>
          <w:color w:val="auto"/>
          <w:sz w:val="24"/>
          <w:szCs w:val="24"/>
          <w:highlight w:val="none"/>
          <w:lang w:val="en-US" w:eastAsia="zh-CN"/>
        </w:rPr>
        <w:t>生态环境部发布了</w:t>
      </w:r>
      <w:r>
        <w:rPr>
          <w:rFonts w:hint="default" w:ascii="Times New Roman" w:hAnsi="Times New Roman" w:cs="Times New Roman"/>
          <w:color w:val="auto"/>
          <w:sz w:val="24"/>
          <w:szCs w:val="24"/>
          <w:highlight w:val="none"/>
        </w:rPr>
        <w:t>《入河排污口监督管理办法》（</w:t>
      </w:r>
      <w:r>
        <w:rPr>
          <w:rFonts w:hint="default" w:ascii="Times New Roman" w:hAnsi="Times New Roman" w:cs="Times New Roman"/>
          <w:color w:val="auto"/>
          <w:sz w:val="24"/>
          <w:szCs w:val="24"/>
          <w:highlight w:val="none"/>
          <w:lang w:val="en-US" w:eastAsia="zh-CN"/>
        </w:rPr>
        <w:t>部令 第35号</w:t>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lang w:val="en-US" w:eastAsia="zh-CN"/>
        </w:rPr>
        <w:t>《入河入海排污口监督管理技术指南 名词术语》（HJ 1310-2023）、《入河入海排污口监督管理技术指南 入河排污口规范化建设》（HJ 1309-2023）、《入河入海排污口监督管理技术指南  入河排污口设置》（HJ 1386-2024）等一系列的入河排污口相关部门规章及环境标准</w:t>
      </w:r>
      <w:r>
        <w:rPr>
          <w:rFonts w:hint="eastAsia" w:ascii="Times New Roman" w:hAnsi="Times New Roman" w:cs="Times New Roman"/>
          <w:color w:val="auto"/>
          <w:sz w:val="24"/>
          <w:szCs w:val="24"/>
          <w:highlight w:val="none"/>
          <w:lang w:val="en-US" w:eastAsia="zh-CN"/>
        </w:rPr>
        <w:t>，明确了</w:t>
      </w:r>
      <w:r>
        <w:rPr>
          <w:rFonts w:hint="eastAsia" w:ascii="宋体" w:hAnsi="宋体" w:eastAsia="宋体" w:cs="宋体"/>
          <w:i w:val="0"/>
          <w:iCs w:val="0"/>
          <w:caps w:val="0"/>
          <w:color w:val="auto"/>
          <w:spacing w:val="0"/>
          <w:sz w:val="24"/>
          <w:szCs w:val="24"/>
          <w:highlight w:val="none"/>
          <w:shd w:val="clear" w:fill="FFFFFF"/>
        </w:rPr>
        <w:t>入河排污口设置审批程序、权限、监测监管</w:t>
      </w:r>
      <w:r>
        <w:rPr>
          <w:rFonts w:hint="eastAsia" w:ascii="宋体" w:hAnsi="宋体" w:eastAsia="宋体" w:cs="宋体"/>
          <w:i w:val="0"/>
          <w:iCs w:val="0"/>
          <w:caps w:val="0"/>
          <w:color w:val="auto"/>
          <w:spacing w:val="0"/>
          <w:sz w:val="24"/>
          <w:szCs w:val="24"/>
          <w:highlight w:val="none"/>
          <w:shd w:val="clear" w:fill="FFFFFF"/>
          <w:lang w:val="en-US" w:eastAsia="zh-CN"/>
        </w:rPr>
        <w:t>及其规范化建设、设置等要求，上述文件</w:t>
      </w:r>
      <w:r>
        <w:rPr>
          <w:rFonts w:hint="eastAsia" w:ascii="宋体" w:hAnsi="宋体" w:eastAsia="宋体" w:cs="宋体"/>
          <w:i w:val="0"/>
          <w:iCs w:val="0"/>
          <w:caps w:val="0"/>
          <w:color w:val="auto"/>
          <w:spacing w:val="0"/>
          <w:sz w:val="24"/>
          <w:szCs w:val="24"/>
          <w:highlight w:val="none"/>
          <w:shd w:val="clear" w:fill="FFFFFF"/>
        </w:rPr>
        <w:t>是深化入河排污口设置和管理改革</w:t>
      </w:r>
      <w:r>
        <w:rPr>
          <w:rFonts w:hint="eastAsia" w:ascii="宋体" w:hAnsi="宋体" w:eastAsia="宋体" w:cs="宋体"/>
          <w:i w:val="0"/>
          <w:iCs w:val="0"/>
          <w:caps w:val="0"/>
          <w:color w:val="auto"/>
          <w:spacing w:val="0"/>
          <w:sz w:val="24"/>
          <w:szCs w:val="24"/>
          <w:highlight w:val="none"/>
          <w:shd w:val="clear" w:fill="FFFFFF"/>
          <w:lang w:val="en-US" w:eastAsia="zh-CN"/>
        </w:rPr>
        <w:t>的</w:t>
      </w:r>
      <w:r>
        <w:rPr>
          <w:rFonts w:hint="eastAsia" w:ascii="宋体" w:hAnsi="宋体" w:eastAsia="宋体" w:cs="宋体"/>
          <w:i w:val="0"/>
          <w:iCs w:val="0"/>
          <w:caps w:val="0"/>
          <w:color w:val="auto"/>
          <w:spacing w:val="0"/>
          <w:sz w:val="24"/>
          <w:szCs w:val="24"/>
          <w:highlight w:val="none"/>
          <w:shd w:val="clear" w:fill="FFFFFF"/>
        </w:rPr>
        <w:t>重要文件，有利于加快提升环境治理能力和治理体系现代化水平。</w:t>
      </w:r>
    </w:p>
    <w:p>
      <w:pPr>
        <w:spacing w:line="360" w:lineRule="auto"/>
        <w:ind w:firstLine="480" w:firstLineChars="200"/>
        <w:rPr>
          <w:rFonts w:hint="eastAsia" w:ascii="Times New Roman" w:hAnsi="Times New Roman" w:cs="Times New Roman"/>
          <w:b w:val="0"/>
          <w:bCs w:val="0"/>
          <w:color w:val="auto"/>
          <w:sz w:val="24"/>
          <w:szCs w:val="24"/>
          <w:highlight w:val="none"/>
          <w:lang w:val="en-US" w:eastAsia="zh-CN"/>
        </w:rPr>
      </w:pPr>
      <w:r>
        <w:rPr>
          <w:rFonts w:hint="eastAsia" w:ascii="Times New Roman" w:hAnsi="Times New Roman" w:cs="Times New Roman"/>
          <w:b w:val="0"/>
          <w:bCs w:val="0"/>
          <w:color w:val="auto"/>
          <w:sz w:val="24"/>
          <w:szCs w:val="24"/>
          <w:highlight w:val="none"/>
          <w:lang w:val="en-US" w:eastAsia="zh-CN"/>
        </w:rPr>
        <w:t>截止目前，生态环境部尚未发布相关入河排污口设置论证报告技术评估相关技术文件，也未搜索和调查到国外以及国内其他省份发布入河排污口设置技术评估相关文件。</w:t>
      </w:r>
      <w:bookmarkEnd w:id="48"/>
      <w:bookmarkEnd w:id="49"/>
      <w:bookmarkEnd w:id="50"/>
      <w:bookmarkStart w:id="119" w:name="_Toc84405133"/>
      <w:bookmarkStart w:id="120" w:name="_Toc85248120"/>
      <w:bookmarkStart w:id="121" w:name="_Toc84908958"/>
    </w:p>
    <w:p>
      <w:pPr>
        <w:pStyle w:val="4"/>
        <w:numPr>
          <w:ilvl w:val="0"/>
          <w:numId w:val="0"/>
        </w:numPr>
        <w:spacing w:line="360" w:lineRule="auto"/>
        <w:rPr>
          <w:rFonts w:hint="default" w:ascii="Times New Roman" w:hAnsi="Times New Roman" w:eastAsia="宋体" w:cs="Times New Roman"/>
          <w:b/>
          <w:color w:val="auto"/>
          <w:sz w:val="24"/>
          <w:szCs w:val="24"/>
          <w:highlight w:val="none"/>
          <w:lang w:val="en-US" w:eastAsia="zh-CN"/>
        </w:rPr>
      </w:pPr>
      <w:bookmarkStart w:id="122" w:name="_Toc26609"/>
      <w:r>
        <w:rPr>
          <w:rFonts w:hint="eastAsia" w:ascii="Times New Roman" w:hAnsi="Times New Roman" w:eastAsia="宋体" w:cs="Times New Roman"/>
          <w:b/>
          <w:color w:val="auto"/>
          <w:sz w:val="24"/>
          <w:szCs w:val="24"/>
          <w:highlight w:val="none"/>
          <w:lang w:val="en-US" w:eastAsia="zh-CN"/>
        </w:rPr>
        <w:t xml:space="preserve">6 </w:t>
      </w:r>
      <w:r>
        <w:rPr>
          <w:rFonts w:hint="default" w:ascii="Times New Roman" w:hAnsi="Times New Roman" w:eastAsia="宋体" w:cs="Times New Roman"/>
          <w:b/>
          <w:color w:val="auto"/>
          <w:sz w:val="24"/>
          <w:szCs w:val="24"/>
          <w:highlight w:val="none"/>
          <w:lang w:val="en-US" w:eastAsia="zh-CN"/>
        </w:rPr>
        <w:t>重大意见分歧的处理</w:t>
      </w:r>
      <w:bookmarkEnd w:id="122"/>
      <w:r>
        <w:rPr>
          <w:rFonts w:hint="default" w:ascii="Times New Roman" w:hAnsi="Times New Roman" w:eastAsia="宋体" w:cs="Times New Roman"/>
          <w:b/>
          <w:color w:val="auto"/>
          <w:sz w:val="24"/>
          <w:szCs w:val="24"/>
          <w:highlight w:val="none"/>
          <w:lang w:val="en-US" w:eastAsia="zh-CN"/>
        </w:rPr>
        <w:t xml:space="preserve"> </w:t>
      </w:r>
    </w:p>
    <w:p>
      <w:pPr>
        <w:spacing w:line="360" w:lineRule="auto"/>
        <w:ind w:firstLine="480" w:firstLineChars="200"/>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val="en-US" w:eastAsia="zh-CN"/>
        </w:rPr>
        <w:t>无重大意见分歧意见。</w:t>
      </w:r>
    </w:p>
    <w:p>
      <w:pPr>
        <w:pStyle w:val="4"/>
        <w:numPr>
          <w:ilvl w:val="0"/>
          <w:numId w:val="0"/>
        </w:numPr>
        <w:spacing w:line="360" w:lineRule="auto"/>
        <w:rPr>
          <w:rFonts w:hint="default" w:ascii="Times New Roman" w:hAnsi="Times New Roman" w:eastAsia="宋体" w:cs="Times New Roman"/>
          <w:b/>
          <w:color w:val="auto"/>
          <w:sz w:val="24"/>
          <w:szCs w:val="24"/>
          <w:highlight w:val="none"/>
        </w:rPr>
      </w:pPr>
      <w:bookmarkStart w:id="123" w:name="_Toc22102"/>
      <w:r>
        <w:rPr>
          <w:rFonts w:hint="default" w:ascii="Times New Roman" w:hAnsi="Times New Roman" w:eastAsia="宋体" w:cs="Times New Roman"/>
          <w:b/>
          <w:color w:val="auto"/>
          <w:sz w:val="24"/>
          <w:szCs w:val="24"/>
          <w:highlight w:val="none"/>
          <w:lang w:val="en-US" w:eastAsia="zh-CN"/>
        </w:rPr>
        <w:t>7</w:t>
      </w:r>
      <w:r>
        <w:rPr>
          <w:rFonts w:hint="default" w:ascii="Times New Roman" w:hAnsi="Times New Roman" w:eastAsia="宋体" w:cs="Times New Roman"/>
          <w:b/>
          <w:color w:val="auto"/>
          <w:sz w:val="24"/>
          <w:szCs w:val="24"/>
          <w:highlight w:val="none"/>
        </w:rPr>
        <w:t xml:space="preserve"> 标准实施建议</w:t>
      </w:r>
      <w:bookmarkEnd w:id="123"/>
    </w:p>
    <w:p>
      <w:pPr>
        <w:spacing w:line="360" w:lineRule="auto"/>
        <w:ind w:firstLine="480" w:firstLineChars="200"/>
        <w:rPr>
          <w:rFonts w:hint="default" w:ascii="Times New Roman" w:hAnsi="Times New Roman" w:cs="Times New Roman"/>
          <w:color w:val="auto"/>
          <w:sz w:val="24"/>
          <w:szCs w:val="24"/>
          <w:highlight w:val="none"/>
        </w:rPr>
      </w:pPr>
      <w:r>
        <w:rPr>
          <w:rFonts w:hint="default" w:ascii="Times New Roman" w:hAnsi="Times New Roman" w:eastAsia="宋体" w:cs="Times New Roman"/>
          <w:color w:val="auto"/>
          <w:sz w:val="24"/>
          <w:szCs w:val="24"/>
          <w:highlight w:val="none"/>
        </w:rPr>
        <w:t>本标准是</w:t>
      </w:r>
      <w:r>
        <w:rPr>
          <w:rFonts w:hint="default" w:ascii="Times New Roman" w:hAnsi="Times New Roman" w:cs="Times New Roman"/>
          <w:color w:val="auto"/>
          <w:sz w:val="24"/>
          <w:szCs w:val="24"/>
          <w:highlight w:val="none"/>
          <w:lang w:val="en-US" w:eastAsia="zh-CN"/>
        </w:rPr>
        <w:t>陕西省</w:t>
      </w:r>
      <w:r>
        <w:rPr>
          <w:rFonts w:hint="default" w:ascii="Times New Roman" w:hAnsi="Times New Roman" w:eastAsia="宋体" w:cs="Times New Roman"/>
          <w:color w:val="auto"/>
          <w:sz w:val="24"/>
          <w:szCs w:val="24"/>
          <w:highlight w:val="none"/>
        </w:rPr>
        <w:t>生态环境</w:t>
      </w:r>
      <w:r>
        <w:rPr>
          <w:rFonts w:hint="default" w:ascii="Times New Roman" w:hAnsi="Times New Roman" w:cs="Times New Roman"/>
          <w:color w:val="auto"/>
          <w:sz w:val="24"/>
          <w:szCs w:val="24"/>
          <w:highlight w:val="none"/>
          <w:lang w:val="en-US" w:eastAsia="zh-CN"/>
        </w:rPr>
        <w:t>厅</w:t>
      </w:r>
      <w:r>
        <w:rPr>
          <w:rFonts w:hint="default" w:ascii="Times New Roman" w:hAnsi="Times New Roman" w:eastAsia="宋体" w:cs="Times New Roman"/>
          <w:color w:val="auto"/>
          <w:sz w:val="24"/>
          <w:szCs w:val="24"/>
          <w:highlight w:val="none"/>
        </w:rPr>
        <w:t>关于指导和监督</w:t>
      </w:r>
      <w:r>
        <w:rPr>
          <w:rFonts w:hint="default" w:ascii="Times New Roman" w:hAnsi="Times New Roman" w:cs="Times New Roman"/>
          <w:color w:val="auto"/>
          <w:sz w:val="24"/>
          <w:szCs w:val="24"/>
          <w:highlight w:val="none"/>
          <w:lang w:val="en-US" w:eastAsia="zh-CN"/>
        </w:rPr>
        <w:t>入河排污口设置技术评估</w:t>
      </w:r>
      <w:r>
        <w:rPr>
          <w:rFonts w:hint="default" w:ascii="Times New Roman" w:hAnsi="Times New Roman" w:eastAsia="宋体" w:cs="Times New Roman"/>
          <w:color w:val="auto"/>
          <w:sz w:val="24"/>
          <w:szCs w:val="24"/>
          <w:highlight w:val="none"/>
        </w:rPr>
        <w:t>工作的第一个标准，是指南性文件，对推进生态环境部门</w:t>
      </w:r>
      <w:r>
        <w:rPr>
          <w:rFonts w:hint="default" w:ascii="Times New Roman" w:hAnsi="Times New Roman" w:cs="Times New Roman"/>
          <w:color w:val="auto"/>
          <w:sz w:val="24"/>
          <w:szCs w:val="24"/>
          <w:highlight w:val="none"/>
          <w:lang w:val="en-US" w:eastAsia="zh-CN"/>
        </w:rPr>
        <w:t>指导</w:t>
      </w:r>
      <w:r>
        <w:rPr>
          <w:rFonts w:hint="default" w:ascii="Times New Roman" w:hAnsi="Times New Roman" w:eastAsia="宋体" w:cs="Times New Roman"/>
          <w:color w:val="auto"/>
          <w:sz w:val="24"/>
          <w:szCs w:val="24"/>
          <w:highlight w:val="none"/>
        </w:rPr>
        <w:t>和监督</w:t>
      </w:r>
      <w:r>
        <w:rPr>
          <w:rFonts w:hint="default" w:ascii="Times New Roman" w:hAnsi="Times New Roman" w:cs="Times New Roman"/>
          <w:color w:val="auto"/>
          <w:sz w:val="24"/>
          <w:szCs w:val="24"/>
          <w:highlight w:val="none"/>
          <w:lang w:val="en-US" w:eastAsia="zh-CN"/>
        </w:rPr>
        <w:t>入河排污口设置技术评估</w:t>
      </w:r>
      <w:r>
        <w:rPr>
          <w:rFonts w:hint="default" w:ascii="Times New Roman" w:hAnsi="Times New Roman" w:eastAsia="宋体" w:cs="Times New Roman"/>
          <w:color w:val="auto"/>
          <w:sz w:val="24"/>
          <w:szCs w:val="24"/>
          <w:highlight w:val="none"/>
        </w:rPr>
        <w:t>工作具有重要作用。建议尽快征求意见并发布实施，为</w:t>
      </w:r>
      <w:r>
        <w:rPr>
          <w:rFonts w:hint="default" w:ascii="Times New Roman" w:hAnsi="Times New Roman" w:cs="Times New Roman"/>
          <w:color w:val="auto"/>
          <w:sz w:val="24"/>
          <w:szCs w:val="24"/>
          <w:highlight w:val="none"/>
          <w:lang w:val="en-US" w:eastAsia="zh-CN"/>
        </w:rPr>
        <w:t>指导</w:t>
      </w:r>
      <w:r>
        <w:rPr>
          <w:rFonts w:hint="default" w:ascii="Times New Roman" w:hAnsi="Times New Roman" w:eastAsia="宋体" w:cs="Times New Roman"/>
          <w:color w:val="auto"/>
          <w:sz w:val="24"/>
          <w:szCs w:val="24"/>
          <w:highlight w:val="none"/>
        </w:rPr>
        <w:t>和监督</w:t>
      </w:r>
      <w:r>
        <w:rPr>
          <w:rFonts w:hint="default" w:ascii="Times New Roman" w:hAnsi="Times New Roman" w:cs="Times New Roman"/>
          <w:color w:val="auto"/>
          <w:sz w:val="24"/>
          <w:szCs w:val="24"/>
          <w:highlight w:val="none"/>
          <w:lang w:val="en-US" w:eastAsia="zh-CN"/>
        </w:rPr>
        <w:t>入河排污口设置技术评估</w:t>
      </w:r>
      <w:r>
        <w:rPr>
          <w:rFonts w:hint="default" w:ascii="Times New Roman" w:hAnsi="Times New Roman" w:eastAsia="宋体" w:cs="Times New Roman"/>
          <w:color w:val="auto"/>
          <w:sz w:val="24"/>
          <w:szCs w:val="24"/>
          <w:highlight w:val="none"/>
        </w:rPr>
        <w:t>工作提供科学依据。在评估</w:t>
      </w:r>
      <w:r>
        <w:rPr>
          <w:rFonts w:hint="default" w:ascii="Times New Roman" w:hAnsi="Times New Roman" w:cs="Times New Roman"/>
          <w:color w:val="auto"/>
          <w:sz w:val="24"/>
          <w:szCs w:val="24"/>
          <w:highlight w:val="none"/>
          <w:lang w:val="en-US" w:eastAsia="zh-CN"/>
        </w:rPr>
        <w:t>过程</w:t>
      </w:r>
      <w:r>
        <w:rPr>
          <w:rFonts w:hint="default" w:ascii="Times New Roman" w:hAnsi="Times New Roman" w:eastAsia="宋体" w:cs="Times New Roman"/>
          <w:color w:val="auto"/>
          <w:sz w:val="24"/>
          <w:szCs w:val="24"/>
          <w:highlight w:val="none"/>
        </w:rPr>
        <w:t>中可以根据</w:t>
      </w:r>
      <w:r>
        <w:rPr>
          <w:rFonts w:hint="default" w:ascii="Times New Roman" w:hAnsi="Times New Roman" w:cs="Times New Roman"/>
          <w:color w:val="auto"/>
          <w:sz w:val="24"/>
          <w:szCs w:val="24"/>
          <w:highlight w:val="none"/>
          <w:lang w:val="en-US" w:eastAsia="zh-CN"/>
        </w:rPr>
        <w:t>入河排污口设置技术评估工作需要</w:t>
      </w:r>
      <w:r>
        <w:rPr>
          <w:rFonts w:hint="default" w:ascii="Times New Roman" w:hAnsi="Times New Roman" w:eastAsia="宋体" w:cs="Times New Roman"/>
          <w:color w:val="auto"/>
          <w:sz w:val="24"/>
          <w:szCs w:val="24"/>
          <w:highlight w:val="none"/>
        </w:rPr>
        <w:t>进行</w:t>
      </w:r>
      <w:r>
        <w:rPr>
          <w:rFonts w:hint="default" w:ascii="Times New Roman" w:hAnsi="Times New Roman" w:cs="Times New Roman"/>
          <w:color w:val="auto"/>
          <w:sz w:val="24"/>
          <w:szCs w:val="24"/>
          <w:highlight w:val="none"/>
          <w:lang w:val="en-US" w:eastAsia="zh-CN"/>
        </w:rPr>
        <w:t>本标准的修订</w:t>
      </w:r>
      <w:r>
        <w:rPr>
          <w:rFonts w:hint="default" w:ascii="Times New Roman" w:hAnsi="Times New Roman" w:eastAsia="宋体" w:cs="Times New Roman"/>
          <w:color w:val="auto"/>
          <w:sz w:val="24"/>
          <w:szCs w:val="24"/>
          <w:highlight w:val="none"/>
        </w:rPr>
        <w:t>。</w:t>
      </w:r>
    </w:p>
    <w:bookmarkEnd w:id="119"/>
    <w:bookmarkEnd w:id="120"/>
    <w:bookmarkEnd w:id="121"/>
    <w:p>
      <w:pPr>
        <w:spacing w:line="360" w:lineRule="auto"/>
        <w:rPr>
          <w:rFonts w:hint="default" w:ascii="Times New Roman" w:hAnsi="Times New Roman" w:cs="Times New Roman"/>
          <w:color w:val="auto"/>
          <w:sz w:val="24"/>
          <w:highlight w:val="none"/>
        </w:rPr>
      </w:pPr>
    </w:p>
    <w:sectPr>
      <w:pgSz w:w="11906" w:h="16838"/>
      <w:pgMar w:top="1440" w:right="1576" w:bottom="1440" w:left="1576"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pPr>
      <w:pStyle w:val="14"/>
      <w:framePr w:wrap="around" w:vAnchor="text" w:hAnchor="margin" w:xAlign="center" w:y="1"/>
      <w:rPr>
        <w:rStyle w:val="26"/>
      </w:rPr>
    </w:pPr>
    <w:r>
      <w:fldChar w:fldCharType="begin"/>
    </w:r>
    <w:r>
      <w:rPr>
        <w:rStyle w:val="26"/>
      </w:rPr>
      <w:instrText xml:space="preserve">PAGE  </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1217"/>
      </w:tabs>
      <w:rPr>
        <w:rFonts w:hint="eastAsia" w:eastAsia="宋体"/>
        <w:lang w:eastAsia="zh-CN"/>
      </w:rPr>
    </w:pP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Times New Roman" w:hAnsi="Times New Roman"/>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rPr>
                              <w:rStyle w:val="26"/>
                              <w:rFonts w:ascii="Times New Roman" w:hAnsi="Times New Roman"/>
                              <w:sz w:val="21"/>
                              <w:szCs w:val="21"/>
                            </w:rPr>
                          </w:pPr>
                          <w:r>
                            <w:rPr>
                              <w:rFonts w:ascii="Times New Roman" w:hAnsi="Times New Roman"/>
                              <w:sz w:val="21"/>
                              <w:szCs w:val="21"/>
                            </w:rPr>
                            <w:fldChar w:fldCharType="begin"/>
                          </w:r>
                          <w:r>
                            <w:rPr>
                              <w:rStyle w:val="26"/>
                              <w:rFonts w:ascii="Times New Roman" w:hAnsi="Times New Roman"/>
                              <w:sz w:val="21"/>
                              <w:szCs w:val="21"/>
                            </w:rPr>
                            <w:instrText xml:space="preserve">PAGE  </w:instrText>
                          </w:r>
                          <w:r>
                            <w:rPr>
                              <w:rFonts w:ascii="Times New Roman" w:hAnsi="Times New Roman"/>
                              <w:sz w:val="21"/>
                              <w:szCs w:val="21"/>
                            </w:rPr>
                            <w:fldChar w:fldCharType="separate"/>
                          </w:r>
                          <w:r>
                            <w:rPr>
                              <w:rStyle w:val="26"/>
                              <w:rFonts w:ascii="Times New Roman" w:hAnsi="Times New Roman"/>
                              <w:sz w:val="21"/>
                              <w:szCs w:val="21"/>
                            </w:rPr>
                            <w:t>7</w:t>
                          </w:r>
                          <w:r>
                            <w:rPr>
                              <w:rFonts w:ascii="Times New Roman" w:hAnsi="Times New Roman"/>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14"/>
                      <w:rPr>
                        <w:rStyle w:val="26"/>
                        <w:rFonts w:ascii="Times New Roman" w:hAnsi="Times New Roman"/>
                        <w:sz w:val="21"/>
                        <w:szCs w:val="21"/>
                      </w:rPr>
                    </w:pPr>
                    <w:r>
                      <w:rPr>
                        <w:rFonts w:ascii="Times New Roman" w:hAnsi="Times New Roman"/>
                        <w:sz w:val="21"/>
                        <w:szCs w:val="21"/>
                      </w:rPr>
                      <w:fldChar w:fldCharType="begin"/>
                    </w:r>
                    <w:r>
                      <w:rPr>
                        <w:rStyle w:val="26"/>
                        <w:rFonts w:ascii="Times New Roman" w:hAnsi="Times New Roman"/>
                        <w:sz w:val="21"/>
                        <w:szCs w:val="21"/>
                      </w:rPr>
                      <w:instrText xml:space="preserve">PAGE  </w:instrText>
                    </w:r>
                    <w:r>
                      <w:rPr>
                        <w:rFonts w:ascii="Times New Roman" w:hAnsi="Times New Roman"/>
                        <w:sz w:val="21"/>
                        <w:szCs w:val="21"/>
                      </w:rPr>
                      <w:fldChar w:fldCharType="separate"/>
                    </w:r>
                    <w:r>
                      <w:rPr>
                        <w:rStyle w:val="26"/>
                        <w:rFonts w:ascii="Times New Roman" w:hAnsi="Times New Roman"/>
                        <w:sz w:val="21"/>
                        <w:szCs w:val="21"/>
                      </w:rPr>
                      <w:t>7</w:t>
                    </w:r>
                    <w:r>
                      <w:rPr>
                        <w:rFonts w:ascii="Times New Roman" w:hAnsi="Times New Roman"/>
                        <w:sz w:val="21"/>
                        <w:szCs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96A84"/>
    <w:multiLevelType w:val="multilevel"/>
    <w:tmpl w:val="0D896A84"/>
    <w:lvl w:ilvl="0" w:tentative="0">
      <w:start w:val="1"/>
      <w:numFmt w:val="decimal"/>
      <w:pStyle w:val="4"/>
      <w:lvlText w:val="%1"/>
      <w:lvlJc w:val="left"/>
      <w:pPr>
        <w:tabs>
          <w:tab w:val="left" w:pos="425"/>
        </w:tabs>
        <w:ind w:left="425" w:hanging="425"/>
      </w:pPr>
      <w:rPr>
        <w:rFonts w:hint="eastAsia"/>
      </w:rPr>
    </w:lvl>
    <w:lvl w:ilvl="1" w:tentative="0">
      <w:start w:val="1"/>
      <w:numFmt w:val="decimal"/>
      <w:pStyle w:val="5"/>
      <w:lvlText w:val="%1.%2"/>
      <w:lvlJc w:val="left"/>
      <w:pPr>
        <w:tabs>
          <w:tab w:val="left" w:pos="927"/>
        </w:tabs>
        <w:ind w:left="927" w:hanging="567"/>
      </w:pPr>
      <w:rPr>
        <w:rFonts w:hint="default" w:ascii="Times New Roman" w:hAnsi="Times New Roman" w:cs="Times New Roman"/>
      </w:rPr>
    </w:lvl>
    <w:lvl w:ilvl="2" w:tentative="0">
      <w:start w:val="1"/>
      <w:numFmt w:val="decimal"/>
      <w:lvlText w:val="%1.%2.%3"/>
      <w:lvlJc w:val="left"/>
      <w:pPr>
        <w:tabs>
          <w:tab w:val="left" w:pos="709"/>
        </w:tabs>
        <w:ind w:left="709" w:hanging="709"/>
      </w:pPr>
      <w:rPr>
        <w:rFonts w:hint="eastAsia"/>
      </w:rPr>
    </w:lvl>
    <w:lvl w:ilvl="3" w:tentative="0">
      <w:start w:val="1"/>
      <w:numFmt w:val="decimal"/>
      <w:suff w:val="nothing"/>
      <w:lvlText w:val="（%4）"/>
      <w:lvlJc w:val="left"/>
      <w:pPr>
        <w:ind w:left="993"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5"/>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852"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1277"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47D74904"/>
    <w:multiLevelType w:val="multilevel"/>
    <w:tmpl w:val="47D74904"/>
    <w:lvl w:ilvl="0" w:tentative="0">
      <w:start w:val="1"/>
      <w:numFmt w:val="decimal"/>
      <w:pStyle w:val="46"/>
      <w:lvlText w:val="（%1）"/>
      <w:lvlJc w:val="left"/>
      <w:pPr>
        <w:tabs>
          <w:tab w:val="left" w:pos="644"/>
        </w:tabs>
        <w:ind w:left="446" w:firstLine="454"/>
      </w:pPr>
      <w:rPr>
        <w:rFonts w:hint="eastAsia"/>
        <w:lang w:val="en-US"/>
      </w:rPr>
    </w:lvl>
    <w:lvl w:ilvl="1" w:tentative="0">
      <w:start w:val="1"/>
      <w:numFmt w:val="lowerLetter"/>
      <w:lvlText w:val="%2)"/>
      <w:lvlJc w:val="left"/>
      <w:pPr>
        <w:tabs>
          <w:tab w:val="left" w:pos="840"/>
        </w:tabs>
        <w:ind w:left="840" w:hanging="420"/>
      </w:pPr>
    </w:lvl>
    <w:lvl w:ilvl="2" w:tentative="0">
      <w:start w:val="1"/>
      <w:numFmt w:val="decimalEnclosedCircle"/>
      <w:lvlText w:val="%3"/>
      <w:lvlJc w:val="left"/>
      <w:pPr>
        <w:tabs>
          <w:tab w:val="left" w:pos="1470"/>
        </w:tabs>
        <w:ind w:left="1470" w:hanging="63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7ABD7E34"/>
    <w:multiLevelType w:val="multilevel"/>
    <w:tmpl w:val="7ABD7E34"/>
    <w:lvl w:ilvl="0" w:tentative="0">
      <w:start w:val="1"/>
      <w:numFmt w:val="decimalEnclosedParen"/>
      <w:pStyle w:val="50"/>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1"/>
  </w:num>
  <w:num w:numId="3">
    <w:abstractNumId w:val="2"/>
    <w:lvlOverride w:ilvl="0">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FhYmFjZGZmOWMzYzFkODIyMGVhYjlmZTJlYzhhZTMifQ=="/>
  </w:docVars>
  <w:rsids>
    <w:rsidRoot w:val="00172A27"/>
    <w:rsid w:val="00003638"/>
    <w:rsid w:val="000154A0"/>
    <w:rsid w:val="00023022"/>
    <w:rsid w:val="000401EA"/>
    <w:rsid w:val="00040FD9"/>
    <w:rsid w:val="0004156B"/>
    <w:rsid w:val="00042614"/>
    <w:rsid w:val="00056891"/>
    <w:rsid w:val="00075C08"/>
    <w:rsid w:val="00077948"/>
    <w:rsid w:val="00077E0C"/>
    <w:rsid w:val="00086132"/>
    <w:rsid w:val="0008649C"/>
    <w:rsid w:val="000935FA"/>
    <w:rsid w:val="000937EB"/>
    <w:rsid w:val="000A5AF1"/>
    <w:rsid w:val="000B403F"/>
    <w:rsid w:val="000C2A8F"/>
    <w:rsid w:val="000C3B2F"/>
    <w:rsid w:val="000D0FC9"/>
    <w:rsid w:val="000E000A"/>
    <w:rsid w:val="000E0CBC"/>
    <w:rsid w:val="000F3D47"/>
    <w:rsid w:val="000F3F99"/>
    <w:rsid w:val="000F7C9A"/>
    <w:rsid w:val="00111E98"/>
    <w:rsid w:val="00115829"/>
    <w:rsid w:val="001246D0"/>
    <w:rsid w:val="001273AB"/>
    <w:rsid w:val="00132E3D"/>
    <w:rsid w:val="00133860"/>
    <w:rsid w:val="00133A70"/>
    <w:rsid w:val="0013589C"/>
    <w:rsid w:val="00136B7B"/>
    <w:rsid w:val="001665B8"/>
    <w:rsid w:val="00172A27"/>
    <w:rsid w:val="001733A3"/>
    <w:rsid w:val="00173908"/>
    <w:rsid w:val="00183DC9"/>
    <w:rsid w:val="001926C0"/>
    <w:rsid w:val="00193286"/>
    <w:rsid w:val="001953EC"/>
    <w:rsid w:val="001A53F2"/>
    <w:rsid w:val="001B004C"/>
    <w:rsid w:val="001B2297"/>
    <w:rsid w:val="001C1B41"/>
    <w:rsid w:val="001C3144"/>
    <w:rsid w:val="001D1745"/>
    <w:rsid w:val="001D7AD6"/>
    <w:rsid w:val="001E4EB8"/>
    <w:rsid w:val="001E6637"/>
    <w:rsid w:val="001F0CA8"/>
    <w:rsid w:val="001F504A"/>
    <w:rsid w:val="001F7581"/>
    <w:rsid w:val="0020271C"/>
    <w:rsid w:val="002073ED"/>
    <w:rsid w:val="00210AB2"/>
    <w:rsid w:val="002505B7"/>
    <w:rsid w:val="00251810"/>
    <w:rsid w:val="00253688"/>
    <w:rsid w:val="00253789"/>
    <w:rsid w:val="00254B0A"/>
    <w:rsid w:val="00256B51"/>
    <w:rsid w:val="00270B38"/>
    <w:rsid w:val="00274292"/>
    <w:rsid w:val="002877A0"/>
    <w:rsid w:val="00290E86"/>
    <w:rsid w:val="00291791"/>
    <w:rsid w:val="002A23F0"/>
    <w:rsid w:val="002C39D3"/>
    <w:rsid w:val="002C5CCB"/>
    <w:rsid w:val="002E3E9F"/>
    <w:rsid w:val="002E736D"/>
    <w:rsid w:val="002F2AEA"/>
    <w:rsid w:val="00302DC9"/>
    <w:rsid w:val="00316BE3"/>
    <w:rsid w:val="003248BC"/>
    <w:rsid w:val="00346E79"/>
    <w:rsid w:val="003552FF"/>
    <w:rsid w:val="003617E4"/>
    <w:rsid w:val="00372E15"/>
    <w:rsid w:val="00376BB1"/>
    <w:rsid w:val="0037747C"/>
    <w:rsid w:val="003932B3"/>
    <w:rsid w:val="00393C6A"/>
    <w:rsid w:val="003A42F5"/>
    <w:rsid w:val="003B11CB"/>
    <w:rsid w:val="003D624A"/>
    <w:rsid w:val="003E1887"/>
    <w:rsid w:val="003E3C44"/>
    <w:rsid w:val="003E5E46"/>
    <w:rsid w:val="003E676A"/>
    <w:rsid w:val="003F3031"/>
    <w:rsid w:val="003F3C7C"/>
    <w:rsid w:val="0040525F"/>
    <w:rsid w:val="004164B2"/>
    <w:rsid w:val="004224AD"/>
    <w:rsid w:val="00440E31"/>
    <w:rsid w:val="00442323"/>
    <w:rsid w:val="00445AC4"/>
    <w:rsid w:val="00451D28"/>
    <w:rsid w:val="00457B05"/>
    <w:rsid w:val="004656B2"/>
    <w:rsid w:val="004715C6"/>
    <w:rsid w:val="00481E4C"/>
    <w:rsid w:val="00483710"/>
    <w:rsid w:val="004843D4"/>
    <w:rsid w:val="00484AD0"/>
    <w:rsid w:val="004865BF"/>
    <w:rsid w:val="0049210F"/>
    <w:rsid w:val="00492DDD"/>
    <w:rsid w:val="004935AB"/>
    <w:rsid w:val="004A2A43"/>
    <w:rsid w:val="004A37D9"/>
    <w:rsid w:val="004B0086"/>
    <w:rsid w:val="004B1A0E"/>
    <w:rsid w:val="004C031B"/>
    <w:rsid w:val="004D0F34"/>
    <w:rsid w:val="004D5116"/>
    <w:rsid w:val="004E27E0"/>
    <w:rsid w:val="004E3033"/>
    <w:rsid w:val="004E58F0"/>
    <w:rsid w:val="004E61FA"/>
    <w:rsid w:val="004F4261"/>
    <w:rsid w:val="00500F0A"/>
    <w:rsid w:val="00505AF2"/>
    <w:rsid w:val="00510028"/>
    <w:rsid w:val="00515107"/>
    <w:rsid w:val="00515926"/>
    <w:rsid w:val="005241B5"/>
    <w:rsid w:val="00525CE9"/>
    <w:rsid w:val="00563C22"/>
    <w:rsid w:val="005642C3"/>
    <w:rsid w:val="00564D0C"/>
    <w:rsid w:val="00566332"/>
    <w:rsid w:val="00572B6E"/>
    <w:rsid w:val="00576DAD"/>
    <w:rsid w:val="00580D5E"/>
    <w:rsid w:val="00592AD4"/>
    <w:rsid w:val="005939AB"/>
    <w:rsid w:val="005962AE"/>
    <w:rsid w:val="005968FF"/>
    <w:rsid w:val="0059701C"/>
    <w:rsid w:val="00597D20"/>
    <w:rsid w:val="005A440D"/>
    <w:rsid w:val="005A4F32"/>
    <w:rsid w:val="005A59FB"/>
    <w:rsid w:val="005A6F7B"/>
    <w:rsid w:val="005B786E"/>
    <w:rsid w:val="005C07AC"/>
    <w:rsid w:val="005C720E"/>
    <w:rsid w:val="005D0A52"/>
    <w:rsid w:val="005D1845"/>
    <w:rsid w:val="005D2D65"/>
    <w:rsid w:val="005D6D98"/>
    <w:rsid w:val="005E13F4"/>
    <w:rsid w:val="005E4C24"/>
    <w:rsid w:val="005F233B"/>
    <w:rsid w:val="005F6A41"/>
    <w:rsid w:val="0060786E"/>
    <w:rsid w:val="0061537C"/>
    <w:rsid w:val="0062452E"/>
    <w:rsid w:val="006253EC"/>
    <w:rsid w:val="0063130B"/>
    <w:rsid w:val="00633E07"/>
    <w:rsid w:val="00645719"/>
    <w:rsid w:val="006525E6"/>
    <w:rsid w:val="00654E1D"/>
    <w:rsid w:val="00657896"/>
    <w:rsid w:val="00660D00"/>
    <w:rsid w:val="00666032"/>
    <w:rsid w:val="00684B17"/>
    <w:rsid w:val="00690F4C"/>
    <w:rsid w:val="00693196"/>
    <w:rsid w:val="00693B55"/>
    <w:rsid w:val="006A6EAB"/>
    <w:rsid w:val="006C689B"/>
    <w:rsid w:val="006C71B8"/>
    <w:rsid w:val="006D05AD"/>
    <w:rsid w:val="006E5A74"/>
    <w:rsid w:val="006E75A5"/>
    <w:rsid w:val="006E7F27"/>
    <w:rsid w:val="006F7D59"/>
    <w:rsid w:val="007066EB"/>
    <w:rsid w:val="0070720D"/>
    <w:rsid w:val="00714579"/>
    <w:rsid w:val="00715147"/>
    <w:rsid w:val="00717246"/>
    <w:rsid w:val="007241E4"/>
    <w:rsid w:val="00750C36"/>
    <w:rsid w:val="0076366D"/>
    <w:rsid w:val="00782218"/>
    <w:rsid w:val="00784DAE"/>
    <w:rsid w:val="00791C46"/>
    <w:rsid w:val="0079730A"/>
    <w:rsid w:val="007A14E9"/>
    <w:rsid w:val="007A35AD"/>
    <w:rsid w:val="007A3A55"/>
    <w:rsid w:val="007A60E3"/>
    <w:rsid w:val="007A7890"/>
    <w:rsid w:val="007B1905"/>
    <w:rsid w:val="007B2E98"/>
    <w:rsid w:val="007C1230"/>
    <w:rsid w:val="007C16B2"/>
    <w:rsid w:val="007C3555"/>
    <w:rsid w:val="007D610E"/>
    <w:rsid w:val="007E1CFA"/>
    <w:rsid w:val="007E4998"/>
    <w:rsid w:val="007F1260"/>
    <w:rsid w:val="007F5599"/>
    <w:rsid w:val="007F7D4B"/>
    <w:rsid w:val="00800431"/>
    <w:rsid w:val="00806582"/>
    <w:rsid w:val="008200BC"/>
    <w:rsid w:val="0082049D"/>
    <w:rsid w:val="00822C19"/>
    <w:rsid w:val="008306D7"/>
    <w:rsid w:val="0083101F"/>
    <w:rsid w:val="008341F9"/>
    <w:rsid w:val="0083429C"/>
    <w:rsid w:val="00873BDD"/>
    <w:rsid w:val="00874C21"/>
    <w:rsid w:val="00880CA0"/>
    <w:rsid w:val="008824FC"/>
    <w:rsid w:val="00887B79"/>
    <w:rsid w:val="00887EDF"/>
    <w:rsid w:val="00892DAF"/>
    <w:rsid w:val="008A37AF"/>
    <w:rsid w:val="008B070A"/>
    <w:rsid w:val="008C0924"/>
    <w:rsid w:val="008C3110"/>
    <w:rsid w:val="008C48B7"/>
    <w:rsid w:val="008C7A27"/>
    <w:rsid w:val="008D23F9"/>
    <w:rsid w:val="008F0872"/>
    <w:rsid w:val="008F4EAE"/>
    <w:rsid w:val="00900D39"/>
    <w:rsid w:val="00901DCC"/>
    <w:rsid w:val="00905D10"/>
    <w:rsid w:val="009178C9"/>
    <w:rsid w:val="009261FB"/>
    <w:rsid w:val="009305F3"/>
    <w:rsid w:val="009326C5"/>
    <w:rsid w:val="009424E2"/>
    <w:rsid w:val="00946618"/>
    <w:rsid w:val="00950609"/>
    <w:rsid w:val="009512A7"/>
    <w:rsid w:val="00951E85"/>
    <w:rsid w:val="00952FD1"/>
    <w:rsid w:val="009571A8"/>
    <w:rsid w:val="00965A8A"/>
    <w:rsid w:val="009945B5"/>
    <w:rsid w:val="009A1492"/>
    <w:rsid w:val="009A584C"/>
    <w:rsid w:val="009B6586"/>
    <w:rsid w:val="009C0D1F"/>
    <w:rsid w:val="009D2C05"/>
    <w:rsid w:val="009F295C"/>
    <w:rsid w:val="00A074AB"/>
    <w:rsid w:val="00A13532"/>
    <w:rsid w:val="00A14D51"/>
    <w:rsid w:val="00A364C1"/>
    <w:rsid w:val="00A37693"/>
    <w:rsid w:val="00A407BF"/>
    <w:rsid w:val="00A40B9A"/>
    <w:rsid w:val="00A44B2C"/>
    <w:rsid w:val="00A46574"/>
    <w:rsid w:val="00A65278"/>
    <w:rsid w:val="00A72E55"/>
    <w:rsid w:val="00A82914"/>
    <w:rsid w:val="00A84F6C"/>
    <w:rsid w:val="00A8683D"/>
    <w:rsid w:val="00A972B3"/>
    <w:rsid w:val="00AA5C25"/>
    <w:rsid w:val="00AB1132"/>
    <w:rsid w:val="00AB279B"/>
    <w:rsid w:val="00AB3D2E"/>
    <w:rsid w:val="00AC1334"/>
    <w:rsid w:val="00AC4213"/>
    <w:rsid w:val="00B13620"/>
    <w:rsid w:val="00B1796F"/>
    <w:rsid w:val="00B40E2F"/>
    <w:rsid w:val="00B431EE"/>
    <w:rsid w:val="00B447CA"/>
    <w:rsid w:val="00B53302"/>
    <w:rsid w:val="00B57847"/>
    <w:rsid w:val="00B57BCC"/>
    <w:rsid w:val="00B642F9"/>
    <w:rsid w:val="00B96092"/>
    <w:rsid w:val="00B960DD"/>
    <w:rsid w:val="00BA1C06"/>
    <w:rsid w:val="00BB1CE5"/>
    <w:rsid w:val="00BC0A7E"/>
    <w:rsid w:val="00BC2B00"/>
    <w:rsid w:val="00BD03E7"/>
    <w:rsid w:val="00BE30BC"/>
    <w:rsid w:val="00BF0A6E"/>
    <w:rsid w:val="00BF3484"/>
    <w:rsid w:val="00C00330"/>
    <w:rsid w:val="00C2163D"/>
    <w:rsid w:val="00C23EFE"/>
    <w:rsid w:val="00C30001"/>
    <w:rsid w:val="00C33995"/>
    <w:rsid w:val="00C36F84"/>
    <w:rsid w:val="00C6123E"/>
    <w:rsid w:val="00C61719"/>
    <w:rsid w:val="00C63425"/>
    <w:rsid w:val="00C66F43"/>
    <w:rsid w:val="00C73209"/>
    <w:rsid w:val="00C837DB"/>
    <w:rsid w:val="00C84D33"/>
    <w:rsid w:val="00C97B22"/>
    <w:rsid w:val="00CA61F7"/>
    <w:rsid w:val="00CC7F82"/>
    <w:rsid w:val="00CD24BA"/>
    <w:rsid w:val="00CD69EA"/>
    <w:rsid w:val="00CF2495"/>
    <w:rsid w:val="00D04FC7"/>
    <w:rsid w:val="00D0516A"/>
    <w:rsid w:val="00D202AA"/>
    <w:rsid w:val="00D25EA7"/>
    <w:rsid w:val="00D27306"/>
    <w:rsid w:val="00D31D9E"/>
    <w:rsid w:val="00D341D3"/>
    <w:rsid w:val="00D3687A"/>
    <w:rsid w:val="00D36EA6"/>
    <w:rsid w:val="00D4159E"/>
    <w:rsid w:val="00D467DC"/>
    <w:rsid w:val="00D507C5"/>
    <w:rsid w:val="00D54F3B"/>
    <w:rsid w:val="00D66B4F"/>
    <w:rsid w:val="00D91C0A"/>
    <w:rsid w:val="00D91F99"/>
    <w:rsid w:val="00D93A55"/>
    <w:rsid w:val="00D96062"/>
    <w:rsid w:val="00DB123B"/>
    <w:rsid w:val="00DC3039"/>
    <w:rsid w:val="00DD4249"/>
    <w:rsid w:val="00DE7ABC"/>
    <w:rsid w:val="00E02AED"/>
    <w:rsid w:val="00E03A34"/>
    <w:rsid w:val="00E05061"/>
    <w:rsid w:val="00E25ABE"/>
    <w:rsid w:val="00E31E24"/>
    <w:rsid w:val="00E451B5"/>
    <w:rsid w:val="00E57F2E"/>
    <w:rsid w:val="00E60435"/>
    <w:rsid w:val="00E62682"/>
    <w:rsid w:val="00E7111E"/>
    <w:rsid w:val="00E74A37"/>
    <w:rsid w:val="00E8342F"/>
    <w:rsid w:val="00E85760"/>
    <w:rsid w:val="00E957BA"/>
    <w:rsid w:val="00EA198E"/>
    <w:rsid w:val="00EB1ED9"/>
    <w:rsid w:val="00EB468E"/>
    <w:rsid w:val="00EB6F9D"/>
    <w:rsid w:val="00EC1395"/>
    <w:rsid w:val="00EC2404"/>
    <w:rsid w:val="00ED220E"/>
    <w:rsid w:val="00ED24BC"/>
    <w:rsid w:val="00ED6F7B"/>
    <w:rsid w:val="00EE3B45"/>
    <w:rsid w:val="00EE3B74"/>
    <w:rsid w:val="00EE620B"/>
    <w:rsid w:val="00EE6D05"/>
    <w:rsid w:val="00F12D2C"/>
    <w:rsid w:val="00F15776"/>
    <w:rsid w:val="00F251BF"/>
    <w:rsid w:val="00F27545"/>
    <w:rsid w:val="00F303C0"/>
    <w:rsid w:val="00F4039A"/>
    <w:rsid w:val="00F63CBF"/>
    <w:rsid w:val="00F76F4F"/>
    <w:rsid w:val="00F83637"/>
    <w:rsid w:val="00F91C59"/>
    <w:rsid w:val="00F9499E"/>
    <w:rsid w:val="00F95179"/>
    <w:rsid w:val="00FB55D7"/>
    <w:rsid w:val="00FC782A"/>
    <w:rsid w:val="00FD00AE"/>
    <w:rsid w:val="00FD6AAC"/>
    <w:rsid w:val="00FD7517"/>
    <w:rsid w:val="00FE25EE"/>
    <w:rsid w:val="00FE73D4"/>
    <w:rsid w:val="00FF511A"/>
    <w:rsid w:val="01363C2B"/>
    <w:rsid w:val="018922EF"/>
    <w:rsid w:val="01D978C7"/>
    <w:rsid w:val="02A366DA"/>
    <w:rsid w:val="02EE0477"/>
    <w:rsid w:val="03790A87"/>
    <w:rsid w:val="03A53131"/>
    <w:rsid w:val="03D87E3F"/>
    <w:rsid w:val="04BA3455"/>
    <w:rsid w:val="051B392B"/>
    <w:rsid w:val="05AF247D"/>
    <w:rsid w:val="071D5CD0"/>
    <w:rsid w:val="07B621C5"/>
    <w:rsid w:val="07C3491B"/>
    <w:rsid w:val="08A13C26"/>
    <w:rsid w:val="0967280D"/>
    <w:rsid w:val="0A09411B"/>
    <w:rsid w:val="0A160DE3"/>
    <w:rsid w:val="0A5C66E0"/>
    <w:rsid w:val="0A7F0F00"/>
    <w:rsid w:val="0ACD0423"/>
    <w:rsid w:val="0B1B1A44"/>
    <w:rsid w:val="0B3E3DFB"/>
    <w:rsid w:val="0D2D474B"/>
    <w:rsid w:val="0DE71322"/>
    <w:rsid w:val="0E610ED2"/>
    <w:rsid w:val="0F0547E3"/>
    <w:rsid w:val="0F627873"/>
    <w:rsid w:val="0FF1225F"/>
    <w:rsid w:val="120A19B2"/>
    <w:rsid w:val="12154213"/>
    <w:rsid w:val="121D5A12"/>
    <w:rsid w:val="124F4781"/>
    <w:rsid w:val="12656B24"/>
    <w:rsid w:val="12A83E03"/>
    <w:rsid w:val="12D15DED"/>
    <w:rsid w:val="135A0026"/>
    <w:rsid w:val="135D699C"/>
    <w:rsid w:val="13BE1A53"/>
    <w:rsid w:val="13C446E9"/>
    <w:rsid w:val="13F17AC5"/>
    <w:rsid w:val="148F1C74"/>
    <w:rsid w:val="151F334F"/>
    <w:rsid w:val="158C54F2"/>
    <w:rsid w:val="15EA24C3"/>
    <w:rsid w:val="16283B94"/>
    <w:rsid w:val="17E3087C"/>
    <w:rsid w:val="18272343"/>
    <w:rsid w:val="18361F5A"/>
    <w:rsid w:val="184F3FAE"/>
    <w:rsid w:val="18693227"/>
    <w:rsid w:val="19414256"/>
    <w:rsid w:val="19476803"/>
    <w:rsid w:val="19882298"/>
    <w:rsid w:val="1A430D39"/>
    <w:rsid w:val="1AA53AC8"/>
    <w:rsid w:val="1B6F04CC"/>
    <w:rsid w:val="1C4E4823"/>
    <w:rsid w:val="1F4D0225"/>
    <w:rsid w:val="205D7699"/>
    <w:rsid w:val="213B39CA"/>
    <w:rsid w:val="21EB5ABA"/>
    <w:rsid w:val="22314F90"/>
    <w:rsid w:val="226D341F"/>
    <w:rsid w:val="237C5D16"/>
    <w:rsid w:val="23E27B1E"/>
    <w:rsid w:val="23E36301"/>
    <w:rsid w:val="242815F3"/>
    <w:rsid w:val="245F3E50"/>
    <w:rsid w:val="24A36BBB"/>
    <w:rsid w:val="24A75C21"/>
    <w:rsid w:val="24BC6A92"/>
    <w:rsid w:val="24FA433F"/>
    <w:rsid w:val="250B25EE"/>
    <w:rsid w:val="25575462"/>
    <w:rsid w:val="25AE014A"/>
    <w:rsid w:val="25E81126"/>
    <w:rsid w:val="2604667C"/>
    <w:rsid w:val="26D236A4"/>
    <w:rsid w:val="274868F0"/>
    <w:rsid w:val="275C4EFD"/>
    <w:rsid w:val="276C6A67"/>
    <w:rsid w:val="27EF7954"/>
    <w:rsid w:val="291E31E0"/>
    <w:rsid w:val="295A3B94"/>
    <w:rsid w:val="2AB23091"/>
    <w:rsid w:val="2ADC0696"/>
    <w:rsid w:val="2AF61758"/>
    <w:rsid w:val="2C4816E5"/>
    <w:rsid w:val="2D192CD1"/>
    <w:rsid w:val="2D93146E"/>
    <w:rsid w:val="2F52298C"/>
    <w:rsid w:val="2F540A29"/>
    <w:rsid w:val="2F837332"/>
    <w:rsid w:val="30D91627"/>
    <w:rsid w:val="30E91110"/>
    <w:rsid w:val="30EA4506"/>
    <w:rsid w:val="310355D2"/>
    <w:rsid w:val="31661227"/>
    <w:rsid w:val="319D0C1E"/>
    <w:rsid w:val="31B507AE"/>
    <w:rsid w:val="31DE2F46"/>
    <w:rsid w:val="32711742"/>
    <w:rsid w:val="34052A0C"/>
    <w:rsid w:val="347F1D37"/>
    <w:rsid w:val="34AB4FF0"/>
    <w:rsid w:val="35741065"/>
    <w:rsid w:val="35B13EA4"/>
    <w:rsid w:val="360A4BD2"/>
    <w:rsid w:val="360E22C2"/>
    <w:rsid w:val="36981915"/>
    <w:rsid w:val="36D051A4"/>
    <w:rsid w:val="370A4E2E"/>
    <w:rsid w:val="37267315"/>
    <w:rsid w:val="376B7B19"/>
    <w:rsid w:val="3A58767B"/>
    <w:rsid w:val="3A773F37"/>
    <w:rsid w:val="3DA469F8"/>
    <w:rsid w:val="3DB7218F"/>
    <w:rsid w:val="3E5C4177"/>
    <w:rsid w:val="3E5E3417"/>
    <w:rsid w:val="3E5E3A22"/>
    <w:rsid w:val="3EBE5427"/>
    <w:rsid w:val="3ECA152D"/>
    <w:rsid w:val="3F2521B4"/>
    <w:rsid w:val="3FA322CC"/>
    <w:rsid w:val="40917D9D"/>
    <w:rsid w:val="421A3B26"/>
    <w:rsid w:val="432D5BC1"/>
    <w:rsid w:val="435D4F60"/>
    <w:rsid w:val="43F6306A"/>
    <w:rsid w:val="447356C1"/>
    <w:rsid w:val="46F4165F"/>
    <w:rsid w:val="46F94B50"/>
    <w:rsid w:val="47ED4AB8"/>
    <w:rsid w:val="47F919B6"/>
    <w:rsid w:val="48E5751D"/>
    <w:rsid w:val="4945031A"/>
    <w:rsid w:val="49B03296"/>
    <w:rsid w:val="4A1F3EE2"/>
    <w:rsid w:val="4A664CF4"/>
    <w:rsid w:val="4B3F4360"/>
    <w:rsid w:val="4B751DCD"/>
    <w:rsid w:val="4B96064D"/>
    <w:rsid w:val="4C3F5C6E"/>
    <w:rsid w:val="4DD74FC1"/>
    <w:rsid w:val="503B56EC"/>
    <w:rsid w:val="50DA1EE1"/>
    <w:rsid w:val="511814B2"/>
    <w:rsid w:val="514364CA"/>
    <w:rsid w:val="51956D25"/>
    <w:rsid w:val="524212E9"/>
    <w:rsid w:val="531371AD"/>
    <w:rsid w:val="53265FC6"/>
    <w:rsid w:val="535D6E1B"/>
    <w:rsid w:val="541F6220"/>
    <w:rsid w:val="54885329"/>
    <w:rsid w:val="551B4F81"/>
    <w:rsid w:val="55F414B4"/>
    <w:rsid w:val="56065146"/>
    <w:rsid w:val="567A07F2"/>
    <w:rsid w:val="56DA4BFF"/>
    <w:rsid w:val="56F777E7"/>
    <w:rsid w:val="570B3097"/>
    <w:rsid w:val="57D67205"/>
    <w:rsid w:val="580B2915"/>
    <w:rsid w:val="58CC429A"/>
    <w:rsid w:val="591F53B9"/>
    <w:rsid w:val="592832AE"/>
    <w:rsid w:val="595003F6"/>
    <w:rsid w:val="5A1C031A"/>
    <w:rsid w:val="5AF73B1E"/>
    <w:rsid w:val="5B500161"/>
    <w:rsid w:val="5C5A5F11"/>
    <w:rsid w:val="5C913274"/>
    <w:rsid w:val="5C9833BF"/>
    <w:rsid w:val="5E5001C8"/>
    <w:rsid w:val="5F1D5928"/>
    <w:rsid w:val="5F2931A3"/>
    <w:rsid w:val="5F4E594F"/>
    <w:rsid w:val="6025535B"/>
    <w:rsid w:val="60507E97"/>
    <w:rsid w:val="62550BAF"/>
    <w:rsid w:val="62C8438A"/>
    <w:rsid w:val="63D22F98"/>
    <w:rsid w:val="647657F5"/>
    <w:rsid w:val="651306FD"/>
    <w:rsid w:val="651356D3"/>
    <w:rsid w:val="65312DB1"/>
    <w:rsid w:val="67574A00"/>
    <w:rsid w:val="68802085"/>
    <w:rsid w:val="6A104890"/>
    <w:rsid w:val="6BA97F0D"/>
    <w:rsid w:val="6BD97849"/>
    <w:rsid w:val="6C8C3FAD"/>
    <w:rsid w:val="6CF7375A"/>
    <w:rsid w:val="6D3E6C9A"/>
    <w:rsid w:val="6DA37D47"/>
    <w:rsid w:val="6DDF3CBC"/>
    <w:rsid w:val="6E3B6D0A"/>
    <w:rsid w:val="6E581B43"/>
    <w:rsid w:val="6FE80728"/>
    <w:rsid w:val="719F6586"/>
    <w:rsid w:val="72035239"/>
    <w:rsid w:val="733F48EB"/>
    <w:rsid w:val="734D525A"/>
    <w:rsid w:val="746954B0"/>
    <w:rsid w:val="74F63DEE"/>
    <w:rsid w:val="758211BC"/>
    <w:rsid w:val="77027E9E"/>
    <w:rsid w:val="77A26FED"/>
    <w:rsid w:val="77F64BD2"/>
    <w:rsid w:val="78CE0252"/>
    <w:rsid w:val="79693BA1"/>
    <w:rsid w:val="796B189B"/>
    <w:rsid w:val="797933DA"/>
    <w:rsid w:val="79A261CA"/>
    <w:rsid w:val="79CD0083"/>
    <w:rsid w:val="7B4426CB"/>
    <w:rsid w:val="7B465566"/>
    <w:rsid w:val="7B4E556C"/>
    <w:rsid w:val="7B694BFB"/>
    <w:rsid w:val="7B7A6103"/>
    <w:rsid w:val="7C283119"/>
    <w:rsid w:val="7C5853C7"/>
    <w:rsid w:val="7CAD0A66"/>
    <w:rsid w:val="7D5119DE"/>
    <w:rsid w:val="7E5E3F17"/>
    <w:rsid w:val="7E8E0AB6"/>
    <w:rsid w:val="7FF0144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Lines/>
      <w:numPr>
        <w:ilvl w:val="0"/>
        <w:numId w:val="1"/>
      </w:numPr>
      <w:spacing w:before="60" w:after="60"/>
      <w:outlineLvl w:val="0"/>
    </w:pPr>
    <w:rPr>
      <w:rFonts w:eastAsia="黑体"/>
      <w:bCs/>
      <w:kern w:val="44"/>
      <w:sz w:val="28"/>
      <w:szCs w:val="44"/>
    </w:rPr>
  </w:style>
  <w:style w:type="paragraph" w:styleId="5">
    <w:name w:val="heading 2"/>
    <w:basedOn w:val="1"/>
    <w:next w:val="1"/>
    <w:qFormat/>
    <w:uiPriority w:val="0"/>
    <w:pPr>
      <w:keepLines/>
      <w:numPr>
        <w:ilvl w:val="1"/>
        <w:numId w:val="1"/>
      </w:numPr>
      <w:tabs>
        <w:tab w:val="left" w:pos="425"/>
      </w:tabs>
      <w:spacing w:before="60" w:after="60"/>
      <w:outlineLvl w:val="1"/>
    </w:pPr>
    <w:rPr>
      <w:rFonts w:eastAsia="黑体"/>
      <w:bCs/>
      <w:sz w:val="24"/>
      <w:szCs w:val="32"/>
    </w:rPr>
  </w:style>
  <w:style w:type="paragraph" w:styleId="6">
    <w:name w:val="heading 3"/>
    <w:basedOn w:val="1"/>
    <w:next w:val="1"/>
    <w:qFormat/>
    <w:uiPriority w:val="0"/>
    <w:pPr>
      <w:keepNext/>
      <w:keepLines/>
      <w:widowControl w:val="0"/>
      <w:suppressLineNumbers w:val="0"/>
      <w:spacing w:before="0" w:beforeLines="0" w:beforeAutospacing="0" w:after="0" w:afterLines="0" w:afterAutospacing="0" w:line="360" w:lineRule="auto"/>
      <w:ind w:firstLine="0" w:firstLineChars="0"/>
      <w:jc w:val="left"/>
      <w:outlineLvl w:val="2"/>
    </w:pPr>
    <w:rPr>
      <w:rFonts w:hint="default" w:ascii="Times New Roman" w:hAnsi="Times New Roman" w:eastAsia="宋体" w:cs="Times New Roman"/>
      <w:b/>
      <w:bCs/>
      <w:kern w:val="2"/>
      <w:sz w:val="28"/>
      <w:szCs w:val="28"/>
      <w:lang w:val="en-US" w:eastAsia="zh-CN" w:bidi="ar"/>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pBdr>
        <w:top w:val="none" w:color="auto" w:sz="0" w:space="3"/>
        <w:left w:val="none" w:color="auto" w:sz="0" w:space="3"/>
        <w:bottom w:val="none" w:color="auto" w:sz="0" w:space="3"/>
        <w:right w:val="none" w:color="auto" w:sz="0" w:space="3"/>
      </w:pBdr>
      <w:ind w:left="200" w:firstLine="200"/>
    </w:pPr>
    <w:rPr>
      <w:rFonts w:ascii="Arial" w:hAnsi="Arial" w:eastAsia="宋体"/>
      <w:sz w:val="28"/>
    </w:rPr>
  </w:style>
  <w:style w:type="paragraph" w:styleId="3">
    <w:name w:val="Body Text Indent"/>
    <w:basedOn w:val="1"/>
    <w:qFormat/>
    <w:uiPriority w:val="0"/>
    <w:pPr>
      <w:widowControl/>
      <w:ind w:firstLine="360"/>
      <w:jc w:val="left"/>
    </w:pPr>
    <w:rPr>
      <w:rFonts w:ascii="宋体" w:hAnsi="宋体"/>
      <w:kern w:val="0"/>
      <w:szCs w:val="20"/>
    </w:rPr>
  </w:style>
  <w:style w:type="paragraph" w:styleId="7">
    <w:name w:val="Normal Indent"/>
    <w:basedOn w:val="1"/>
    <w:qFormat/>
    <w:uiPriority w:val="0"/>
    <w:pPr>
      <w:ind w:firstLine="640" w:firstLineChars="200"/>
      <w:jc w:val="center"/>
    </w:pPr>
    <w:rPr>
      <w:rFonts w:ascii="宋体" w:hAnsi="宋体"/>
      <w:sz w:val="32"/>
      <w:szCs w:val="32"/>
    </w:rPr>
  </w:style>
  <w:style w:type="paragraph" w:styleId="8">
    <w:name w:val="Document Map"/>
    <w:basedOn w:val="1"/>
    <w:link w:val="36"/>
    <w:qFormat/>
    <w:uiPriority w:val="0"/>
    <w:rPr>
      <w:rFonts w:ascii="宋体"/>
      <w:sz w:val="18"/>
      <w:szCs w:val="18"/>
    </w:rPr>
  </w:style>
  <w:style w:type="paragraph" w:styleId="9">
    <w:name w:val="annotation text"/>
    <w:basedOn w:val="1"/>
    <w:link w:val="37"/>
    <w:qFormat/>
    <w:uiPriority w:val="0"/>
    <w:pPr>
      <w:jc w:val="left"/>
    </w:pPr>
    <w:rPr>
      <w:szCs w:val="21"/>
    </w:rPr>
  </w:style>
  <w:style w:type="paragraph" w:styleId="10">
    <w:name w:val="Body Text"/>
    <w:basedOn w:val="1"/>
    <w:link w:val="48"/>
    <w:qFormat/>
    <w:uiPriority w:val="0"/>
    <w:pPr>
      <w:spacing w:after="120"/>
    </w:pPr>
  </w:style>
  <w:style w:type="paragraph" w:styleId="11">
    <w:name w:val="toc 3"/>
    <w:basedOn w:val="1"/>
    <w:next w:val="1"/>
    <w:qFormat/>
    <w:uiPriority w:val="39"/>
    <w:pPr>
      <w:ind w:left="840" w:leftChars="400"/>
    </w:pPr>
  </w:style>
  <w:style w:type="paragraph" w:styleId="12">
    <w:name w:val="Date"/>
    <w:basedOn w:val="1"/>
    <w:next w:val="1"/>
    <w:link w:val="41"/>
    <w:qFormat/>
    <w:uiPriority w:val="0"/>
    <w:pPr>
      <w:ind w:left="100" w:leftChars="2500"/>
    </w:pPr>
  </w:style>
  <w:style w:type="paragraph" w:styleId="13">
    <w:name w:val="Balloon Text"/>
    <w:basedOn w:val="1"/>
    <w:link w:val="35"/>
    <w:qFormat/>
    <w:uiPriority w:val="0"/>
    <w:rPr>
      <w:sz w:val="18"/>
      <w:szCs w:val="18"/>
    </w:rPr>
  </w:style>
  <w:style w:type="paragraph" w:styleId="14">
    <w:name w:val="footer"/>
    <w:basedOn w:val="1"/>
    <w:qFormat/>
    <w:uiPriority w:val="0"/>
    <w:pPr>
      <w:tabs>
        <w:tab w:val="center" w:pos="4153"/>
        <w:tab w:val="right" w:pos="8306"/>
      </w:tabs>
      <w:snapToGrid w:val="0"/>
      <w:jc w:val="left"/>
    </w:pPr>
    <w:rPr>
      <w:sz w:val="18"/>
      <w:szCs w:val="18"/>
    </w:rPr>
  </w:style>
  <w:style w:type="paragraph" w:styleId="15">
    <w:name w:val="header"/>
    <w:basedOn w:val="1"/>
    <w:link w:val="32"/>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style>
  <w:style w:type="paragraph" w:styleId="17">
    <w:name w:val="toc 2"/>
    <w:basedOn w:val="1"/>
    <w:next w:val="1"/>
    <w:qFormat/>
    <w:uiPriority w:val="39"/>
    <w:pPr>
      <w:ind w:left="420" w:leftChars="200"/>
    </w:pPr>
  </w:style>
  <w:style w:type="paragraph" w:styleId="18">
    <w:name w:val="HTML Preformatted"/>
    <w:basedOn w:val="1"/>
    <w:link w:val="38"/>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19">
    <w:name w:val="Normal (Web)"/>
    <w:basedOn w:val="1"/>
    <w:qFormat/>
    <w:uiPriority w:val="0"/>
    <w:pPr>
      <w:spacing w:beforeAutospacing="1" w:afterAutospacing="1"/>
      <w:jc w:val="left"/>
    </w:pPr>
    <w:rPr>
      <w:kern w:val="0"/>
      <w:sz w:val="24"/>
    </w:rPr>
  </w:style>
  <w:style w:type="paragraph" w:styleId="20">
    <w:name w:val="Title"/>
    <w:basedOn w:val="1"/>
    <w:qFormat/>
    <w:uiPriority w:val="0"/>
    <w:pPr>
      <w:spacing w:before="240" w:after="60"/>
      <w:jc w:val="center"/>
      <w:outlineLvl w:val="0"/>
    </w:pPr>
    <w:rPr>
      <w:rFonts w:ascii="Arial" w:hAnsi="Arial" w:cs="Arial"/>
      <w:b/>
      <w:bCs/>
      <w:sz w:val="32"/>
      <w:szCs w:val="32"/>
    </w:rPr>
  </w:style>
  <w:style w:type="paragraph" w:styleId="21">
    <w:name w:val="annotation subject"/>
    <w:basedOn w:val="9"/>
    <w:next w:val="9"/>
    <w:link w:val="42"/>
    <w:qFormat/>
    <w:uiPriority w:val="0"/>
    <w:rPr>
      <w:b/>
      <w:bCs/>
      <w:szCs w:val="22"/>
    </w:rPr>
  </w:style>
  <w:style w:type="table" w:styleId="23">
    <w:name w:val="Table Grid"/>
    <w:basedOn w:val="2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25">
    <w:name w:val="Strong"/>
    <w:basedOn w:val="24"/>
    <w:qFormat/>
    <w:uiPriority w:val="0"/>
    <w:rPr>
      <w:b/>
    </w:rPr>
  </w:style>
  <w:style w:type="character" w:styleId="26">
    <w:name w:val="page number"/>
    <w:basedOn w:val="24"/>
    <w:qFormat/>
    <w:uiPriority w:val="0"/>
  </w:style>
  <w:style w:type="character" w:styleId="27">
    <w:name w:val="FollowedHyperlink"/>
    <w:basedOn w:val="24"/>
    <w:qFormat/>
    <w:uiPriority w:val="0"/>
    <w:rPr>
      <w:color w:val="0033FF"/>
      <w:u w:val="none"/>
    </w:rPr>
  </w:style>
  <w:style w:type="character" w:styleId="28">
    <w:name w:val="Emphasis"/>
    <w:qFormat/>
    <w:uiPriority w:val="20"/>
    <w:rPr>
      <w:color w:val="CC0000"/>
    </w:rPr>
  </w:style>
  <w:style w:type="character" w:styleId="29">
    <w:name w:val="Hyperlink"/>
    <w:unhideWhenUsed/>
    <w:qFormat/>
    <w:uiPriority w:val="99"/>
    <w:rPr>
      <w:color w:val="0000FF"/>
      <w:u w:val="single"/>
    </w:rPr>
  </w:style>
  <w:style w:type="character" w:styleId="30">
    <w:name w:val="annotation reference"/>
    <w:qFormat/>
    <w:uiPriority w:val="0"/>
    <w:rPr>
      <w:sz w:val="21"/>
      <w:szCs w:val="21"/>
    </w:rPr>
  </w:style>
  <w:style w:type="paragraph" w:customStyle="1" w:styleId="31">
    <w:name w:val="Default"/>
    <w:unhideWhenUsed/>
    <w:qFormat/>
    <w:uiPriority w:val="99"/>
    <w:pPr>
      <w:widowControl w:val="0"/>
      <w:autoSpaceDE w:val="0"/>
      <w:autoSpaceDN w:val="0"/>
      <w:adjustRightInd w:val="0"/>
    </w:pPr>
    <w:rPr>
      <w:rFonts w:hint="eastAsia" w:ascii="宋体" w:hAnsi="宋体" w:eastAsia="宋体" w:cs="Times New Roman"/>
      <w:color w:val="000000"/>
      <w:sz w:val="24"/>
      <w:lang w:val="en-US" w:eastAsia="zh-CN" w:bidi="ar-SA"/>
    </w:rPr>
  </w:style>
  <w:style w:type="character" w:customStyle="1" w:styleId="32">
    <w:name w:val="页眉 字符"/>
    <w:link w:val="15"/>
    <w:qFormat/>
    <w:uiPriority w:val="0"/>
    <w:rPr>
      <w:kern w:val="2"/>
      <w:sz w:val="18"/>
      <w:szCs w:val="18"/>
    </w:rPr>
  </w:style>
  <w:style w:type="paragraph" w:customStyle="1" w:styleId="33">
    <w:name w:val="TOC 标题1"/>
    <w:basedOn w:val="4"/>
    <w:next w:val="1"/>
    <w:qFormat/>
    <w:uiPriority w:val="39"/>
    <w:pPr>
      <w:keepNext/>
      <w:widowControl/>
      <w:numPr>
        <w:numId w:val="0"/>
      </w:numPr>
      <w:spacing w:before="480" w:after="0" w:line="276" w:lineRule="auto"/>
      <w:jc w:val="left"/>
      <w:outlineLvl w:val="9"/>
    </w:pPr>
    <w:rPr>
      <w:rFonts w:ascii="Cambria" w:hAnsi="Cambria" w:eastAsia="宋体"/>
      <w:b/>
      <w:color w:val="365F91"/>
      <w:kern w:val="0"/>
      <w:szCs w:val="28"/>
    </w:rPr>
  </w:style>
  <w:style w:type="paragraph" w:customStyle="1" w:styleId="34">
    <w:name w:val="p0"/>
    <w:basedOn w:val="1"/>
    <w:qFormat/>
    <w:uiPriority w:val="0"/>
    <w:pPr>
      <w:widowControl/>
      <w:jc w:val="left"/>
    </w:pPr>
    <w:rPr>
      <w:rFonts w:ascii="宋体" w:hAnsi="宋体" w:cs="宋体"/>
      <w:kern w:val="0"/>
      <w:sz w:val="24"/>
    </w:rPr>
  </w:style>
  <w:style w:type="character" w:customStyle="1" w:styleId="35">
    <w:name w:val="批注框文本 字符"/>
    <w:link w:val="13"/>
    <w:qFormat/>
    <w:uiPriority w:val="0"/>
    <w:rPr>
      <w:kern w:val="2"/>
      <w:sz w:val="18"/>
      <w:szCs w:val="18"/>
    </w:rPr>
  </w:style>
  <w:style w:type="character" w:customStyle="1" w:styleId="36">
    <w:name w:val="文档结构图 字符"/>
    <w:link w:val="8"/>
    <w:qFormat/>
    <w:uiPriority w:val="0"/>
    <w:rPr>
      <w:rFonts w:ascii="宋体"/>
      <w:kern w:val="2"/>
      <w:sz w:val="18"/>
      <w:szCs w:val="18"/>
    </w:rPr>
  </w:style>
  <w:style w:type="character" w:customStyle="1" w:styleId="37">
    <w:name w:val="批注文字 字符"/>
    <w:link w:val="9"/>
    <w:qFormat/>
    <w:uiPriority w:val="0"/>
    <w:rPr>
      <w:rFonts w:cs="Calibri"/>
      <w:kern w:val="2"/>
      <w:sz w:val="21"/>
      <w:szCs w:val="21"/>
    </w:rPr>
  </w:style>
  <w:style w:type="character" w:customStyle="1" w:styleId="38">
    <w:name w:val="HTML 预设格式 字符"/>
    <w:basedOn w:val="24"/>
    <w:link w:val="18"/>
    <w:qFormat/>
    <w:uiPriority w:val="99"/>
    <w:rPr>
      <w:rFonts w:ascii="宋体" w:hAnsi="宋体" w:cs="宋体"/>
      <w:sz w:val="24"/>
      <w:szCs w:val="24"/>
    </w:rPr>
  </w:style>
  <w:style w:type="paragraph" w:styleId="39">
    <w:name w:val="List Paragraph"/>
    <w:basedOn w:val="1"/>
    <w:qFormat/>
    <w:uiPriority w:val="34"/>
    <w:pPr>
      <w:ind w:firstLine="420" w:firstLineChars="200"/>
    </w:pPr>
  </w:style>
  <w:style w:type="paragraph" w:customStyle="1" w:styleId="40">
    <w:name w:val="段"/>
    <w:link w:val="47"/>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41">
    <w:name w:val="日期 字符"/>
    <w:basedOn w:val="24"/>
    <w:link w:val="12"/>
    <w:qFormat/>
    <w:uiPriority w:val="0"/>
    <w:rPr>
      <w:kern w:val="2"/>
      <w:sz w:val="21"/>
      <w:szCs w:val="22"/>
    </w:rPr>
  </w:style>
  <w:style w:type="character" w:customStyle="1" w:styleId="42">
    <w:name w:val="批注主题 字符"/>
    <w:basedOn w:val="37"/>
    <w:link w:val="21"/>
    <w:qFormat/>
    <w:uiPriority w:val="0"/>
    <w:rPr>
      <w:rFonts w:ascii="Calibri" w:hAnsi="Calibri" w:cs="Calibri"/>
      <w:b/>
      <w:bCs/>
      <w:kern w:val="2"/>
      <w:sz w:val="21"/>
      <w:szCs w:val="22"/>
    </w:rPr>
  </w:style>
  <w:style w:type="paragraph" w:customStyle="1" w:styleId="43">
    <w:name w:val="WPSOffice手动目录 1"/>
    <w:qFormat/>
    <w:uiPriority w:val="0"/>
    <w:rPr>
      <w:rFonts w:ascii="Times New Roman" w:hAnsi="Times New Roman" w:eastAsia="宋体" w:cs="Times New Roman"/>
      <w:lang w:val="en-US" w:eastAsia="zh-CN" w:bidi="ar-SA"/>
    </w:rPr>
  </w:style>
  <w:style w:type="paragraph" w:customStyle="1" w:styleId="4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45">
    <w:name w:val="一级条标题"/>
    <w:next w:val="40"/>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46">
    <w:name w:val="编号正文缩进"/>
    <w:basedOn w:val="1"/>
    <w:qFormat/>
    <w:uiPriority w:val="0"/>
    <w:pPr>
      <w:numPr>
        <w:ilvl w:val="0"/>
        <w:numId w:val="3"/>
      </w:numPr>
    </w:pPr>
    <w:rPr>
      <w:rFonts w:ascii="Times New Roman" w:hAnsi="Times New Roman"/>
      <w:szCs w:val="20"/>
    </w:rPr>
  </w:style>
  <w:style w:type="character" w:customStyle="1" w:styleId="47">
    <w:name w:val="段 Char"/>
    <w:link w:val="40"/>
    <w:qFormat/>
    <w:uiPriority w:val="0"/>
    <w:rPr>
      <w:rFonts w:ascii="宋体"/>
      <w:sz w:val="21"/>
    </w:rPr>
  </w:style>
  <w:style w:type="character" w:customStyle="1" w:styleId="48">
    <w:name w:val="正文文本 字符"/>
    <w:basedOn w:val="24"/>
    <w:link w:val="10"/>
    <w:qFormat/>
    <w:uiPriority w:val="0"/>
    <w:rPr>
      <w:rFonts w:ascii="Calibri" w:hAnsi="Calibri"/>
      <w:kern w:val="2"/>
      <w:sz w:val="21"/>
      <w:szCs w:val="22"/>
    </w:rPr>
  </w:style>
  <w:style w:type="paragraph" w:customStyle="1" w:styleId="49">
    <w:name w:val="图题"/>
    <w:qFormat/>
    <w:uiPriority w:val="0"/>
    <w:pPr>
      <w:adjustRightInd w:val="0"/>
      <w:spacing w:before="40" w:after="260"/>
      <w:jc w:val="center"/>
    </w:pPr>
    <w:rPr>
      <w:rFonts w:ascii="Arial" w:hAnsi="Arial" w:eastAsia="黑体" w:cs="Times New Roman"/>
      <w:sz w:val="18"/>
      <w:lang w:val="en-US" w:eastAsia="zh-CN" w:bidi="ar-SA"/>
    </w:rPr>
  </w:style>
  <w:style w:type="paragraph" w:customStyle="1" w:styleId="50">
    <w:name w:val="章标题"/>
    <w:next w:val="40"/>
    <w:qFormat/>
    <w:uiPriority w:val="0"/>
    <w:pPr>
      <w:numPr>
        <w:ilvl w:val="0"/>
        <w:numId w:val="4"/>
      </w:numPr>
      <w:spacing w:beforeLines="100" w:afterLines="100"/>
      <w:jc w:val="both"/>
      <w:outlineLvl w:val="1"/>
    </w:pPr>
    <w:rPr>
      <w:rFonts w:ascii="黑体" w:hAnsi="Calibri" w:eastAsia="黑体" w:cs="Times New Roman"/>
      <w:sz w:val="21"/>
      <w:lang w:val="en-US" w:eastAsia="zh-CN" w:bidi="ar-SA"/>
    </w:rPr>
  </w:style>
  <w:style w:type="character" w:customStyle="1" w:styleId="51">
    <w:name w:val="btna_s"/>
    <w:basedOn w:val="24"/>
    <w:qFormat/>
    <w:uiPriority w:val="0"/>
    <w:rPr>
      <w:color w:val="FFFFFF"/>
    </w:rPr>
  </w:style>
  <w:style w:type="character" w:customStyle="1" w:styleId="52">
    <w:name w:val="a_p_2"/>
    <w:basedOn w:val="24"/>
    <w:qFormat/>
    <w:uiPriority w:val="0"/>
  </w:style>
  <w:style w:type="character" w:customStyle="1" w:styleId="53">
    <w:name w:val="gwds_nopic"/>
    <w:basedOn w:val="24"/>
    <w:qFormat/>
    <w:uiPriority w:val="0"/>
  </w:style>
  <w:style w:type="character" w:customStyle="1" w:styleId="54">
    <w:name w:val="font"/>
    <w:basedOn w:val="24"/>
    <w:qFormat/>
    <w:uiPriority w:val="0"/>
  </w:style>
  <w:style w:type="character" w:customStyle="1" w:styleId="55">
    <w:name w:val="font1"/>
    <w:basedOn w:val="24"/>
    <w:qFormat/>
    <w:uiPriority w:val="0"/>
  </w:style>
  <w:style w:type="character" w:customStyle="1" w:styleId="56">
    <w:name w:val="disabled"/>
    <w:basedOn w:val="24"/>
    <w:qFormat/>
    <w:uiPriority w:val="0"/>
    <w:rPr>
      <w:color w:val="CCCCCC"/>
      <w:bdr w:val="single" w:color="CCCCCC" w:sz="6" w:space="0"/>
    </w:rPr>
  </w:style>
  <w:style w:type="character" w:customStyle="1" w:styleId="57">
    <w:name w:val="current2"/>
    <w:basedOn w:val="24"/>
    <w:qFormat/>
    <w:uiPriority w:val="0"/>
    <w:rPr>
      <w:b/>
      <w:bCs/>
      <w:color w:val="000000"/>
      <w:bdr w:val="single" w:color="E89954" w:sz="6" w:space="0"/>
      <w:shd w:val="clear" w:fill="E89954"/>
    </w:rPr>
  </w:style>
  <w:style w:type="character" w:customStyle="1" w:styleId="58">
    <w:name w:val="exap"/>
    <w:basedOn w:val="24"/>
    <w:qFormat/>
    <w:uiPriority w:val="0"/>
    <w:rPr>
      <w:sz w:val="27"/>
      <w:szCs w:val="27"/>
    </w:rPr>
  </w:style>
  <w:style w:type="character" w:customStyle="1" w:styleId="59">
    <w:name w:val="a_p_1"/>
    <w:basedOn w:val="24"/>
    <w:qFormat/>
    <w:uiPriority w:val="0"/>
    <w:rPr>
      <w:sz w:val="27"/>
      <w:szCs w:val="27"/>
    </w:rPr>
  </w:style>
  <w:style w:type="character" w:customStyle="1" w:styleId="60">
    <w:name w:val="ul_li_a_1"/>
    <w:basedOn w:val="24"/>
    <w:qFormat/>
    <w:uiPriority w:val="0"/>
    <w:rPr>
      <w:b/>
      <w:bCs/>
      <w:color w:val="FFFFFF"/>
    </w:rPr>
  </w:style>
  <w:style w:type="character" w:customStyle="1" w:styleId="61">
    <w:name w:val="a_p_3"/>
    <w:basedOn w:val="24"/>
    <w:qFormat/>
    <w:uiPriority w:val="0"/>
    <w:rPr>
      <w:sz w:val="27"/>
      <w:szCs w:val="27"/>
    </w:rPr>
  </w:style>
  <w:style w:type="character" w:customStyle="1" w:styleId="62">
    <w:name w:val="disabled2"/>
    <w:basedOn w:val="24"/>
    <w:qFormat/>
    <w:uiPriority w:val="0"/>
    <w:rPr>
      <w:color w:val="CCCCCC"/>
      <w:bdr w:val="single" w:color="CCCCCC" w:sz="6" w:space="0"/>
    </w:rPr>
  </w:style>
  <w:style w:type="character" w:customStyle="1" w:styleId="63">
    <w:name w:val="a_p_21"/>
    <w:basedOn w:val="24"/>
    <w:qFormat/>
    <w:uiPriority w:val="0"/>
  </w:style>
  <w:style w:type="character" w:customStyle="1" w:styleId="64">
    <w:name w:val="gwds_nopic1"/>
    <w:basedOn w:val="24"/>
    <w:qFormat/>
    <w:uiPriority w:val="0"/>
  </w:style>
  <w:style w:type="character" w:customStyle="1" w:styleId="65">
    <w:name w:val="current"/>
    <w:basedOn w:val="24"/>
    <w:qFormat/>
    <w:uiPriority w:val="0"/>
    <w:rPr>
      <w:b/>
      <w:bCs/>
      <w:color w:val="000000"/>
      <w:bdr w:val="single" w:color="E89954" w:sz="6" w:space="0"/>
      <w:shd w:val="clear" w:fill="E89954"/>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19</Pages>
  <Words>4296</Words>
  <Characters>4485</Characters>
  <Lines>66</Lines>
  <Paragraphs>18</Paragraphs>
  <TotalTime>1</TotalTime>
  <ScaleCrop>false</ScaleCrop>
  <LinksUpToDate>false</LinksUpToDate>
  <CharactersWithSpaces>4549</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2020-04-23T15:37:00Z</dcterms:created>
  <dc:creator>Administrator</dc:creator>
  <cp:lastModifiedBy>admin</cp:lastModifiedBy>
  <cp:lastPrinted>2020-11-25T03:51:00Z</cp:lastPrinted>
  <dcterms:modified xsi:type="dcterms:W3CDTF">2025-04-16T05:29:50Z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KSORubyTemplateID" linkTarget="0">
    <vt:lpwstr>6</vt:lpwstr>
  </property>
  <property fmtid="{D5CDD505-2E9C-101B-9397-08002B2CF9AE}" pid="4" name="ICV">
    <vt:lpwstr>7AA07C57F6AF451489D8D4087ED33797_13</vt:lpwstr>
  </property>
  <property fmtid="{D5CDD505-2E9C-101B-9397-08002B2CF9AE}" pid="5" name="KSOTemplateDocerSaveRecord">
    <vt:lpwstr>eyJoZGlkIjoiZTU1Y2RjNTI5NWFhZmJhYjc4YzUwZmNhMjA1YzgzN2QiLCJ1c2VySWQiOiI3NTk0NzY3MDkifQ==</vt:lpwstr>
  </property>
</Properties>
</file>