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BDB0A7">
      <w:pPr>
        <w:pStyle w:val="2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黑体" w:cs="Times New Roman"/>
          <w:bCs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pacing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bCs/>
          <w:color w:val="000000"/>
          <w:spacing w:val="0"/>
          <w:sz w:val="32"/>
          <w:szCs w:val="32"/>
          <w:lang w:val="en-US" w:eastAsia="zh-CN"/>
        </w:rPr>
        <w:t>2</w:t>
      </w:r>
    </w:p>
    <w:p w14:paraId="5F8AC4FF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bCs/>
          <w:color w:val="000000"/>
          <w:spacing w:val="0"/>
          <w:sz w:val="32"/>
          <w:szCs w:val="32"/>
          <w:lang w:val="en-US" w:eastAsia="zh-CN"/>
        </w:rPr>
      </w:pPr>
    </w:p>
    <w:p w14:paraId="40378807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ascii="方正小标宋简体" w:hAnsi="方正小标宋简体" w:eastAsia="方正小标宋简体" w:cs="方正小标宋简体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lang w:eastAsia="zh-CN"/>
        </w:rPr>
        <w:t>起草</w:t>
      </w: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</w:rPr>
        <w:t>说明</w:t>
      </w:r>
    </w:p>
    <w:p w14:paraId="4F81F489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黑体" w:hAnsi="黑体" w:eastAsia="黑体" w:cs="黑体"/>
          <w:spacing w:val="0"/>
          <w:sz w:val="32"/>
          <w:szCs w:val="32"/>
        </w:rPr>
      </w:pPr>
    </w:p>
    <w:p w14:paraId="62E5B1AC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hint="eastAsia" w:ascii="黑体" w:hAnsi="黑体" w:eastAsia="黑体" w:cs="黑体"/>
          <w:spacing w:val="0"/>
          <w:sz w:val="32"/>
          <w:szCs w:val="32"/>
        </w:rPr>
        <w:t>一、修订背景</w:t>
      </w:r>
    </w:p>
    <w:p w14:paraId="17185585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《广西壮族自治区院士工作站和专家服务站管理办法（修订）》（桂科规字〔</w:t>
      </w:r>
      <w:r>
        <w:rPr>
          <w:rFonts w:ascii="Times New Roman" w:hAnsi="Times New Roman" w:eastAsia="仿宋_GB2312" w:cs="Times New Roman"/>
          <w:spacing w:val="0"/>
          <w:sz w:val="32"/>
          <w:szCs w:val="32"/>
        </w:rPr>
        <w:t>2024〕2号）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（以下简称《办法》）于2024年施行一年来，成功建设了若干高层次人才平台并引进一批院士及其团队人才。为适应国家政策新要求，贯彻自治区人才战略，提升自主创新能力，优化服务流程并减少行政干预，更好地服务于广西科技创新和高端人才引进，借鉴外省先进经验并结合本地实际，拟研究修订《办法》。</w:t>
      </w:r>
    </w:p>
    <w:p w14:paraId="3761AC4B">
      <w:pPr>
        <w:keepNext w:val="0"/>
        <w:keepLines w:val="0"/>
        <w:pageBreakBefore w:val="0"/>
        <w:widowControl w:val="0"/>
        <w:numPr>
          <w:ilvl w:val="0"/>
          <w:numId w:val="1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hint="eastAsia" w:ascii="黑体" w:hAnsi="黑体" w:eastAsia="黑体" w:cs="黑体"/>
          <w:spacing w:val="0"/>
          <w:sz w:val="32"/>
          <w:szCs w:val="32"/>
        </w:rPr>
        <w:t>修订目的</w:t>
      </w:r>
    </w:p>
    <w:p w14:paraId="1F8E36A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（一）进一步细化了备案主体具备的基本条件。修订后的《办法》在原院士工作站的基本条件基础上，增加了单位注册时长、科研场地、人才配备、研发投入的具体要求。</w:t>
      </w:r>
    </w:p>
    <w:p w14:paraId="1BB4B17A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eastAsia="仿宋_GB2312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（二）</w:t>
      </w:r>
      <w:r>
        <w:rPr>
          <w:rFonts w:hint="eastAsia" w:ascii="仿宋_GB2312" w:eastAsia="仿宋_GB2312"/>
          <w:b w:val="0"/>
          <w:bCs w:val="0"/>
          <w:spacing w:val="0"/>
          <w:sz w:val="32"/>
          <w:szCs w:val="32"/>
        </w:rPr>
        <w:t>细化备案流程及日常管理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。</w:t>
      </w:r>
      <w:r>
        <w:rPr>
          <w:rFonts w:hint="eastAsia" w:ascii="仿宋_GB2312" w:eastAsia="仿宋_GB2312"/>
          <w:spacing w:val="0"/>
          <w:sz w:val="32"/>
          <w:szCs w:val="32"/>
        </w:rPr>
        <w:t>针对目前的复杂国际形势及国家对科研成果、</w:t>
      </w: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高</w:t>
      </w:r>
      <w:bookmarkStart w:id="0" w:name="_GoBack"/>
      <w:bookmarkEnd w:id="0"/>
      <w:r>
        <w:rPr>
          <w:rFonts w:hint="eastAsia" w:ascii="仿宋_GB2312" w:eastAsia="仿宋_GB2312"/>
          <w:spacing w:val="0"/>
          <w:sz w:val="32"/>
          <w:szCs w:val="32"/>
        </w:rPr>
        <w:t>层次人才保护的多方面要求，修改了备案渠道、程序，调整部分备案时需递交材料的要求。</w:t>
      </w:r>
    </w:p>
    <w:p w14:paraId="31DE7667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仿宋_GB2312" w:hAnsi="仿宋_GB2312" w:eastAsia="仿宋_GB2312" w:cs="仿宋_GB2312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（三）进一步加大对承建单位的支持力度。修订后的《办法》</w:t>
      </w:r>
      <w:r>
        <w:rPr>
          <w:rFonts w:hint="eastAsia" w:ascii="仿宋_GB2312" w:eastAsia="仿宋_GB2312"/>
          <w:spacing w:val="0"/>
          <w:sz w:val="32"/>
          <w:szCs w:val="32"/>
        </w:rPr>
        <w:t>加大原有政策扶持方式，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shd w:val="clear" w:color="auto" w:fill="FFFFFF"/>
          <w:lang w:bidi="ar"/>
        </w:rPr>
        <w:t>对新备案的院士工作站、专家服务站</w:t>
      </w:r>
      <w:r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bidi="ar"/>
        </w:rPr>
        <w:t>通过广西科技计划专项项目予以多项支持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。</w:t>
      </w:r>
    </w:p>
    <w:p w14:paraId="4C899DBC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hint="eastAsia" w:ascii="黑体" w:hAnsi="黑体" w:eastAsia="黑体" w:cs="黑体"/>
          <w:spacing w:val="0"/>
          <w:sz w:val="32"/>
          <w:szCs w:val="32"/>
        </w:rPr>
        <w:t>三、修订主要内容</w:t>
      </w:r>
    </w:p>
    <w:p w14:paraId="5BC46934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/>
          <w:spacing w:val="0"/>
          <w:sz w:val="32"/>
          <w:szCs w:val="32"/>
        </w:rPr>
        <w:t>修订后的</w:t>
      </w:r>
      <w:r>
        <w:rPr>
          <w:rFonts w:ascii="Times New Roman" w:hAnsi="Times New Roman" w:eastAsia="仿宋_GB2312"/>
          <w:spacing w:val="0"/>
          <w:sz w:val="32"/>
          <w:szCs w:val="32"/>
        </w:rPr>
        <w:t>《管理办法》仍分为六章，</w:t>
      </w:r>
      <w:r>
        <w:rPr>
          <w:rFonts w:hint="eastAsia" w:ascii="Times New Roman" w:hAnsi="Times New Roman" w:eastAsia="仿宋_GB2312"/>
          <w:spacing w:val="0"/>
          <w:sz w:val="32"/>
          <w:szCs w:val="32"/>
        </w:rPr>
        <w:t>二十</w:t>
      </w:r>
      <w:r>
        <w:rPr>
          <w:rFonts w:hint="eastAsia" w:ascii="Times New Roman" w:hAnsi="Times New Roman" w:eastAsia="仿宋_GB2312"/>
          <w:spacing w:val="0"/>
          <w:sz w:val="32"/>
          <w:szCs w:val="32"/>
          <w:lang w:eastAsia="zh-CN"/>
        </w:rPr>
        <w:t>五</w:t>
      </w:r>
      <w:r>
        <w:rPr>
          <w:rFonts w:ascii="Times New Roman" w:hAnsi="Times New Roman" w:eastAsia="仿宋_GB2312"/>
          <w:spacing w:val="0"/>
          <w:sz w:val="32"/>
          <w:szCs w:val="32"/>
        </w:rPr>
        <w:t>个条款。</w:t>
      </w:r>
      <w:r>
        <w:rPr>
          <w:rFonts w:hint="eastAsia" w:ascii="Times New Roman" w:hAnsi="Times New Roman" w:eastAsia="仿宋_GB2312"/>
          <w:spacing w:val="0"/>
          <w:sz w:val="32"/>
          <w:szCs w:val="32"/>
        </w:rPr>
        <w:t>具体修订内容如下：</w:t>
      </w:r>
      <w:r>
        <w:rPr>
          <w:rFonts w:ascii="Times New Roman" w:hAnsi="Times New Roman" w:eastAsia="仿宋_GB2312"/>
          <w:spacing w:val="0"/>
          <w:sz w:val="32"/>
          <w:szCs w:val="32"/>
        </w:rPr>
        <w:t xml:space="preserve"> </w:t>
      </w:r>
    </w:p>
    <w:p w14:paraId="60501180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lang w:bidi="ar"/>
        </w:rPr>
        <w:t>第一条“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加强科技创新人才和团队引育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lang w:bidi="ar"/>
        </w:rPr>
        <w:t>”改为“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加强高层次科技创新人才和团队引育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lang w:bidi="ar"/>
        </w:rPr>
        <w:t>”，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突出了高层次人才培育。</w:t>
      </w:r>
    </w:p>
    <w:p w14:paraId="5FA87F6A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sz w:val="32"/>
          <w:szCs w:val="32"/>
        </w:rPr>
        <w:t>第三条中删除了（国外）院士工作站括号备注的“其它国家、国际组织院士需获认定为自治区A层次人才”，自治区人才认定工作具有时效性，不利于推进院士工作站备案，具体操作过程中会请申请备案单位提供是否为权威机构证明材料。</w:t>
      </w:r>
    </w:p>
    <w:p w14:paraId="687FAC9E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第九条，增加了备案单位的办公、研发场地所在地要求及单位注册时长要求。明确了备案承建单位对研究开发费用的比例要求及团队的要求。</w:t>
      </w:r>
      <w:r>
        <w:rPr>
          <w:rFonts w:hint="default" w:ascii="Times New Roman" w:hAnsi="Times New Roman" w:eastAsia="仿宋_GB2312"/>
          <w:spacing w:val="0"/>
          <w:sz w:val="32"/>
          <w:szCs w:val="32"/>
          <w:lang w:eastAsia="zh-CN"/>
        </w:rPr>
        <w:t>对院士工作要求全职工作</w:t>
      </w:r>
      <w:r>
        <w:rPr>
          <w:rFonts w:hint="default" w:ascii="Times New Roman" w:hAnsi="Times New Roman" w:eastAsia="仿宋_GB2312"/>
          <w:spacing w:val="0"/>
          <w:sz w:val="32"/>
          <w:szCs w:val="32"/>
          <w:lang w:val="en-US" w:eastAsia="zh-CN"/>
        </w:rPr>
        <w:t>3个月</w:t>
      </w:r>
      <w:r>
        <w:rPr>
          <w:rFonts w:hint="default" w:ascii="Times New Roman" w:hAnsi="Times New Roman" w:eastAsia="仿宋_GB2312"/>
          <w:spacing w:val="0"/>
          <w:sz w:val="32"/>
          <w:szCs w:val="32"/>
          <w:lang w:eastAsia="zh-CN"/>
        </w:rPr>
        <w:t>改为累计工作</w:t>
      </w:r>
      <w:r>
        <w:rPr>
          <w:rFonts w:hint="default" w:ascii="Times New Roman" w:hAnsi="Times New Roman" w:eastAsia="仿宋_GB2312"/>
          <w:spacing w:val="0"/>
          <w:sz w:val="32"/>
          <w:szCs w:val="32"/>
          <w:lang w:val="en-US" w:eastAsia="zh-CN"/>
        </w:rPr>
        <w:t>3个月。</w:t>
      </w:r>
    </w:p>
    <w:p w14:paraId="37592B08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/>
          <w:spacing w:val="0"/>
          <w:sz w:val="32"/>
          <w:szCs w:val="32"/>
        </w:rPr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第十条，明确了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shd w:val="clear" w:color="auto" w:fill="FFFFFF"/>
        </w:rPr>
        <w:t>承建单位与院士专家及其科研团队合作协议的有效期限；</w:t>
      </w:r>
      <w:r>
        <w:rPr>
          <w:rFonts w:hint="default" w:ascii="Times New Roman" w:hAnsi="Times New Roman" w:eastAsia="仿宋_GB2312"/>
          <w:spacing w:val="0"/>
          <w:sz w:val="32"/>
          <w:szCs w:val="32"/>
        </w:rPr>
        <w:t>增加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shd w:val="clear" w:color="auto" w:fill="FFFFFF"/>
        </w:rPr>
        <w:t>（两院）</w:t>
      </w:r>
      <w:r>
        <w:rPr>
          <w:rFonts w:hint="default" w:ascii="Times New Roman" w:hAnsi="Times New Roman" w:eastAsia="仿宋_GB2312"/>
          <w:spacing w:val="0"/>
          <w:sz w:val="32"/>
          <w:szCs w:val="32"/>
        </w:rPr>
        <w:t>院士需提交受聘申请证明材料、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shd w:val="clear" w:color="auto" w:fill="FFFFFF"/>
        </w:rPr>
        <w:t>主要科技发达国家院士需提交入选及学术业绩书评证明材料。</w:t>
      </w:r>
    </w:p>
    <w:p w14:paraId="15C71B59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仿宋_GB2312" w:cs="Times New Roman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第十一条，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“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shd w:val="clear" w:color="auto" w:fill="FFFFFF"/>
        </w:rPr>
        <w:t>承建单位通过网络平台提交登记备案申请材料”</w:t>
      </w:r>
      <w:r>
        <w:rPr>
          <w:rFonts w:hint="default" w:ascii="Times New Roman" w:hAnsi="Times New Roman" w:eastAsia="仿宋_GB2312"/>
          <w:spacing w:val="0"/>
          <w:sz w:val="32"/>
          <w:szCs w:val="32"/>
        </w:rPr>
        <w:t>修改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shd w:val="clear" w:color="auto" w:fill="FFFFFF"/>
        </w:rPr>
        <w:t>为线下受理材料。</w:t>
      </w:r>
    </w:p>
    <w:p w14:paraId="47A76099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shd w:val="clear" w:color="auto" w:fill="FFFFFF"/>
          <w:lang w:eastAsia="zh-CN" w:bidi="ar"/>
        </w:rPr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第十五条，明确了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shd w:val="clear" w:color="auto" w:fill="FFFFFF"/>
          <w:lang w:bidi="ar"/>
        </w:rPr>
        <w:t>院士工作站、专家服务站运行情况进行总结的具体内容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shd w:val="clear" w:color="auto" w:fill="FFFFFF"/>
          <w:lang w:eastAsia="zh-CN" w:bidi="ar"/>
        </w:rPr>
        <w:t>。</w:t>
      </w:r>
    </w:p>
    <w:p w14:paraId="23A9C943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第十六、十七条，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shd w:val="clear" w:color="auto" w:fill="FFFFFF"/>
          <w:lang w:bidi="ar"/>
        </w:rPr>
        <w:t>细化了院士工作站\专家服务站的建站协议续签后的再次备案、备案信息变更程序</w:t>
      </w:r>
      <w:r>
        <w:rPr>
          <w:rFonts w:hint="default" w:ascii="Times New Roman" w:hAnsi="Times New Roman" w:eastAsia="仿宋_GB2312" w:cs="Times New Roman"/>
          <w:spacing w:val="0"/>
          <w:kern w:val="0"/>
          <w:sz w:val="32"/>
          <w:szCs w:val="32"/>
          <w:shd w:val="clear" w:color="auto" w:fill="FFFFFF"/>
          <w:lang w:eastAsia="zh-CN" w:bidi="ar"/>
        </w:rPr>
        <w:t>。</w:t>
      </w:r>
    </w:p>
    <w:p w14:paraId="318EFAB5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</w:pPr>
      <w:r>
        <w:rPr>
          <w:rFonts w:hint="default" w:ascii="Times New Roman" w:hAnsi="Times New Roman" w:eastAsia="仿宋_GB2312"/>
          <w:spacing w:val="0"/>
          <w:sz w:val="32"/>
          <w:szCs w:val="32"/>
        </w:rPr>
        <w:t>第十九条，明确了平台的绩效评估周期、形式、内容等。</w:t>
      </w:r>
    </w:p>
    <w:sectPr>
      <w:footerReference r:id="rId5" w:type="first"/>
      <w:headerReference r:id="rId3" w:type="default"/>
      <w:footerReference r:id="rId4" w:type="default"/>
      <w:pgSz w:w="11906" w:h="16838"/>
      <w:pgMar w:top="2098" w:right="1531" w:bottom="1417" w:left="1531" w:header="851" w:footer="1417" w:gutter="0"/>
      <w:paperSrc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_GBK">
    <w:altName w:val="微软雅黑"/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73A81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9721B82"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BO2PC6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9721B82"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default" w:ascii="Times New Roman" w:hAnsi="Times New Roman" w:eastAsia="宋体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4B8A2C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457841"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DMWwji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D457841"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方正仿宋_GBK" w:hAnsi="Times New Roman" w:eastAsia="方正仿宋_GBK"/>
        <w:color w:val="FFFFFF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-248920</wp:posOffset>
              </wp:positionH>
              <wp:positionV relativeFrom="paragraph">
                <wp:posOffset>85725</wp:posOffset>
              </wp:positionV>
              <wp:extent cx="6120130" cy="53975"/>
              <wp:effectExtent l="0" t="4445" r="6350" b="33020"/>
              <wp:wrapNone/>
              <wp:docPr id="3" name="组合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6120130" cy="53975"/>
                        <a:chOff x="1474" y="2576"/>
                        <a:chExt cx="8957" cy="85"/>
                      </a:xfrm>
                    </wpg:grpSpPr>
                    <wps:wsp>
                      <wps:cNvPr id="1" name="直线 2"/>
                      <wps:cNvSpPr/>
                      <wps:spPr>
                        <a:xfrm flipV="1">
                          <a:off x="1474" y="2576"/>
                          <a:ext cx="8957" cy="0"/>
                        </a:xfrm>
                        <a:prstGeom prst="line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  <wps:wsp>
                      <wps:cNvPr id="2" name="直线 3"/>
                      <wps:cNvSpPr/>
                      <wps:spPr>
                        <a:xfrm>
                          <a:off x="1474" y="2661"/>
                          <a:ext cx="8957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wpg:wgp>
                </a:graphicData>
              </a:graphic>
            </wp:anchor>
          </w:drawing>
        </mc:Choice>
        <mc:Fallback>
          <w:pict>
            <v:group id="组合 1" o:spid="_x0000_s1026" o:spt="203" style="position:absolute;left:0pt;margin-left:-19.6pt;margin-top:6.75pt;height:4.25pt;width:481.9pt;rotation:11796480f;z-index:251659264;mso-width-relative:page;mso-height-relative:page;" coordorigin="1474,2576" coordsize="8957,85" o:gfxdata="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">
              <o:lock v:ext="edit" aspectratio="f"/>
              <v:line id="直线 2" o:spid="_x0000_s1026" o:spt="20" style="position:absolute;left:1474;top:2576;flip:y;height:0;width:8957;" filled="f" stroked="t" coordsize="21600,21600" o:gfxdata="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G3Lt7sAAADa&#10;AAAADwAAAAAAAAABACAAAAAiAAAAZHJzL2Rvd25yZXYueG1sUEsBAhQAFAAAAAgAh07iQDMvBZ47&#10;AAAAOQAAABAAAAAAAAAAAQAgAAAACgEAAGRycy9zaGFwZXhtbC54bWxQSwUGAAAAAAYABgBbAQAA&#10;tAMAAAAA&#10;">
                <v:fill on="f" focussize="0,0"/>
                <v:stroke weight="3pt" color="#FF0000" joinstyle="round"/>
                <v:imagedata o:title=""/>
                <o:lock v:ext="edit" aspectratio="f"/>
              </v:line>
              <v:line id="直线 3" o:spid="_x0000_s1026" o:spt="20" style="position:absolute;left:1474;top:2661;height:0;width:8957;" filled="f" stroked="t" coordsize="21600,21600" o:gfxdata="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/NlPO8AAAA&#10;2gAAAA8AAAAAAAAAAQAgAAAAIgAAAGRycy9kb3ducmV2LnhtbFBLAQIUABQAAAAIAIdO4kAzLwWe&#10;OwAAADkAAAAQAAAAAAAAAAEAIAAAAAsBAABkcnMvc2hhcGV4bWwueG1sUEsFBgAAAAAGAAYAWwEA&#10;ALUDAAAAAA==&#10;">
                <v:fill on="f" focussize="0,0"/>
                <v:stroke color="#FF0000" joinstyle="round"/>
                <v:imagedata o:title=""/>
                <o:lock v:ext="edit" aspectratio="f"/>
              </v:line>
            </v:group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61E77E"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635" cy="0"/>
              <wp:effectExtent l="0" t="0" r="0" b="0"/>
              <wp:wrapNone/>
              <wp:docPr id="5" name="ImpTraceLabe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35" cy="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B8B2167">
                          <w:r>
                            <w:t>ImpTraceLabel=PD94bWwgdmVyc2lvbj0nMS4wJyBlbmNvZGluZz0nVVRGLTgnPz48dHJhY2U+PGNvbnRlbnQ+PC9jb250ZW50PjxhY2NvdW50PnN3bWt4azFudjF5d2wyOXViaWZsNWI8L2FjY291bnQ+PG1hY2hpbmVDb2RlPkszODkyODIxMTAyMTQKPC9tYWNoaW5lQ29kZT48dGltZT4yMDIyLTA5LTI4IDE2OjA2OjQ2PC90aW1lPjxzeXN0ZW0+TUI8c3lzdGVtPjwvdHJhY2U+</w:t>
                          </w:r>
                        </w:p>
                      </w:txbxContent>
                    </wps:txbx>
                    <wps:bodyPr wrap="square" upright="1"/>
                  </wps:wsp>
                </a:graphicData>
              </a:graphic>
            </wp:anchor>
          </w:drawing>
        </mc:Choice>
        <mc:Fallback>
          <w:pict>
            <v:shape id="ImpTraceLabel" o:spid="_x0000_s1026" o:spt="202" type="#_x0000_t202" style="position:absolute;left:0pt;margin-left:0pt;margin-top:0pt;height:0pt;width:0.05pt;mso-position-horizontal-relative:page;mso-position-vertical-relative:page;z-index:251661312;mso-width-relative:page;mso-height-relative:page;" filled="f" stroked="f" coordsize="21600,21600" o:gfxdata="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">
              <v:fill on="f" focussize="0,0"/>
              <v:stroke on="f"/>
              <v:imagedata o:title=""/>
              <o:lock v:ext="edit" aspectratio="f"/>
              <v:textbox>
                <w:txbxContent>
                  <w:p w14:paraId="7B8B2167">
                    <w:r>
                      <w:t>ImpTraceLabel=PD94bWwgdmVyc2lvbj0nMS4wJyBlbmNvZGluZz0nVVRGLTgnPz48dHJhY2U+PGNvbnRlbnQ+PC9jb250ZW50PjxhY2NvdW50PnN3bWt4azFudjF5d2wyOXViaWZsNWI8L2FjY291bnQ+PG1hY2hpbmVDb2RlPkszODkyODIxMTAyMTQKPC9tYWNoaW5lQ29kZT48dGltZT4yMDIyLTA5LTI4IDE2OjA2OjQ2PC90aW1lPjxzeXN0ZW0+TUI8c3lzdGVtPjwvdHJhY2U+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751D925"/>
    <w:multiLevelType w:val="singleLevel"/>
    <w:tmpl w:val="2751D925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DA6080"/>
    <w:rsid w:val="0C921F33"/>
    <w:rsid w:val="1F6B769A"/>
    <w:rsid w:val="236B629C"/>
    <w:rsid w:val="33DF78A2"/>
    <w:rsid w:val="3CE337F7"/>
    <w:rsid w:val="3EAB0813"/>
    <w:rsid w:val="3EDE3A39"/>
    <w:rsid w:val="3FFEAFA7"/>
    <w:rsid w:val="6DF9ED67"/>
    <w:rsid w:val="6FDB84AE"/>
    <w:rsid w:val="768F35C4"/>
    <w:rsid w:val="790E3028"/>
    <w:rsid w:val="79F642EE"/>
    <w:rsid w:val="7E7FBE38"/>
    <w:rsid w:val="7E971E80"/>
    <w:rsid w:val="C3CF9B08"/>
    <w:rsid w:val="D36C209F"/>
    <w:rsid w:val="D6FB1A65"/>
    <w:rsid w:val="DEFF610D"/>
    <w:rsid w:val="DFDF517B"/>
    <w:rsid w:val="E70CF4C5"/>
    <w:rsid w:val="EDDF2D87"/>
    <w:rsid w:val="F3FD1684"/>
    <w:rsid w:val="F6FD5103"/>
    <w:rsid w:val="FC7F72CA"/>
    <w:rsid w:val="FDE749C7"/>
    <w:rsid w:val="FF3E6450"/>
    <w:rsid w:val="FF6F38FB"/>
    <w:rsid w:val="FFF5568D"/>
    <w:rsid w:val="FFF7DB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2"/>
    <w:basedOn w:val="1"/>
    <w:next w:val="1"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uiPriority w:val="0"/>
    <w:tblPr>
      <w:tblStyle w:val="9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3"/>
    <w:next w:val="4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kern w:val="0"/>
      <w:sz w:val="24"/>
      <w:szCs w:val="24"/>
      <w:lang w:val="en-US" w:eastAsia="zh-CN" w:bidi="ar-SA"/>
    </w:rPr>
  </w:style>
  <w:style w:type="paragraph" w:customStyle="1" w:styleId="3">
    <w:name w:val="纯文本1"/>
    <w:basedOn w:val="1"/>
    <w:qFormat/>
    <w:uiPriority w:val="0"/>
    <w:pPr>
      <w:textAlignment w:val="baseline"/>
    </w:pPr>
    <w:rPr>
      <w:rFonts w:hint="eastAsia" w:ascii="宋体" w:hAnsi="Courier New" w:eastAsia="宋体" w:cs="Times New Roman"/>
      <w:sz w:val="21"/>
      <w:szCs w:val="24"/>
    </w:rPr>
  </w:style>
  <w:style w:type="paragraph" w:customStyle="1" w:styleId="4">
    <w:name w:val="正文文字 6"/>
    <w:next w:val="1"/>
    <w:qFormat/>
    <w:uiPriority w:val="99"/>
    <w:pPr>
      <w:widowControl w:val="0"/>
      <w:ind w:left="240"/>
      <w:jc w:val="both"/>
    </w:pPr>
    <w:rPr>
      <w:rFonts w:ascii="宋体" w:hAnsi="Times New Roman" w:eastAsia="宋体" w:cs="Times New Roman"/>
      <w:b/>
      <w:bCs/>
      <w:kern w:val="2"/>
      <w:sz w:val="32"/>
      <w:szCs w:val="32"/>
      <w:lang w:val="en-US" w:eastAsia="zh-CN" w:bidi="ar-SA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39"/>
    <w:pPr>
      <w:spacing w:after="0" w:line="240" w:lineRule="auto"/>
    </w:pPr>
    <w:tblPr>
      <w:tblStyle w:val="9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1864</Words>
  <Characters>1919</Characters>
  <Lines>0</Lines>
  <Paragraphs>0</Paragraphs>
  <TotalTime>17.6666666666667</TotalTime>
  <ScaleCrop>false</ScaleCrop>
  <LinksUpToDate>false</LinksUpToDate>
  <CharactersWithSpaces>1956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2014-11-01T12:08:00Z</dcterms:created>
  <dc:creator>Administrator</dc:creator>
  <cp:lastModifiedBy>墨迹夏子</cp:lastModifiedBy>
  <cp:lastPrinted>2025-04-19T01:14:22Z</cp:lastPrinted>
  <dcterms:modified xsi:type="dcterms:W3CDTF">2025-04-18T03:41:06Z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eyJoZGlkIjoiYzY5ZDFkYjAwZjNhYTM1NDBlZTczZjFiNGMyNzYxN2IiLCJ1c2VySWQiOiIzNjAwMjk3NDgifQ==</vt:lpwstr>
  </property>
  <property fmtid="{D5CDD505-2E9C-101B-9397-08002B2CF9AE}" pid="4" name="ICV">
    <vt:lpwstr>6A60EBD61A074BDD8E83A53D58A0FDCF_13</vt:lpwstr>
  </property>
</Properties>
</file>