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35547">
      <w:pPr>
        <w:keepNext w:val="0"/>
        <w:keepLines w:val="0"/>
        <w:pageBreakBefore w:val="0"/>
        <w:kinsoku/>
        <w:wordWrap/>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南宁市</w:t>
      </w:r>
      <w:r>
        <w:rPr>
          <w:rFonts w:hint="eastAsia" w:ascii="方正小标宋简体" w:hAnsi="方正小标宋简体" w:eastAsia="方正小标宋简体" w:cs="方正小标宋简体"/>
          <w:sz w:val="44"/>
          <w:szCs w:val="44"/>
          <w:lang w:eastAsia="zh-CN"/>
        </w:rPr>
        <w:t>推进工业振兴若干政策（</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修订）</w:t>
      </w:r>
    </w:p>
    <w:p w14:paraId="66A4350E">
      <w:pPr>
        <w:keepNext w:val="0"/>
        <w:keepLines w:val="0"/>
        <w:pageBreakBefore w:val="0"/>
        <w:kinsoku/>
        <w:wordWrap/>
        <w:autoSpaceDE/>
        <w:autoSpaceDN/>
        <w:bidi w:val="0"/>
        <w:adjustRightInd/>
        <w:spacing w:line="600" w:lineRule="exact"/>
        <w:jc w:val="center"/>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（征求意见稿）</w:t>
      </w:r>
    </w:p>
    <w:p w14:paraId="72099DAD">
      <w:pPr>
        <w:keepNext w:val="0"/>
        <w:keepLines w:val="0"/>
        <w:pageBreakBefore w:val="0"/>
        <w:kinsoku/>
        <w:wordWrap/>
        <w:autoSpaceDE/>
        <w:autoSpaceDN/>
        <w:bidi w:val="0"/>
        <w:adjustRightInd/>
        <w:spacing w:line="600" w:lineRule="exact"/>
        <w:jc w:val="center"/>
        <w:textAlignment w:val="auto"/>
        <w:rPr>
          <w:rFonts w:ascii="仿宋_GB2312" w:hAnsi="仿宋_GB2312" w:eastAsia="仿宋_GB2312" w:cs="仿宋_GB2312"/>
          <w:color w:val="auto"/>
          <w:sz w:val="32"/>
          <w:szCs w:val="32"/>
        </w:rPr>
      </w:pPr>
    </w:p>
    <w:p w14:paraId="099E7BB3">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实施“工业强市”战略，</w:t>
      </w:r>
      <w:r>
        <w:rPr>
          <w:rFonts w:hint="eastAsia" w:ascii="Times New Roman" w:hAnsi="Times New Roman" w:eastAsia="仿宋_GB2312" w:cs="Times New Roman"/>
          <w:sz w:val="32"/>
          <w:szCs w:val="32"/>
        </w:rPr>
        <w:t>切实推进南宁市工业高质量发展，提升经济首位度</w:t>
      </w:r>
      <w:r>
        <w:rPr>
          <w:rFonts w:hint="eastAsia" w:ascii="Times New Roman" w:hAnsi="Times New Roman" w:eastAsia="仿宋_GB2312" w:cs="Times New Roman"/>
          <w:sz w:val="32"/>
          <w:szCs w:val="32"/>
          <w:lang w:eastAsia="zh-CN"/>
        </w:rPr>
        <w:t>，</w:t>
      </w:r>
      <w:r>
        <w:rPr>
          <w:rFonts w:hint="eastAsia" w:ascii="仿宋_GB2312" w:hAnsi="黑体" w:eastAsia="仿宋_GB2312"/>
          <w:color w:val="000000" w:themeColor="text1"/>
          <w:sz w:val="32"/>
          <w:szCs w:val="32"/>
          <w14:textFill>
            <w14:solidFill>
              <w14:schemeClr w14:val="tx1"/>
            </w14:solidFill>
          </w14:textFill>
        </w:rPr>
        <w:t>加快构建新型工业化为主导、以先进制造业为支撑的现代化产业体系，</w:t>
      </w:r>
      <w:r>
        <w:rPr>
          <w:rFonts w:hint="default" w:ascii="Times New Roman" w:hAnsi="Times New Roman" w:eastAsia="仿宋_GB2312" w:cs="Times New Roman"/>
          <w:color w:val="auto"/>
          <w:sz w:val="32"/>
          <w:szCs w:val="32"/>
          <w:u w:val="none"/>
        </w:rPr>
        <w:t>特制定本政策措施。</w:t>
      </w:r>
    </w:p>
    <w:p w14:paraId="25FB9F4B">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一、支持先进制造业项目建设</w:t>
      </w:r>
    </w:p>
    <w:p w14:paraId="470252DE">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黑体" w:cs="Times New Roman"/>
          <w:b/>
          <w:bCs/>
          <w:color w:val="auto"/>
          <w:kern w:val="2"/>
          <w:sz w:val="28"/>
          <w:szCs w:val="28"/>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（一）支持工业项目落地。</w:t>
      </w:r>
      <w:r>
        <w:rPr>
          <w:rFonts w:hint="default" w:ascii="Times New Roman" w:hAnsi="Times New Roman" w:eastAsia="仿宋_GB2312" w:cs="Times New Roman"/>
          <w:color w:val="auto"/>
          <w:kern w:val="2"/>
          <w:sz w:val="32"/>
          <w:szCs w:val="32"/>
          <w:highlight w:val="none"/>
          <w:u w:val="none"/>
          <w:lang w:val="en-US" w:eastAsia="zh-CN" w:bidi="ar-SA"/>
        </w:rPr>
        <w:t>新</w:t>
      </w:r>
      <w:r>
        <w:rPr>
          <w:rFonts w:hint="eastAsia" w:ascii="Times New Roman" w:hAnsi="Times New Roman" w:eastAsia="仿宋_GB2312" w:cs="Times New Roman"/>
          <w:strike w:val="0"/>
          <w:dstrike w:val="0"/>
          <w:color w:val="auto"/>
          <w:kern w:val="2"/>
          <w:sz w:val="32"/>
          <w:szCs w:val="32"/>
          <w:highlight w:val="none"/>
          <w:u w:val="none"/>
          <w:lang w:val="en-US" w:eastAsia="zh-CN" w:bidi="ar-SA"/>
        </w:rPr>
        <w:t>建符合我市产业定位和发展方向</w:t>
      </w:r>
      <w:r>
        <w:rPr>
          <w:rFonts w:hint="default" w:ascii="Times New Roman" w:hAnsi="Times New Roman" w:eastAsia="仿宋_GB2312" w:cs="Times New Roman"/>
          <w:color w:val="auto"/>
          <w:kern w:val="2"/>
          <w:sz w:val="32"/>
          <w:szCs w:val="32"/>
          <w:highlight w:val="none"/>
          <w:u w:val="none"/>
          <w:lang w:val="en-US" w:eastAsia="zh-CN" w:bidi="ar-SA"/>
        </w:rPr>
        <w:t>的工业项目，单个项目自开工之日起（购地项目开工日期以取得施工许可证为准，租赁厂房项目开工日期</w:t>
      </w:r>
      <w:r>
        <w:rPr>
          <w:rFonts w:hint="default" w:ascii="Times New Roman" w:hAnsi="Times New Roman" w:eastAsia="仿宋_GB2312" w:cs="Times New Roman"/>
          <w:strike w:val="0"/>
          <w:dstrike w:val="0"/>
          <w:color w:val="auto"/>
          <w:kern w:val="2"/>
          <w:sz w:val="32"/>
          <w:szCs w:val="32"/>
          <w:highlight w:val="none"/>
          <w:u w:val="none"/>
          <w:lang w:val="en-US" w:eastAsia="zh-CN" w:bidi="ar-SA"/>
        </w:rPr>
        <w:t>以完成厂房交付为准</w:t>
      </w:r>
      <w:r>
        <w:rPr>
          <w:rFonts w:hint="default" w:ascii="Times New Roman" w:hAnsi="Times New Roman" w:eastAsia="仿宋_GB2312" w:cs="Times New Roman"/>
          <w:color w:val="auto"/>
          <w:kern w:val="2"/>
          <w:sz w:val="32"/>
          <w:szCs w:val="32"/>
          <w:highlight w:val="none"/>
          <w:u w:val="none"/>
          <w:lang w:val="en-US" w:eastAsia="zh-CN" w:bidi="ar-SA"/>
        </w:rPr>
        <w:t>）两年内完成设备投资达到2000万元</w:t>
      </w:r>
      <w:r>
        <w:rPr>
          <w:rFonts w:hint="eastAsia" w:ascii="Times New Roman" w:hAnsi="Times New Roman" w:eastAsia="仿宋_GB2312" w:cs="Times New Roman"/>
          <w:color w:val="auto"/>
          <w:kern w:val="2"/>
          <w:sz w:val="32"/>
          <w:szCs w:val="32"/>
          <w:highlight w:val="none"/>
          <w:u w:val="none"/>
          <w:lang w:val="en-US" w:eastAsia="zh-CN" w:bidi="ar-SA"/>
        </w:rPr>
        <w:t>及</w:t>
      </w:r>
      <w:r>
        <w:rPr>
          <w:rFonts w:hint="default" w:ascii="Times New Roman" w:hAnsi="Times New Roman" w:eastAsia="仿宋_GB2312" w:cs="Times New Roman"/>
          <w:color w:val="auto"/>
          <w:kern w:val="2"/>
          <w:sz w:val="32"/>
          <w:szCs w:val="32"/>
          <w:highlight w:val="none"/>
          <w:u w:val="none"/>
          <w:lang w:val="en-US" w:eastAsia="zh-CN" w:bidi="ar-SA"/>
        </w:rPr>
        <w:t>以上的，按设备投资额的15%给予最高2000万元的奖励。属于南宁市重点产业链项目的，奖励标准提高到1亿元。</w:t>
      </w:r>
    </w:p>
    <w:p w14:paraId="1BD14A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楷体_GB2312" w:hAnsi="楷体_GB2312" w:eastAsia="楷体_GB2312" w:cs="楷体_GB2312"/>
          <w:b/>
          <w:bCs/>
          <w:color w:val="auto"/>
          <w:kern w:val="2"/>
          <w:sz w:val="32"/>
          <w:szCs w:val="32"/>
          <w:highlight w:val="none"/>
          <w:u w:val="none"/>
          <w:lang w:val="en-US" w:eastAsia="zh-CN" w:bidi="ar-SA"/>
        </w:rPr>
        <w:t>（二）支持企业设备更新改造。</w:t>
      </w:r>
      <w:r>
        <w:rPr>
          <w:rFonts w:hint="default" w:ascii="Times New Roman" w:hAnsi="Times New Roman" w:eastAsia="仿宋_GB2312" w:cs="Times New Roman"/>
          <w:color w:val="auto"/>
          <w:kern w:val="2"/>
          <w:sz w:val="32"/>
          <w:szCs w:val="32"/>
          <w:highlight w:val="none"/>
          <w:u w:val="none"/>
          <w:lang w:val="en-US" w:eastAsia="zh-CN" w:bidi="ar-SA"/>
        </w:rPr>
        <w:t>对于设备更新改造投资额达到500万元及以上的项目，按照设备投资额的10%给予奖励。对于</w:t>
      </w:r>
      <w:r>
        <w:rPr>
          <w:rFonts w:hint="default" w:ascii="Times New Roman" w:hAnsi="Times New Roman" w:eastAsia="仿宋_GB2312" w:cs="Times New Roman"/>
          <w:strike w:val="0"/>
          <w:dstrike w:val="0"/>
          <w:color w:val="auto"/>
          <w:kern w:val="2"/>
          <w:sz w:val="32"/>
          <w:szCs w:val="32"/>
          <w:highlight w:val="none"/>
          <w:u w:val="none"/>
          <w:lang w:val="en-US" w:eastAsia="zh-CN" w:bidi="ar-SA"/>
        </w:rPr>
        <w:t>经认定的</w:t>
      </w:r>
      <w:r>
        <w:rPr>
          <w:rFonts w:hint="default" w:ascii="Times New Roman" w:hAnsi="Times New Roman" w:eastAsia="仿宋_GB2312" w:cs="Times New Roman"/>
          <w:color w:val="auto"/>
          <w:kern w:val="2"/>
          <w:sz w:val="32"/>
          <w:szCs w:val="32"/>
          <w:highlight w:val="none"/>
          <w:u w:val="none"/>
          <w:lang w:val="en-US" w:eastAsia="zh-CN" w:bidi="ar-SA"/>
        </w:rPr>
        <w:t>高新技术企业、瞪羚企业(含入库企业)和专精特新“小巨人”企业按照设备投资额的15%给予奖励。单个项目最高</w:t>
      </w:r>
      <w:r>
        <w:rPr>
          <w:rFonts w:hint="eastAsia" w:ascii="Times New Roman" w:hAnsi="Times New Roman" w:eastAsia="仿宋_GB2312" w:cs="Times New Roman"/>
          <w:color w:val="auto"/>
          <w:kern w:val="2"/>
          <w:sz w:val="32"/>
          <w:szCs w:val="32"/>
          <w:highlight w:val="none"/>
          <w:u w:val="none"/>
          <w:lang w:val="en-US" w:eastAsia="zh-CN" w:bidi="ar-SA"/>
        </w:rPr>
        <w:t>奖励</w:t>
      </w:r>
      <w:r>
        <w:rPr>
          <w:rFonts w:hint="default" w:ascii="Times New Roman" w:hAnsi="Times New Roman" w:eastAsia="仿宋_GB2312" w:cs="Times New Roman"/>
          <w:color w:val="auto"/>
          <w:kern w:val="2"/>
          <w:sz w:val="32"/>
          <w:szCs w:val="32"/>
          <w:highlight w:val="none"/>
          <w:u w:val="none"/>
          <w:lang w:val="en-US" w:eastAsia="zh-CN" w:bidi="ar-SA"/>
        </w:rPr>
        <w:t xml:space="preserve"> 2000万元。</w:t>
      </w:r>
    </w:p>
    <w:p w14:paraId="2FDAFD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（三）</w:t>
      </w:r>
      <w:r>
        <w:rPr>
          <w:rFonts w:hint="default" w:ascii="楷体_GB2312" w:hAnsi="楷体_GB2312" w:eastAsia="楷体_GB2312" w:cs="楷体_GB2312"/>
          <w:b/>
          <w:bCs/>
          <w:color w:val="auto"/>
          <w:kern w:val="2"/>
          <w:sz w:val="32"/>
          <w:szCs w:val="32"/>
          <w:highlight w:val="none"/>
          <w:u w:val="none"/>
          <w:lang w:val="en-US" w:eastAsia="zh-CN" w:bidi="ar-SA"/>
        </w:rPr>
        <w:t>推进先进制造业集群发展。</w:t>
      </w:r>
    </w:p>
    <w:p w14:paraId="318CB6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b/>
          <w:bCs/>
          <w:color w:val="auto"/>
          <w:kern w:val="2"/>
          <w:sz w:val="32"/>
          <w:szCs w:val="32"/>
          <w:highlight w:val="none"/>
          <w:u w:val="none"/>
          <w:lang w:val="en-US" w:eastAsia="zh-CN" w:bidi="ar-SA"/>
        </w:rPr>
        <w:t>积极开展产业链招商。</w:t>
      </w:r>
      <w:r>
        <w:rPr>
          <w:rFonts w:hint="eastAsia" w:ascii="Times New Roman" w:hAnsi="Times New Roman" w:eastAsia="仿宋_GB2312" w:cs="Times New Roman"/>
          <w:color w:val="auto"/>
          <w:kern w:val="2"/>
          <w:sz w:val="32"/>
          <w:szCs w:val="32"/>
          <w:highlight w:val="none"/>
          <w:u w:val="none"/>
          <w:lang w:val="en-US" w:eastAsia="zh-CN" w:bidi="ar-SA"/>
        </w:rPr>
        <w:t>发挥“链主”企业优势，对列入广西先进制造业集群、广西标志性工程、南宁市先进制造业集群的制造业“链主”企业引进上下游企业落地的，给予“链主”企业产业链招商引荐奖励。“链主”所引进单个企业项目固定资产投资额在2000万元及以上的，按照项目完成固定资产投资额的1%给予累计最高500万元的奖励。同一项目主要由一个引荐法人单位享受奖励。同一“链主”企业引进多个项目的，可进行累加奖励，最高封顶奖励3000万元。</w:t>
      </w:r>
    </w:p>
    <w:p w14:paraId="199AD9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u w:val="none"/>
          <w:shd w:val="clear" w:fill="FFFFFF"/>
        </w:rPr>
        <w:t>加强产业链上下游协作配套</w:t>
      </w:r>
      <w:r>
        <w:rPr>
          <w:rFonts w:hint="eastAsia" w:ascii="仿宋_GB2312" w:hAnsi="仿宋_GB2312" w:eastAsia="仿宋_GB2312" w:cs="仿宋_GB2312"/>
          <w:b/>
          <w:bCs/>
          <w:i w:val="0"/>
          <w:iCs w:val="0"/>
          <w:caps w:val="0"/>
          <w:color w:val="000000"/>
          <w:spacing w:val="0"/>
          <w:sz w:val="32"/>
          <w:szCs w:val="32"/>
          <w:highlight w:val="none"/>
          <w:u w:val="none"/>
          <w:shd w:val="clear" w:fill="FFFFFF"/>
          <w:lang w:eastAsia="zh-CN"/>
        </w:rPr>
        <w:t>。</w:t>
      </w:r>
      <w:r>
        <w:rPr>
          <w:rFonts w:hint="eastAsia" w:ascii="Times New Roman" w:hAnsi="Times New Roman" w:eastAsia="仿宋_GB2312" w:cs="Times New Roman"/>
          <w:color w:val="auto"/>
          <w:kern w:val="2"/>
          <w:sz w:val="32"/>
          <w:szCs w:val="32"/>
          <w:highlight w:val="none"/>
          <w:u w:val="none"/>
          <w:lang w:val="en-US" w:eastAsia="zh-CN" w:bidi="ar-SA"/>
        </w:rPr>
        <w:t>对列入广西先进制造业集群、广西标志性工程、南宁市先进制造业集群的制造业“链主”企业，其</w:t>
      </w:r>
      <w:r>
        <w:rPr>
          <w:rFonts w:hint="eastAsia" w:ascii="仿宋_GB2312" w:hAnsi="仿宋_GB2312" w:eastAsia="仿宋_GB2312" w:cs="仿宋_GB2312"/>
          <w:color w:val="auto"/>
          <w:kern w:val="2"/>
          <w:sz w:val="32"/>
          <w:szCs w:val="32"/>
          <w:highlight w:val="none"/>
          <w:u w:val="none"/>
          <w:lang w:val="en-US" w:eastAsia="zh-CN" w:bidi="ar-SA"/>
        </w:rPr>
        <w:t>与产业链协作配套工业企业、软件和信息技术服务业企业协作配套年度采购额达到</w:t>
      </w:r>
      <w:r>
        <w:rPr>
          <w:rFonts w:hint="default" w:ascii="Times New Roman" w:hAnsi="Times New Roman" w:eastAsia="仿宋_GB2312" w:cs="Times New Roman"/>
          <w:color w:val="auto"/>
          <w:kern w:val="2"/>
          <w:sz w:val="32"/>
          <w:szCs w:val="32"/>
          <w:highlight w:val="none"/>
          <w:u w:val="none"/>
          <w:lang w:val="en-US" w:eastAsia="zh-CN" w:bidi="ar-SA"/>
        </w:rPr>
        <w:t>500万元及以上且同比正增长的，按采购额的2%</w:t>
      </w:r>
      <w:r>
        <w:rPr>
          <w:rFonts w:hint="eastAsia" w:ascii="仿宋_GB2312" w:hAnsi="仿宋_GB2312" w:eastAsia="仿宋_GB2312" w:cs="仿宋_GB2312"/>
          <w:color w:val="auto"/>
          <w:kern w:val="2"/>
          <w:sz w:val="32"/>
          <w:szCs w:val="32"/>
          <w:highlight w:val="none"/>
          <w:u w:val="none"/>
          <w:lang w:val="en-US" w:eastAsia="zh-CN" w:bidi="ar-SA"/>
        </w:rPr>
        <w:t>给予“链主”企业奖励，年度最高奖励</w:t>
      </w:r>
      <w:r>
        <w:rPr>
          <w:rFonts w:hint="eastAsia" w:ascii="Times New Roman" w:hAnsi="Times New Roman" w:eastAsia="仿宋_GB2312" w:cs="Times New Roman"/>
          <w:color w:val="auto"/>
          <w:kern w:val="2"/>
          <w:sz w:val="32"/>
          <w:szCs w:val="32"/>
          <w:highlight w:val="none"/>
          <w:u w:val="none"/>
          <w:lang w:val="en-US" w:eastAsia="zh-CN" w:bidi="ar-SA"/>
        </w:rPr>
        <w:t>500</w:t>
      </w:r>
      <w:r>
        <w:rPr>
          <w:rFonts w:hint="default" w:ascii="Times New Roman" w:hAnsi="Times New Roman" w:eastAsia="仿宋_GB2312" w:cs="Times New Roman"/>
          <w:color w:val="auto"/>
          <w:kern w:val="2"/>
          <w:sz w:val="32"/>
          <w:szCs w:val="32"/>
          <w:highlight w:val="none"/>
          <w:u w:val="none"/>
          <w:lang w:val="en-US" w:eastAsia="zh-CN" w:bidi="ar-SA"/>
        </w:rPr>
        <w:t>万元。</w:t>
      </w:r>
    </w:p>
    <w:p w14:paraId="4FCB32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楷体_GB2312" w:hAnsi="楷体_GB2312" w:eastAsia="楷体_GB2312" w:cs="楷体_GB2312"/>
          <w:b/>
          <w:bCs/>
          <w:color w:val="auto"/>
          <w:kern w:val="2"/>
          <w:sz w:val="32"/>
          <w:szCs w:val="32"/>
          <w:highlight w:val="none"/>
          <w:u w:val="none"/>
          <w:lang w:val="en-US" w:eastAsia="zh-CN" w:bidi="ar-SA"/>
        </w:rPr>
        <w:t>（四）支持制造业项目加快建设。</w:t>
      </w:r>
      <w:r>
        <w:rPr>
          <w:rFonts w:hint="default" w:ascii="Times New Roman" w:hAnsi="Times New Roman" w:eastAsia="仿宋_GB2312" w:cs="Times New Roman"/>
          <w:b w:val="0"/>
          <w:bCs w:val="0"/>
          <w:color w:val="auto"/>
          <w:kern w:val="2"/>
          <w:sz w:val="32"/>
          <w:szCs w:val="32"/>
          <w:highlight w:val="none"/>
          <w:u w:val="none"/>
          <w:lang w:val="en-US" w:eastAsia="zh-CN" w:bidi="ar-SA"/>
        </w:rPr>
        <w:t>根据重点制造业项目季度完成投资规模、同比增量等情况，按照投资增量或实际完成量一定比例给予投资奖励。对季度实际完成投资3000万元</w:t>
      </w:r>
      <w:r>
        <w:rPr>
          <w:rFonts w:hint="default" w:ascii="Times New Roman" w:hAnsi="Times New Roman" w:eastAsia="仿宋_GB2312" w:cs="Times New Roman"/>
          <w:b w:val="0"/>
          <w:bCs w:val="0"/>
          <w:strike w:val="0"/>
          <w:dstrike w:val="0"/>
          <w:color w:val="auto"/>
          <w:kern w:val="2"/>
          <w:sz w:val="32"/>
          <w:szCs w:val="32"/>
          <w:highlight w:val="none"/>
          <w:u w:val="none"/>
          <w:lang w:val="en-US" w:eastAsia="zh-CN" w:bidi="ar-SA"/>
        </w:rPr>
        <w:t>及</w:t>
      </w:r>
      <w:r>
        <w:rPr>
          <w:rFonts w:hint="default" w:ascii="Times New Roman" w:hAnsi="Times New Roman" w:eastAsia="仿宋_GB2312" w:cs="Times New Roman"/>
          <w:b w:val="0"/>
          <w:bCs w:val="0"/>
          <w:color w:val="auto"/>
          <w:kern w:val="2"/>
          <w:sz w:val="32"/>
          <w:szCs w:val="32"/>
          <w:highlight w:val="none"/>
          <w:u w:val="none"/>
          <w:lang w:val="en-US" w:eastAsia="zh-CN" w:bidi="ar-SA"/>
        </w:rPr>
        <w:t>以上的制造业项目，按当季投资同比增量的0.5%给予奖励(上年同期投资额小于1000万元的，按1000万元计算);对季度实际投资完成1亿元</w:t>
      </w:r>
      <w:r>
        <w:rPr>
          <w:rFonts w:hint="default" w:ascii="Times New Roman" w:hAnsi="Times New Roman" w:eastAsia="仿宋_GB2312" w:cs="Times New Roman"/>
          <w:b w:val="0"/>
          <w:bCs w:val="0"/>
          <w:strike w:val="0"/>
          <w:dstrike w:val="0"/>
          <w:color w:val="auto"/>
          <w:kern w:val="2"/>
          <w:sz w:val="32"/>
          <w:szCs w:val="32"/>
          <w:highlight w:val="none"/>
          <w:u w:val="none"/>
          <w:lang w:val="en-US" w:eastAsia="zh-CN" w:bidi="ar-SA"/>
        </w:rPr>
        <w:t>及</w:t>
      </w:r>
      <w:r>
        <w:rPr>
          <w:rFonts w:hint="default" w:ascii="Times New Roman" w:hAnsi="Times New Roman" w:eastAsia="仿宋_GB2312" w:cs="Times New Roman"/>
          <w:b w:val="0"/>
          <w:bCs w:val="0"/>
          <w:color w:val="auto"/>
          <w:kern w:val="2"/>
          <w:sz w:val="32"/>
          <w:szCs w:val="32"/>
          <w:highlight w:val="none"/>
          <w:u w:val="none"/>
          <w:lang w:val="en-US" w:eastAsia="zh-CN" w:bidi="ar-SA"/>
        </w:rPr>
        <w:t>以上的制造业项目，按当季实际完成投资量的0.4%给予重大项目投资奖励。单个项目仅可获得一类奖励，奖励金额上限为100万元，奖励金额不足万元部分不予奖励。</w:t>
      </w:r>
    </w:p>
    <w:p w14:paraId="4B21BEE9">
      <w:pPr>
        <w:pStyle w:val="5"/>
        <w:keepNext w:val="0"/>
        <w:keepLines w:val="0"/>
        <w:pageBreakBefore w:val="0"/>
        <w:widowControl w:val="0"/>
        <w:kinsoku/>
        <w:wordWrap/>
        <w:autoSpaceDE/>
        <w:autoSpaceDN/>
        <w:bidi w:val="0"/>
        <w:adjustRightInd/>
        <w:spacing w:line="600" w:lineRule="exact"/>
        <w:ind w:firstLine="64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二</w:t>
      </w:r>
      <w:r>
        <w:rPr>
          <w:rFonts w:hint="default" w:ascii="Times New Roman" w:hAnsi="Times New Roman" w:eastAsia="黑体"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lang w:eastAsia="zh-CN"/>
        </w:rPr>
        <w:t>提升制造业创新能力</w:t>
      </w:r>
    </w:p>
    <w:p w14:paraId="4F3401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40"/>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w:t>
      </w:r>
      <w:r>
        <w:rPr>
          <w:rFonts w:hint="eastAsia" w:ascii="楷体_GB2312" w:hAnsi="楷体_GB2312" w:eastAsia="楷体_GB2312" w:cs="楷体_GB2312"/>
          <w:b/>
          <w:bCs/>
          <w:color w:val="auto"/>
          <w:kern w:val="2"/>
          <w:sz w:val="32"/>
          <w:szCs w:val="32"/>
          <w:highlight w:val="none"/>
          <w:u w:val="none"/>
          <w:lang w:val="en-US" w:eastAsia="zh-CN" w:bidi="ar-SA"/>
        </w:rPr>
        <w:t>五</w:t>
      </w:r>
      <w:r>
        <w:rPr>
          <w:rFonts w:hint="default" w:ascii="楷体_GB2312" w:hAnsi="楷体_GB2312" w:eastAsia="楷体_GB2312" w:cs="楷体_GB2312"/>
          <w:b/>
          <w:bCs/>
          <w:color w:val="auto"/>
          <w:kern w:val="2"/>
          <w:sz w:val="32"/>
          <w:szCs w:val="32"/>
          <w:highlight w:val="none"/>
          <w:u w:val="none"/>
          <w:lang w:val="en-US" w:eastAsia="zh-CN" w:bidi="ar-SA"/>
        </w:rPr>
        <w:t>）支持企业技术创新体系建设。</w:t>
      </w:r>
      <w:r>
        <w:rPr>
          <w:rFonts w:hint="default" w:ascii="Times New Roman" w:hAnsi="Times New Roman" w:eastAsia="仿宋_GB2312" w:cs="Times New Roman"/>
          <w:color w:val="auto"/>
          <w:sz w:val="32"/>
          <w:szCs w:val="40"/>
          <w:highlight w:val="none"/>
          <w:u w:val="none"/>
        </w:rPr>
        <w:t>新建成国家、自治区级制造业创新中心的，分别奖励500万元、100万元。新认定为自治区级、市级企业技术中心的，分别奖励30万元、20万元。新认定为国家认可实验室</w:t>
      </w:r>
      <w:r>
        <w:rPr>
          <w:rFonts w:hint="default" w:ascii="Times New Roman" w:hAnsi="Times New Roman" w:eastAsia="仿宋_GB2312" w:cs="Times New Roman"/>
          <w:color w:val="auto"/>
          <w:sz w:val="32"/>
          <w:szCs w:val="40"/>
          <w:highlight w:val="none"/>
          <w:u w:val="none"/>
          <w:lang w:eastAsia="zh-CN"/>
        </w:rPr>
        <w:t>的</w:t>
      </w:r>
      <w:r>
        <w:rPr>
          <w:rFonts w:hint="default" w:ascii="Times New Roman" w:hAnsi="Times New Roman" w:eastAsia="仿宋_GB2312" w:cs="Times New Roman"/>
          <w:color w:val="auto"/>
          <w:sz w:val="32"/>
          <w:szCs w:val="40"/>
          <w:highlight w:val="none"/>
          <w:u w:val="none"/>
        </w:rPr>
        <w:t>，奖励50万元。新认定为自治区工业设计中心的，奖励10万元。</w:t>
      </w:r>
    </w:p>
    <w:p w14:paraId="6FEAC36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13" w:leftChars="0" w:firstLine="643" w:firstLineChars="0"/>
        <w:textAlignment w:val="auto"/>
        <w:rPr>
          <w:rFonts w:hint="default" w:ascii="Times New Roman" w:hAnsi="Times New Roman" w:eastAsia="仿宋_GB2312" w:cs="Times New Roman"/>
          <w:sz w:val="32"/>
          <w:szCs w:val="32"/>
          <w:highlight w:val="none"/>
          <w:u w:val="none"/>
          <w:lang w:val="en-US" w:eastAsia="zh-CN"/>
        </w:rPr>
      </w:pPr>
      <w:r>
        <w:rPr>
          <w:rFonts w:hint="default" w:ascii="楷体_GB2312" w:hAnsi="楷体_GB2312" w:eastAsia="楷体_GB2312" w:cs="楷体_GB2312"/>
          <w:b/>
          <w:bCs/>
          <w:color w:val="auto"/>
          <w:kern w:val="2"/>
          <w:sz w:val="32"/>
          <w:szCs w:val="32"/>
          <w:highlight w:val="none"/>
          <w:u w:val="none"/>
          <w:lang w:val="en-US" w:eastAsia="zh-CN" w:bidi="ar-SA"/>
        </w:rPr>
        <w:t>（</w:t>
      </w:r>
      <w:r>
        <w:rPr>
          <w:rFonts w:hint="eastAsia" w:ascii="楷体_GB2312" w:hAnsi="楷体_GB2312" w:eastAsia="楷体_GB2312" w:cs="楷体_GB2312"/>
          <w:b/>
          <w:bCs/>
          <w:color w:val="auto"/>
          <w:kern w:val="2"/>
          <w:sz w:val="32"/>
          <w:szCs w:val="32"/>
          <w:highlight w:val="none"/>
          <w:u w:val="none"/>
          <w:lang w:val="en-US" w:eastAsia="zh-CN" w:bidi="ar-SA"/>
        </w:rPr>
        <w:t>六</w:t>
      </w:r>
      <w:r>
        <w:rPr>
          <w:rFonts w:hint="default" w:ascii="楷体_GB2312" w:hAnsi="楷体_GB2312" w:eastAsia="楷体_GB2312" w:cs="楷体_GB2312"/>
          <w:b/>
          <w:bCs/>
          <w:color w:val="auto"/>
          <w:kern w:val="2"/>
          <w:sz w:val="32"/>
          <w:szCs w:val="32"/>
          <w:highlight w:val="none"/>
          <w:u w:val="none"/>
          <w:lang w:val="en-US" w:eastAsia="zh-CN" w:bidi="ar-SA"/>
        </w:rPr>
        <w:t>）支持质量标准品牌建设。</w:t>
      </w:r>
      <w:r>
        <w:rPr>
          <w:rFonts w:hint="default" w:ascii="Times New Roman" w:hAnsi="Times New Roman" w:eastAsia="仿宋_GB2312" w:cs="Times New Roman"/>
          <w:color w:val="auto"/>
          <w:sz w:val="32"/>
          <w:szCs w:val="32"/>
          <w:highlight w:val="none"/>
          <w:u w:val="none"/>
          <w:shd w:val="clear" w:color="auto" w:fill="FFFFFF"/>
        </w:rPr>
        <w:t>主导（排名第一）工业</w:t>
      </w:r>
      <w:r>
        <w:rPr>
          <w:rFonts w:hint="default" w:ascii="Times New Roman" w:hAnsi="Times New Roman" w:eastAsia="仿宋_GB2312" w:cs="Times New Roman"/>
          <w:color w:val="auto"/>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rPr>
        <w:t>软件和信息技术服务业</w:t>
      </w:r>
      <w:r>
        <w:rPr>
          <w:rFonts w:hint="default" w:ascii="Times New Roman" w:hAnsi="Times New Roman" w:eastAsia="仿宋_GB2312" w:cs="Times New Roman"/>
          <w:color w:val="auto"/>
          <w:sz w:val="32"/>
          <w:szCs w:val="32"/>
          <w:highlight w:val="none"/>
          <w:u w:val="none"/>
          <w:shd w:val="clear" w:color="auto" w:fill="FFFFFF"/>
        </w:rPr>
        <w:t>相关的国际标准、国家标准、行业标准、广西地方标准和南宁市地方标准制修订并发布的，分别奖励50万元、40万元、30万元、30万元、20万元。参与（排名</w:t>
      </w:r>
      <w:r>
        <w:rPr>
          <w:rFonts w:hint="eastAsia" w:ascii="Times New Roman" w:hAnsi="Times New Roman" w:eastAsia="仿宋_GB2312" w:cs="Times New Roman"/>
          <w:color w:val="auto"/>
          <w:sz w:val="32"/>
          <w:szCs w:val="32"/>
          <w:highlight w:val="none"/>
          <w:u w:val="none"/>
          <w:shd w:val="clear" w:color="auto" w:fill="FFFFFF"/>
          <w:lang w:eastAsia="zh-CN"/>
        </w:rPr>
        <w:t>第二、第三</w:t>
      </w:r>
      <w:r>
        <w:rPr>
          <w:rFonts w:hint="default" w:ascii="Times New Roman" w:hAnsi="Times New Roman" w:eastAsia="仿宋_GB2312" w:cs="Times New Roman"/>
          <w:color w:val="auto"/>
          <w:sz w:val="32"/>
          <w:szCs w:val="32"/>
          <w:highlight w:val="none"/>
          <w:u w:val="none"/>
          <w:shd w:val="clear" w:color="auto" w:fill="FFFFFF"/>
        </w:rPr>
        <w:t>）以上标准制修订并发布的企业，按照主导制定同类标准支持额度的50%予以奖励。</w:t>
      </w:r>
      <w:r>
        <w:rPr>
          <w:rFonts w:hint="default" w:ascii="Times New Roman" w:hAnsi="Times New Roman" w:eastAsia="仿宋_GB2312" w:cs="Times New Roman"/>
          <w:color w:val="auto"/>
          <w:sz w:val="32"/>
          <w:szCs w:val="32"/>
          <w:highlight w:val="none"/>
          <w:u w:val="none"/>
        </w:rPr>
        <w:t>新认定为全国、广西质量管理标杆企业的，分别奖励50万元、10万元。</w:t>
      </w:r>
    </w:p>
    <w:p w14:paraId="22347D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shd w:val="clear" w:color="auto" w:fill="FFFFFF"/>
        </w:rPr>
      </w:pPr>
      <w:r>
        <w:rPr>
          <w:rFonts w:hint="default" w:ascii="楷体_GB2312" w:hAnsi="楷体_GB2312" w:eastAsia="楷体_GB2312" w:cs="楷体_GB2312"/>
          <w:b/>
          <w:bCs/>
          <w:color w:val="auto"/>
          <w:kern w:val="2"/>
          <w:sz w:val="32"/>
          <w:szCs w:val="32"/>
          <w:highlight w:val="none"/>
          <w:u w:val="none"/>
          <w:lang w:val="en-US" w:eastAsia="zh-CN" w:bidi="ar-SA"/>
        </w:rPr>
        <w:t>（</w:t>
      </w:r>
      <w:r>
        <w:rPr>
          <w:rFonts w:hint="eastAsia" w:ascii="楷体_GB2312" w:hAnsi="楷体_GB2312" w:eastAsia="楷体_GB2312" w:cs="楷体_GB2312"/>
          <w:b/>
          <w:bCs/>
          <w:color w:val="auto"/>
          <w:kern w:val="2"/>
          <w:sz w:val="32"/>
          <w:szCs w:val="32"/>
          <w:highlight w:val="none"/>
          <w:u w:val="none"/>
          <w:lang w:val="en-US" w:eastAsia="zh-CN" w:bidi="ar-SA"/>
        </w:rPr>
        <w:t>七</w:t>
      </w:r>
      <w:r>
        <w:rPr>
          <w:rFonts w:hint="default" w:ascii="楷体_GB2312" w:hAnsi="楷体_GB2312" w:eastAsia="楷体_GB2312" w:cs="楷体_GB2312"/>
          <w:b/>
          <w:bCs/>
          <w:color w:val="auto"/>
          <w:kern w:val="2"/>
          <w:sz w:val="32"/>
          <w:szCs w:val="32"/>
          <w:highlight w:val="none"/>
          <w:u w:val="none"/>
          <w:lang w:val="en-US" w:eastAsia="zh-CN" w:bidi="ar-SA"/>
        </w:rPr>
        <w:t>）支持科技成果产业化和产业协同创新。</w:t>
      </w:r>
      <w:r>
        <w:rPr>
          <w:rFonts w:hint="default" w:ascii="Times New Roman" w:hAnsi="Times New Roman" w:eastAsia="仿宋_GB2312" w:cs="Times New Roman"/>
          <w:color w:val="auto"/>
          <w:sz w:val="32"/>
          <w:szCs w:val="32"/>
          <w:highlight w:val="none"/>
          <w:u w:val="none"/>
          <w:shd w:val="clear" w:color="auto" w:fill="FFFFFF"/>
        </w:rPr>
        <w:t>支持自有知识产权的新技术新产品等科技成果产业化项目和产业公共技术服务平台建设，择优对知识产权取得、检验检测、新购设备等创新经费投入予以30%、最高200万奖励。</w:t>
      </w:r>
    </w:p>
    <w:p w14:paraId="7DB1BBA4">
      <w:pPr>
        <w:spacing w:line="580" w:lineRule="exact"/>
        <w:ind w:firstLine="643" w:firstLineChars="200"/>
        <w:rPr>
          <w:rFonts w:hint="default" w:ascii="Times New Roman" w:hAnsi="Times New Roman" w:eastAsia="黑体" w:cs="Times New Roman"/>
          <w:b/>
          <w:bCs/>
          <w:color w:val="auto"/>
          <w:kern w:val="2"/>
          <w:sz w:val="28"/>
          <w:szCs w:val="28"/>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（八）促进智改数转和“人工智能+制造业”融合。</w:t>
      </w:r>
      <w:r>
        <w:rPr>
          <w:rFonts w:ascii="Times New Roman" w:hAnsi="Times New Roman" w:eastAsia="仿宋_GB2312" w:cs="Times New Roman"/>
          <w:sz w:val="32"/>
          <w:szCs w:val="32"/>
          <w:highlight w:val="none"/>
          <w:u w:val="none"/>
        </w:rPr>
        <w:t>聚焦数实融合</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color w:val="auto"/>
          <w:sz w:val="32"/>
          <w:szCs w:val="32"/>
          <w:highlight w:val="none"/>
          <w:u w:val="none"/>
          <w:shd w:val="clear" w:color="auto" w:fill="FFFFFF"/>
          <w:lang w:val="en-US" w:eastAsia="zh-CN"/>
        </w:rPr>
        <w:t>另行出台专项政策，</w:t>
      </w:r>
      <w:r>
        <w:rPr>
          <w:rFonts w:hint="eastAsia" w:ascii="Times New Roman" w:hAnsi="Times New Roman" w:eastAsia="仿宋_GB2312" w:cs="Times New Roman"/>
          <w:color w:val="auto"/>
          <w:sz w:val="32"/>
          <w:szCs w:val="32"/>
          <w:highlight w:val="none"/>
          <w:u w:val="none"/>
          <w:shd w:val="clear" w:color="auto" w:fill="FFFFFF"/>
          <w:lang w:eastAsia="zh-CN"/>
        </w:rPr>
        <w:t>从</w:t>
      </w:r>
      <w:r>
        <w:rPr>
          <w:rFonts w:hint="eastAsia" w:ascii="Times New Roman" w:hAnsi="Times New Roman" w:eastAsia="仿宋_GB2312" w:cs="Times New Roman"/>
          <w:color w:val="auto"/>
          <w:sz w:val="32"/>
          <w:szCs w:val="32"/>
          <w:highlight w:val="none"/>
          <w:u w:val="none"/>
          <w:shd w:val="clear" w:color="auto" w:fill="FFFFFF"/>
        </w:rPr>
        <w:t>智改数转能力建设</w:t>
      </w:r>
      <w:r>
        <w:rPr>
          <w:rFonts w:hint="eastAsia" w:ascii="Times New Roman" w:hAnsi="Times New Roman" w:eastAsia="仿宋_GB2312" w:cs="Times New Roman"/>
          <w:color w:val="auto"/>
          <w:sz w:val="32"/>
          <w:szCs w:val="32"/>
          <w:highlight w:val="none"/>
          <w:u w:val="none"/>
          <w:shd w:val="clear" w:color="auto" w:fill="FFFFFF"/>
          <w:lang w:eastAsia="zh-CN"/>
        </w:rPr>
        <w:t>、</w:t>
      </w:r>
      <w:r>
        <w:rPr>
          <w:rFonts w:hint="eastAsia" w:ascii="Times New Roman" w:hAnsi="Times New Roman" w:eastAsia="仿宋_GB2312" w:cs="Times New Roman"/>
          <w:color w:val="auto"/>
          <w:sz w:val="32"/>
          <w:szCs w:val="32"/>
          <w:highlight w:val="none"/>
          <w:u w:val="none"/>
          <w:shd w:val="clear" w:color="auto" w:fill="FFFFFF"/>
        </w:rPr>
        <w:t>人工智能产品研发推广、典型场景应用、智能工厂建设、企业</w:t>
      </w:r>
      <w:r>
        <w:rPr>
          <w:rFonts w:hint="eastAsia" w:ascii="Times New Roman" w:hAnsi="Times New Roman" w:eastAsia="仿宋_GB2312" w:cs="Times New Roman"/>
          <w:color w:val="auto"/>
          <w:sz w:val="32"/>
          <w:szCs w:val="32"/>
          <w:highlight w:val="none"/>
          <w:u w:val="none"/>
          <w:shd w:val="clear" w:color="auto" w:fill="FFFFFF"/>
          <w:lang w:eastAsia="zh-CN"/>
        </w:rPr>
        <w:t>及服务商</w:t>
      </w:r>
      <w:r>
        <w:rPr>
          <w:rFonts w:hint="eastAsia" w:ascii="Times New Roman" w:hAnsi="Times New Roman" w:eastAsia="仿宋_GB2312" w:cs="Times New Roman"/>
          <w:color w:val="auto"/>
          <w:sz w:val="32"/>
          <w:szCs w:val="32"/>
          <w:highlight w:val="none"/>
          <w:u w:val="none"/>
          <w:shd w:val="clear" w:color="auto" w:fill="FFFFFF"/>
        </w:rPr>
        <w:t>梯度培育等</w:t>
      </w:r>
      <w:r>
        <w:rPr>
          <w:rFonts w:hint="default" w:ascii="Times New Roman" w:hAnsi="Times New Roman" w:eastAsia="仿宋_GB2312" w:cs="Times New Roman"/>
          <w:color w:val="auto"/>
          <w:sz w:val="32"/>
          <w:szCs w:val="32"/>
          <w:highlight w:val="none"/>
          <w:u w:val="none"/>
          <w:shd w:val="clear" w:color="auto" w:fill="FFFFFF"/>
        </w:rPr>
        <w:t>方面给予政策支持</w:t>
      </w:r>
      <w:r>
        <w:rPr>
          <w:rFonts w:hint="eastAsia" w:ascii="Times New Roman" w:hAnsi="Times New Roman" w:eastAsia="仿宋_GB2312" w:cs="Times New Roman"/>
          <w:color w:val="auto"/>
          <w:sz w:val="32"/>
          <w:szCs w:val="32"/>
          <w:highlight w:val="none"/>
          <w:u w:val="none"/>
          <w:shd w:val="clear" w:color="auto" w:fill="FFFFFF"/>
          <w:lang w:eastAsia="zh-CN"/>
        </w:rPr>
        <w:t>，深化</w:t>
      </w:r>
      <w:r>
        <w:rPr>
          <w:rFonts w:hint="default" w:ascii="Times New Roman" w:hAnsi="Times New Roman" w:eastAsia="仿宋_GB2312" w:cs="Times New Roman"/>
          <w:color w:val="auto"/>
          <w:sz w:val="32"/>
          <w:szCs w:val="32"/>
          <w:highlight w:val="none"/>
          <w:u w:val="none"/>
          <w:shd w:val="clear" w:color="auto" w:fill="FFFFFF"/>
        </w:rPr>
        <w:t>中小企业数字化转型试点城市</w:t>
      </w:r>
      <w:r>
        <w:rPr>
          <w:rFonts w:hint="eastAsia" w:ascii="Times New Roman" w:hAnsi="Times New Roman" w:eastAsia="仿宋_GB2312" w:cs="Times New Roman"/>
          <w:color w:val="auto"/>
          <w:sz w:val="32"/>
          <w:szCs w:val="32"/>
          <w:highlight w:val="none"/>
          <w:u w:val="none"/>
          <w:shd w:val="clear" w:color="auto" w:fill="FFFFFF"/>
          <w:lang w:eastAsia="zh-CN"/>
        </w:rPr>
        <w:t>成效，</w:t>
      </w:r>
      <w:r>
        <w:rPr>
          <w:rFonts w:ascii="Times New Roman" w:hAnsi="Times New Roman" w:eastAsia="仿宋_GB2312" w:cs="Times New Roman"/>
          <w:sz w:val="32"/>
          <w:szCs w:val="32"/>
          <w:highlight w:val="none"/>
          <w:u w:val="none"/>
        </w:rPr>
        <w:t>推动人工智能和制造业深度融合</w:t>
      </w:r>
      <w:r>
        <w:rPr>
          <w:rFonts w:hint="eastAsia" w:ascii="Times New Roman" w:hAnsi="Times New Roman" w:eastAsia="仿宋_GB2312" w:cs="Times New Roman"/>
          <w:sz w:val="32"/>
          <w:szCs w:val="32"/>
          <w:highlight w:val="none"/>
          <w:u w:val="none"/>
          <w:lang w:eastAsia="zh-CN"/>
        </w:rPr>
        <w:t>。</w:t>
      </w:r>
    </w:p>
    <w:p w14:paraId="752BCBF7">
      <w:pPr>
        <w:pStyle w:val="5"/>
        <w:keepNext w:val="0"/>
        <w:keepLines w:val="0"/>
        <w:pageBreakBefore w:val="0"/>
        <w:widowControl w:val="0"/>
        <w:kinsoku/>
        <w:wordWrap/>
        <w:autoSpaceDE/>
        <w:autoSpaceDN/>
        <w:bidi w:val="0"/>
        <w:adjustRightInd/>
        <w:spacing w:line="600" w:lineRule="exact"/>
        <w:ind w:firstLine="64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lang w:eastAsia="zh-CN"/>
        </w:rPr>
        <w:t>推进</w:t>
      </w:r>
      <w:r>
        <w:rPr>
          <w:rFonts w:hint="default" w:ascii="Times New Roman" w:hAnsi="Times New Roman" w:eastAsia="黑体" w:cs="Times New Roman"/>
          <w:color w:val="auto"/>
          <w:sz w:val="32"/>
          <w:szCs w:val="32"/>
          <w:highlight w:val="none"/>
          <w:u w:val="none"/>
        </w:rPr>
        <w:t>绿色</w:t>
      </w:r>
      <w:r>
        <w:rPr>
          <w:rFonts w:hint="default" w:ascii="Times New Roman" w:hAnsi="Times New Roman" w:eastAsia="黑体" w:cs="Times New Roman"/>
          <w:color w:val="auto"/>
          <w:sz w:val="32"/>
          <w:szCs w:val="32"/>
          <w:highlight w:val="none"/>
          <w:u w:val="none"/>
          <w:lang w:eastAsia="zh-CN"/>
        </w:rPr>
        <w:t>低碳</w:t>
      </w:r>
      <w:r>
        <w:rPr>
          <w:rFonts w:hint="default" w:ascii="Times New Roman" w:hAnsi="Times New Roman" w:eastAsia="黑体" w:cs="Times New Roman"/>
          <w:color w:val="auto"/>
          <w:sz w:val="32"/>
          <w:szCs w:val="32"/>
          <w:highlight w:val="none"/>
          <w:u w:val="none"/>
        </w:rPr>
        <w:t>发展</w:t>
      </w:r>
    </w:p>
    <w:p w14:paraId="1633FF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w:t>
      </w:r>
      <w:r>
        <w:rPr>
          <w:rFonts w:hint="eastAsia" w:ascii="楷体_GB2312" w:hAnsi="楷体_GB2312" w:eastAsia="楷体_GB2312" w:cs="楷体_GB2312"/>
          <w:b/>
          <w:bCs/>
          <w:color w:val="auto"/>
          <w:kern w:val="2"/>
          <w:sz w:val="32"/>
          <w:szCs w:val="32"/>
          <w:highlight w:val="none"/>
          <w:u w:val="none"/>
          <w:lang w:val="en-US" w:eastAsia="zh-CN" w:bidi="ar-SA"/>
        </w:rPr>
        <w:t>九</w:t>
      </w:r>
      <w:r>
        <w:rPr>
          <w:rFonts w:hint="default" w:ascii="楷体_GB2312" w:hAnsi="楷体_GB2312" w:eastAsia="楷体_GB2312" w:cs="楷体_GB2312"/>
          <w:b/>
          <w:bCs/>
          <w:color w:val="auto"/>
          <w:kern w:val="2"/>
          <w:sz w:val="32"/>
          <w:szCs w:val="32"/>
          <w:highlight w:val="none"/>
          <w:u w:val="none"/>
          <w:lang w:val="en-US" w:eastAsia="zh-CN" w:bidi="ar-SA"/>
        </w:rPr>
        <w:t>）支持重点耗能行业节能降碳技术改造。</w:t>
      </w:r>
      <w:r>
        <w:rPr>
          <w:rFonts w:hint="default" w:ascii="Times New Roman" w:hAnsi="Times New Roman" w:eastAsia="仿宋_GB2312" w:cs="Times New Roman"/>
          <w:color w:val="auto"/>
          <w:sz w:val="32"/>
          <w:szCs w:val="32"/>
          <w:highlight w:val="none"/>
          <w:u w:val="none"/>
        </w:rPr>
        <w:t>对总投资不低于200万元、年节能量不低于300吨标准煤的工业领域节能降碳技术改造项目，根据年度节能量按300元/吨标准煤的标准予以一次性奖励，单个项目最高奖励200万元。</w:t>
      </w:r>
    </w:p>
    <w:p w14:paraId="47CA8B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w:t>
      </w:r>
      <w:r>
        <w:rPr>
          <w:rFonts w:hint="eastAsia" w:ascii="楷体_GB2312" w:hAnsi="楷体_GB2312" w:eastAsia="楷体_GB2312" w:cs="楷体_GB2312"/>
          <w:b/>
          <w:bCs/>
          <w:color w:val="auto"/>
          <w:kern w:val="2"/>
          <w:sz w:val="32"/>
          <w:szCs w:val="32"/>
          <w:highlight w:val="none"/>
          <w:u w:val="none"/>
          <w:lang w:val="en-US" w:eastAsia="zh-CN" w:bidi="ar-SA"/>
        </w:rPr>
        <w:t>十</w:t>
      </w:r>
      <w:r>
        <w:rPr>
          <w:rFonts w:hint="default" w:ascii="楷体_GB2312" w:hAnsi="楷体_GB2312" w:eastAsia="楷体_GB2312" w:cs="楷体_GB2312"/>
          <w:b/>
          <w:bCs/>
          <w:color w:val="auto"/>
          <w:kern w:val="2"/>
          <w:sz w:val="32"/>
          <w:szCs w:val="32"/>
          <w:highlight w:val="none"/>
          <w:u w:val="none"/>
          <w:lang w:val="en-US" w:eastAsia="zh-CN" w:bidi="ar-SA"/>
        </w:rPr>
        <w:t>）支持重点用能设备能效升级。</w:t>
      </w:r>
      <w:r>
        <w:rPr>
          <w:rFonts w:hint="default" w:ascii="Times New Roman" w:hAnsi="Times New Roman" w:eastAsia="仿宋_GB2312" w:cs="Times New Roman"/>
          <w:color w:val="auto"/>
          <w:sz w:val="32"/>
          <w:szCs w:val="32"/>
          <w:highlight w:val="none"/>
          <w:u w:val="none"/>
        </w:rPr>
        <w:t>企业采用现行《重点用能产品设备能效先进水平、节能水平和准入水平》中节能水平以上的工业设备对旧设备进行升级更换的，按照设备投资额的</w:t>
      </w:r>
      <w:r>
        <w:rPr>
          <w:rFonts w:hint="default" w:ascii="Times New Roman" w:hAnsi="Times New Roman" w:eastAsia="仿宋_GB2312" w:cs="Times New Roman"/>
          <w:strike w:val="0"/>
          <w:dstrike w:val="0"/>
          <w:color w:val="auto"/>
          <w:sz w:val="32"/>
          <w:szCs w:val="32"/>
          <w:highlight w:val="none"/>
          <w:u w:val="none"/>
          <w:lang w:val="en-US" w:eastAsia="zh-CN"/>
        </w:rPr>
        <w:t>15</w:t>
      </w:r>
      <w:r>
        <w:rPr>
          <w:rFonts w:hint="default" w:ascii="Times New Roman" w:hAnsi="Times New Roman" w:eastAsia="仿宋_GB2312" w:cs="Times New Roman"/>
          <w:color w:val="auto"/>
          <w:sz w:val="32"/>
          <w:szCs w:val="32"/>
          <w:highlight w:val="none"/>
          <w:u w:val="none"/>
        </w:rPr>
        <w:t>%予以奖励，单个企业最高奖励200万元。</w:t>
      </w:r>
    </w:p>
    <w:p w14:paraId="2962BE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一</w:t>
      </w:r>
      <w:r>
        <w:rPr>
          <w:rFonts w:hint="default" w:ascii="楷体_GB2312" w:hAnsi="楷体_GB2312" w:eastAsia="楷体_GB2312" w:cs="楷体_GB2312"/>
          <w:b/>
          <w:bCs/>
          <w:color w:val="auto"/>
          <w:kern w:val="2"/>
          <w:sz w:val="32"/>
          <w:szCs w:val="32"/>
          <w:highlight w:val="none"/>
          <w:u w:val="none"/>
          <w:lang w:val="en-US" w:eastAsia="zh-CN" w:bidi="ar-SA"/>
        </w:rPr>
        <w:t>）支持企业绿色低碳转型。</w:t>
      </w:r>
      <w:r>
        <w:rPr>
          <w:rFonts w:hint="default" w:ascii="Times New Roman" w:hAnsi="Times New Roman" w:eastAsia="仿宋_GB2312" w:cs="Times New Roman"/>
          <w:color w:val="auto"/>
          <w:sz w:val="32"/>
          <w:szCs w:val="32"/>
          <w:highlight w:val="none"/>
          <w:u w:val="none"/>
        </w:rPr>
        <w:t>首次进入国家级绿色工厂、绿色供应链管理企业名单的，分别奖励30万元。首次进入自治区级绿色工厂、绿色供应链管理企业名单的，分别奖励20万元。首次获得自治区级节水标杆企业、清洁生产企业称号的，分别奖励10万元。首次获得国家绿色建材产品认证的，奖励5万元。</w:t>
      </w:r>
    </w:p>
    <w:p w14:paraId="4AFF7A84">
      <w:pPr>
        <w:pStyle w:val="5"/>
        <w:keepNext w:val="0"/>
        <w:keepLines w:val="0"/>
        <w:pageBreakBefore w:val="0"/>
        <w:widowControl w:val="0"/>
        <w:kinsoku/>
        <w:wordWrap/>
        <w:overflowPunct/>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lang w:eastAsia="zh-CN"/>
        </w:rPr>
        <w:t>鼓励企业发展壮大</w:t>
      </w:r>
    </w:p>
    <w:p w14:paraId="58439C0B">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二</w:t>
      </w:r>
      <w:r>
        <w:rPr>
          <w:rFonts w:hint="default" w:ascii="楷体_GB2312" w:hAnsi="楷体_GB2312" w:eastAsia="楷体_GB2312" w:cs="楷体_GB2312"/>
          <w:b/>
          <w:bCs/>
          <w:color w:val="auto"/>
          <w:kern w:val="2"/>
          <w:sz w:val="32"/>
          <w:szCs w:val="32"/>
          <w:highlight w:val="none"/>
          <w:u w:val="none"/>
          <w:lang w:val="en-US" w:eastAsia="zh-CN" w:bidi="ar-SA"/>
        </w:rPr>
        <w:t>）促进企业稳增长快发展。</w:t>
      </w:r>
      <w:r>
        <w:rPr>
          <w:rFonts w:hint="default" w:ascii="Times New Roman" w:hAnsi="Times New Roman" w:eastAsia="仿宋_GB2312" w:cs="Times New Roman"/>
          <w:color w:val="auto"/>
          <w:sz w:val="32"/>
          <w:szCs w:val="32"/>
          <w:highlight w:val="none"/>
          <w:u w:val="none"/>
        </w:rPr>
        <w:t>支持</w:t>
      </w:r>
      <w:r>
        <w:rPr>
          <w:rFonts w:hint="default" w:ascii="Times New Roman" w:hAnsi="Times New Roman" w:eastAsia="仿宋_GB2312" w:cs="Times New Roman"/>
          <w:color w:val="auto"/>
          <w:sz w:val="32"/>
          <w:szCs w:val="32"/>
          <w:highlight w:val="none"/>
          <w:u w:val="none"/>
          <w:lang w:val="en-US" w:eastAsia="zh-CN"/>
        </w:rPr>
        <w:t>有市场、</w:t>
      </w:r>
      <w:r>
        <w:rPr>
          <w:rFonts w:hint="default" w:ascii="Times New Roman" w:hAnsi="Times New Roman" w:eastAsia="仿宋_GB2312" w:cs="Times New Roman"/>
          <w:color w:val="auto"/>
          <w:sz w:val="32"/>
          <w:szCs w:val="32"/>
          <w:highlight w:val="none"/>
          <w:u w:val="none"/>
        </w:rPr>
        <w:t>有订单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有潜力</w:t>
      </w:r>
      <w:r>
        <w:rPr>
          <w:rFonts w:hint="default" w:ascii="Times New Roman" w:hAnsi="Times New Roman" w:eastAsia="仿宋_GB2312" w:cs="Times New Roman"/>
          <w:color w:val="auto"/>
          <w:sz w:val="32"/>
          <w:szCs w:val="32"/>
          <w:highlight w:val="none"/>
          <w:u w:val="none"/>
        </w:rPr>
        <w:t>的企业增产增效</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帮助</w:t>
      </w:r>
      <w:r>
        <w:rPr>
          <w:rFonts w:hint="default" w:ascii="Times New Roman" w:hAnsi="Times New Roman" w:eastAsia="仿宋_GB2312" w:cs="Times New Roman"/>
          <w:color w:val="auto"/>
          <w:sz w:val="32"/>
          <w:szCs w:val="32"/>
          <w:highlight w:val="none"/>
          <w:u w:val="none"/>
          <w:lang w:eastAsia="zh-CN"/>
        </w:rPr>
        <w:t>新建投产项目爬坡满产、加快释放产能</w:t>
      </w:r>
      <w:r>
        <w:rPr>
          <w:rFonts w:hint="default" w:ascii="Times New Roman" w:hAnsi="Times New Roman" w:eastAsia="仿宋_GB2312" w:cs="Times New Roman"/>
          <w:color w:val="auto"/>
          <w:sz w:val="32"/>
          <w:szCs w:val="32"/>
          <w:highlight w:val="none"/>
          <w:u w:val="none"/>
        </w:rPr>
        <w:t>，鼓励重点企业将更多市外产能回归</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对生产能力</w:t>
      </w:r>
      <w:r>
        <w:rPr>
          <w:rFonts w:hint="default" w:ascii="Times New Roman" w:hAnsi="Times New Roman" w:eastAsia="仿宋_GB2312" w:cs="Times New Roman"/>
          <w:color w:val="auto"/>
          <w:sz w:val="32"/>
          <w:szCs w:val="32"/>
          <w:highlight w:val="none"/>
          <w:u w:val="none"/>
          <w:lang w:val="en-US" w:eastAsia="zh-CN"/>
        </w:rPr>
        <w:t>提升</w:t>
      </w:r>
      <w:r>
        <w:rPr>
          <w:rFonts w:hint="default" w:ascii="Times New Roman" w:hAnsi="Times New Roman" w:eastAsia="仿宋_GB2312" w:cs="Times New Roman"/>
          <w:color w:val="auto"/>
          <w:sz w:val="32"/>
          <w:szCs w:val="32"/>
          <w:highlight w:val="none"/>
          <w:u w:val="none"/>
        </w:rPr>
        <w:t>、生产规模</w:t>
      </w:r>
      <w:r>
        <w:rPr>
          <w:rFonts w:hint="default" w:ascii="Times New Roman" w:hAnsi="Times New Roman" w:eastAsia="仿宋_GB2312" w:cs="Times New Roman"/>
          <w:color w:val="auto"/>
          <w:sz w:val="32"/>
          <w:szCs w:val="32"/>
          <w:highlight w:val="none"/>
          <w:u w:val="none"/>
          <w:lang w:val="en-US" w:eastAsia="zh-CN"/>
        </w:rPr>
        <w:t>扩大</w:t>
      </w:r>
      <w:r>
        <w:rPr>
          <w:rFonts w:hint="default" w:ascii="Times New Roman" w:hAnsi="Times New Roman" w:eastAsia="仿宋_GB2312" w:cs="Times New Roman"/>
          <w:color w:val="auto"/>
          <w:sz w:val="32"/>
          <w:szCs w:val="32"/>
          <w:highlight w:val="none"/>
          <w:u w:val="none"/>
        </w:rPr>
        <w:t>的制造业企业，根据当季</w:t>
      </w:r>
      <w:r>
        <w:rPr>
          <w:rFonts w:hint="default" w:ascii="Times New Roman" w:hAnsi="Times New Roman" w:eastAsia="仿宋_GB2312" w:cs="Times New Roman"/>
          <w:color w:val="auto"/>
          <w:sz w:val="32"/>
          <w:szCs w:val="32"/>
          <w:highlight w:val="none"/>
          <w:u w:val="none"/>
          <w:lang w:val="en-US" w:eastAsia="zh-CN"/>
        </w:rPr>
        <w:t>及当年</w:t>
      </w:r>
      <w:r>
        <w:rPr>
          <w:rFonts w:hint="default" w:ascii="Times New Roman" w:hAnsi="Times New Roman" w:eastAsia="仿宋_GB2312" w:cs="Times New Roman"/>
          <w:color w:val="auto"/>
          <w:sz w:val="32"/>
          <w:szCs w:val="32"/>
          <w:highlight w:val="none"/>
          <w:u w:val="none"/>
        </w:rPr>
        <w:t>产值</w:t>
      </w:r>
      <w:r>
        <w:rPr>
          <w:rFonts w:hint="default" w:ascii="Times New Roman" w:hAnsi="Times New Roman" w:eastAsia="仿宋_GB2312" w:cs="Times New Roman"/>
          <w:color w:val="auto"/>
          <w:sz w:val="32"/>
          <w:szCs w:val="32"/>
          <w:highlight w:val="none"/>
          <w:u w:val="none"/>
          <w:lang w:val="en-US" w:eastAsia="zh-CN"/>
        </w:rPr>
        <w:t>增量</w:t>
      </w:r>
      <w:r>
        <w:rPr>
          <w:rFonts w:hint="default" w:ascii="Times New Roman" w:hAnsi="Times New Roman" w:eastAsia="仿宋_GB2312" w:cs="Times New Roman"/>
          <w:color w:val="auto"/>
          <w:sz w:val="32"/>
          <w:szCs w:val="32"/>
          <w:highlight w:val="none"/>
          <w:u w:val="none"/>
        </w:rPr>
        <w:t>情况给予奖励</w:t>
      </w:r>
      <w:r>
        <w:rPr>
          <w:rFonts w:hint="default" w:ascii="Times New Roman" w:hAnsi="Times New Roman" w:eastAsia="仿宋_GB2312" w:cs="Times New Roman"/>
          <w:color w:val="auto"/>
          <w:sz w:val="32"/>
          <w:szCs w:val="32"/>
          <w:highlight w:val="none"/>
          <w:u w:val="none"/>
          <w:lang w:eastAsia="zh-CN"/>
        </w:rPr>
        <w:t>。</w:t>
      </w:r>
    </w:p>
    <w:p w14:paraId="4C9B570E">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val="en-US" w:eastAsia="zh-CN"/>
        </w:rPr>
        <w:t>1.季度增长奖励。</w:t>
      </w:r>
      <w:r>
        <w:rPr>
          <w:rFonts w:hint="default" w:ascii="Times New Roman" w:hAnsi="Times New Roman" w:eastAsia="仿宋_GB2312" w:cs="Times New Roman"/>
          <w:color w:val="auto"/>
          <w:sz w:val="32"/>
          <w:szCs w:val="32"/>
          <w:highlight w:val="none"/>
          <w:u w:val="none"/>
          <w:lang w:val="en-US" w:eastAsia="zh-CN"/>
        </w:rPr>
        <w:t>对当年累计产值</w:t>
      </w:r>
      <w:r>
        <w:rPr>
          <w:rFonts w:hint="default" w:ascii="Times New Roman" w:hAnsi="Times New Roman" w:eastAsia="仿宋_GB2312" w:cs="Times New Roman"/>
          <w:color w:val="auto"/>
          <w:sz w:val="32"/>
          <w:szCs w:val="32"/>
          <w:highlight w:val="none"/>
          <w:u w:val="none"/>
        </w:rPr>
        <w:t>同比</w:t>
      </w:r>
      <w:r>
        <w:rPr>
          <w:rFonts w:hint="default" w:ascii="Times New Roman" w:hAnsi="Times New Roman" w:eastAsia="仿宋_GB2312" w:cs="Times New Roman"/>
          <w:color w:val="auto"/>
          <w:sz w:val="32"/>
          <w:szCs w:val="32"/>
          <w:highlight w:val="none"/>
          <w:u w:val="none"/>
          <w:lang w:val="en-US" w:eastAsia="zh-CN"/>
        </w:rPr>
        <w:t>增长、且当季</w:t>
      </w:r>
      <w:r>
        <w:rPr>
          <w:rFonts w:hint="default" w:ascii="Times New Roman" w:hAnsi="Times New Roman" w:eastAsia="仿宋_GB2312" w:cs="Times New Roman"/>
          <w:color w:val="auto"/>
          <w:sz w:val="32"/>
          <w:szCs w:val="32"/>
          <w:highlight w:val="none"/>
          <w:u w:val="none"/>
        </w:rPr>
        <w:t>增量达</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rPr>
        <w:t>00万元（含）以上的制造业企业</w:t>
      </w:r>
      <w:r>
        <w:rPr>
          <w:rFonts w:hint="default" w:ascii="Times New Roman" w:hAnsi="Times New Roman" w:eastAsia="仿宋_GB2312" w:cs="Times New Roman"/>
          <w:color w:val="auto"/>
          <w:sz w:val="32"/>
          <w:szCs w:val="32"/>
          <w:highlight w:val="none"/>
          <w:u w:val="none"/>
          <w:lang w:val="en-US" w:eastAsia="zh-CN"/>
        </w:rPr>
        <w:t>（含无基数企业）</w:t>
      </w:r>
      <w:r>
        <w:rPr>
          <w:rFonts w:hint="default" w:ascii="Times New Roman" w:hAnsi="Times New Roman" w:eastAsia="仿宋_GB2312" w:cs="Times New Roman"/>
          <w:color w:val="auto"/>
          <w:sz w:val="32"/>
          <w:szCs w:val="32"/>
          <w:highlight w:val="none"/>
          <w:u w:val="none"/>
        </w:rPr>
        <w:t>，按</w:t>
      </w:r>
      <w:r>
        <w:rPr>
          <w:rFonts w:hint="default" w:ascii="Times New Roman" w:hAnsi="Times New Roman" w:eastAsia="仿宋_GB2312" w:cs="Times New Roman"/>
          <w:color w:val="auto"/>
          <w:sz w:val="32"/>
          <w:szCs w:val="32"/>
          <w:highlight w:val="none"/>
          <w:u w:val="none"/>
          <w:lang w:val="en-US" w:eastAsia="zh-CN"/>
        </w:rPr>
        <w:t>季度</w:t>
      </w:r>
      <w:r>
        <w:rPr>
          <w:rFonts w:hint="default" w:ascii="Times New Roman" w:hAnsi="Times New Roman" w:eastAsia="仿宋_GB2312" w:cs="Times New Roman"/>
          <w:color w:val="auto"/>
          <w:sz w:val="32"/>
          <w:szCs w:val="32"/>
          <w:highlight w:val="none"/>
          <w:u w:val="none"/>
        </w:rPr>
        <w:t>产值同比增量的</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rPr>
        <w:t>给</w:t>
      </w:r>
      <w:r>
        <w:rPr>
          <w:rFonts w:hint="default" w:ascii="Times New Roman" w:hAnsi="Times New Roman" w:eastAsia="仿宋_GB2312" w:cs="Times New Roman"/>
          <w:color w:val="auto"/>
          <w:sz w:val="32"/>
          <w:szCs w:val="32"/>
          <w:highlight w:val="none"/>
          <w:u w:val="none"/>
        </w:rPr>
        <w:t>予奖励</w:t>
      </w:r>
      <w:r>
        <w:rPr>
          <w:rFonts w:hint="default" w:ascii="Times New Roman" w:hAnsi="Times New Roman" w:eastAsia="仿宋_GB2312" w:cs="Times New Roman"/>
          <w:color w:val="auto"/>
          <w:sz w:val="32"/>
          <w:szCs w:val="32"/>
          <w:highlight w:val="none"/>
          <w:u w:val="none"/>
          <w:lang w:eastAsia="zh-CN"/>
        </w:rPr>
        <w:t>。</w:t>
      </w:r>
    </w:p>
    <w:p w14:paraId="7E539728">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2.年度贡献奖励。</w:t>
      </w:r>
      <w:r>
        <w:rPr>
          <w:rFonts w:hint="default" w:ascii="Times New Roman" w:hAnsi="Times New Roman" w:eastAsia="仿宋_GB2312" w:cs="Times New Roman"/>
          <w:color w:val="auto"/>
          <w:sz w:val="32"/>
          <w:szCs w:val="32"/>
          <w:highlight w:val="none"/>
          <w:u w:val="none"/>
          <w:lang w:val="en-US" w:eastAsia="zh-CN"/>
        </w:rPr>
        <w:t>对全年增量达5亿元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val="en-US" w:eastAsia="zh-CN"/>
        </w:rPr>
        <w:t>以上、20亿元以下的</w:t>
      </w:r>
      <w:r>
        <w:rPr>
          <w:rFonts w:hint="default" w:ascii="Times New Roman" w:hAnsi="Times New Roman" w:eastAsia="仿宋_GB2312" w:cs="Times New Roman"/>
          <w:color w:val="auto"/>
          <w:sz w:val="32"/>
          <w:szCs w:val="32"/>
          <w:highlight w:val="none"/>
          <w:u w:val="none"/>
        </w:rPr>
        <w:t>制造业企业</w:t>
      </w:r>
      <w:r>
        <w:rPr>
          <w:rFonts w:hint="default" w:ascii="Times New Roman" w:hAnsi="Times New Roman" w:eastAsia="仿宋_GB2312" w:cs="Times New Roman"/>
          <w:color w:val="auto"/>
          <w:sz w:val="32"/>
          <w:szCs w:val="32"/>
          <w:highlight w:val="none"/>
          <w:u w:val="none"/>
          <w:lang w:val="en-US" w:eastAsia="zh-CN"/>
        </w:rPr>
        <w:t>（含无基数企业），按年度产值同比增量的</w:t>
      </w:r>
      <w:r>
        <w:rPr>
          <w:rFonts w:hint="default" w:ascii="Times New Roman" w:hAnsi="Times New Roman" w:eastAsia="仿宋_GB2312" w:cs="Times New Roman"/>
          <w:b w:val="0"/>
          <w:bCs w:val="0"/>
          <w:color w:val="auto"/>
          <w:sz w:val="32"/>
          <w:szCs w:val="32"/>
          <w:highlight w:val="none"/>
          <w:u w:val="none"/>
          <w:lang w:val="en-US" w:eastAsia="zh-CN"/>
        </w:rPr>
        <w:t>1‰追加奖励；</w:t>
      </w:r>
      <w:r>
        <w:rPr>
          <w:rFonts w:hint="default" w:ascii="Times New Roman" w:hAnsi="Times New Roman" w:eastAsia="仿宋_GB2312" w:cs="Times New Roman"/>
          <w:color w:val="auto"/>
          <w:sz w:val="32"/>
          <w:szCs w:val="32"/>
          <w:highlight w:val="none"/>
          <w:u w:val="none"/>
          <w:lang w:val="en-US" w:eastAsia="zh-CN"/>
        </w:rPr>
        <w:t>对全年增量20亿元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val="en-US" w:eastAsia="zh-CN"/>
        </w:rPr>
        <w:t>以上、50亿元以下的</w:t>
      </w:r>
      <w:r>
        <w:rPr>
          <w:rFonts w:hint="default" w:ascii="Times New Roman" w:hAnsi="Times New Roman" w:eastAsia="仿宋_GB2312" w:cs="Times New Roman"/>
          <w:color w:val="auto"/>
          <w:sz w:val="32"/>
          <w:szCs w:val="32"/>
          <w:highlight w:val="none"/>
          <w:u w:val="none"/>
        </w:rPr>
        <w:t>制造业企业</w:t>
      </w:r>
      <w:r>
        <w:rPr>
          <w:rFonts w:hint="default" w:ascii="Times New Roman" w:hAnsi="Times New Roman" w:eastAsia="仿宋_GB2312" w:cs="Times New Roman"/>
          <w:color w:val="auto"/>
          <w:sz w:val="32"/>
          <w:szCs w:val="32"/>
          <w:highlight w:val="none"/>
          <w:u w:val="none"/>
          <w:lang w:val="en-US" w:eastAsia="zh-CN"/>
        </w:rPr>
        <w:t>（含无基数企业），按年度产值同比增量的</w:t>
      </w:r>
      <w:r>
        <w:rPr>
          <w:rFonts w:hint="default" w:ascii="Times New Roman" w:hAnsi="Times New Roman" w:eastAsia="仿宋_GB2312" w:cs="Times New Roman"/>
          <w:b w:val="0"/>
          <w:bCs w:val="0"/>
          <w:color w:val="auto"/>
          <w:sz w:val="32"/>
          <w:szCs w:val="32"/>
          <w:highlight w:val="none"/>
          <w:u w:val="none"/>
          <w:lang w:val="en-US" w:eastAsia="zh-CN"/>
        </w:rPr>
        <w:t>3‰追加奖励；</w:t>
      </w:r>
      <w:r>
        <w:rPr>
          <w:rFonts w:hint="default" w:ascii="Times New Roman" w:hAnsi="Times New Roman" w:eastAsia="仿宋_GB2312" w:cs="Times New Roman"/>
          <w:color w:val="auto"/>
          <w:sz w:val="32"/>
          <w:szCs w:val="32"/>
          <w:highlight w:val="none"/>
          <w:u w:val="none"/>
          <w:lang w:val="en-US" w:eastAsia="zh-CN"/>
        </w:rPr>
        <w:t>对全年增量50亿元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val="en-US" w:eastAsia="zh-CN"/>
        </w:rPr>
        <w:t>以上、100亿元以下的</w:t>
      </w:r>
      <w:r>
        <w:rPr>
          <w:rFonts w:hint="default" w:ascii="Times New Roman" w:hAnsi="Times New Roman" w:eastAsia="仿宋_GB2312" w:cs="Times New Roman"/>
          <w:color w:val="auto"/>
          <w:sz w:val="32"/>
          <w:szCs w:val="32"/>
          <w:highlight w:val="none"/>
          <w:u w:val="none"/>
        </w:rPr>
        <w:t>制造业企业</w:t>
      </w:r>
      <w:r>
        <w:rPr>
          <w:rFonts w:hint="default" w:ascii="Times New Roman" w:hAnsi="Times New Roman" w:eastAsia="仿宋_GB2312" w:cs="Times New Roman"/>
          <w:color w:val="auto"/>
          <w:sz w:val="32"/>
          <w:szCs w:val="32"/>
          <w:highlight w:val="none"/>
          <w:u w:val="none"/>
          <w:lang w:val="en-US" w:eastAsia="zh-CN"/>
        </w:rPr>
        <w:t>（含无基数企业），按年度产值同比增量的</w:t>
      </w:r>
      <w:r>
        <w:rPr>
          <w:rFonts w:hint="default" w:ascii="Times New Roman" w:hAnsi="Times New Roman" w:eastAsia="仿宋_GB2312" w:cs="Times New Roman"/>
          <w:b w:val="0"/>
          <w:bCs w:val="0"/>
          <w:color w:val="auto"/>
          <w:sz w:val="32"/>
          <w:szCs w:val="32"/>
          <w:highlight w:val="none"/>
          <w:u w:val="none"/>
          <w:lang w:val="en-US" w:eastAsia="zh-CN"/>
        </w:rPr>
        <w:t>5‰追加奖励；</w:t>
      </w:r>
      <w:r>
        <w:rPr>
          <w:rFonts w:hint="default" w:ascii="Times New Roman" w:hAnsi="Times New Roman" w:eastAsia="仿宋_GB2312" w:cs="Times New Roman"/>
          <w:color w:val="auto"/>
          <w:sz w:val="32"/>
          <w:szCs w:val="32"/>
          <w:highlight w:val="none"/>
          <w:u w:val="none"/>
          <w:lang w:val="en-US" w:eastAsia="zh-CN"/>
        </w:rPr>
        <w:t>对全年增量100亿元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val="en-US" w:eastAsia="zh-CN"/>
        </w:rPr>
        <w:t>以上的</w:t>
      </w:r>
      <w:r>
        <w:rPr>
          <w:rFonts w:hint="default" w:ascii="Times New Roman" w:hAnsi="Times New Roman" w:eastAsia="仿宋_GB2312" w:cs="Times New Roman"/>
          <w:color w:val="auto"/>
          <w:sz w:val="32"/>
          <w:szCs w:val="32"/>
          <w:highlight w:val="none"/>
          <w:u w:val="none"/>
        </w:rPr>
        <w:t>制造业企业</w:t>
      </w:r>
      <w:r>
        <w:rPr>
          <w:rFonts w:hint="default" w:ascii="Times New Roman" w:hAnsi="Times New Roman" w:eastAsia="仿宋_GB2312" w:cs="Times New Roman"/>
          <w:color w:val="auto"/>
          <w:sz w:val="32"/>
          <w:szCs w:val="32"/>
          <w:highlight w:val="none"/>
          <w:u w:val="none"/>
          <w:lang w:val="en-US" w:eastAsia="zh-CN"/>
        </w:rPr>
        <w:t>（含无基数企业），按年度产值同比增量的</w:t>
      </w:r>
      <w:r>
        <w:rPr>
          <w:rFonts w:hint="default" w:ascii="Times New Roman" w:hAnsi="Times New Roman" w:eastAsia="仿宋_GB2312" w:cs="Times New Roman"/>
          <w:b w:val="0"/>
          <w:bCs w:val="0"/>
          <w:color w:val="auto"/>
          <w:sz w:val="32"/>
          <w:szCs w:val="32"/>
          <w:highlight w:val="none"/>
          <w:u w:val="none"/>
          <w:lang w:val="en-US" w:eastAsia="zh-CN"/>
        </w:rPr>
        <w:t>8‰追加奖励</w:t>
      </w:r>
      <w:r>
        <w:rPr>
          <w:rFonts w:hint="default" w:ascii="Times New Roman" w:hAnsi="Times New Roman" w:eastAsia="仿宋_GB2312" w:cs="Times New Roman"/>
          <w:color w:val="auto"/>
          <w:sz w:val="32"/>
          <w:szCs w:val="32"/>
          <w:highlight w:val="none"/>
          <w:u w:val="none"/>
        </w:rPr>
        <w:t>。</w:t>
      </w:r>
    </w:p>
    <w:p w14:paraId="27926D68">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不足万元部分不予奖励（向下取整），集团总部或母公司与其子公司不得重复或交叉申报，不得多头注册申报。</w:t>
      </w:r>
    </w:p>
    <w:p w14:paraId="7BA5C546">
      <w:pPr>
        <w:keepNext w:val="0"/>
        <w:keepLines w:val="0"/>
        <w:pageBreakBefore w:val="0"/>
        <w:widowControl w:val="0"/>
        <w:numPr>
          <w:ilvl w:val="0"/>
          <w:numId w:val="0"/>
        </w:numPr>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三</w:t>
      </w:r>
      <w:r>
        <w:rPr>
          <w:rFonts w:hint="default" w:ascii="楷体_GB2312" w:hAnsi="楷体_GB2312" w:eastAsia="楷体_GB2312" w:cs="楷体_GB2312"/>
          <w:b/>
          <w:bCs/>
          <w:color w:val="auto"/>
          <w:kern w:val="2"/>
          <w:sz w:val="32"/>
          <w:szCs w:val="32"/>
          <w:highlight w:val="none"/>
          <w:u w:val="none"/>
          <w:lang w:val="en-US" w:eastAsia="zh-CN" w:bidi="ar-SA"/>
        </w:rPr>
        <w:t>）引导企业上规入统。</w:t>
      </w:r>
      <w:r>
        <w:rPr>
          <w:rFonts w:hint="default" w:ascii="Times New Roman" w:hAnsi="Times New Roman" w:eastAsia="仿宋_GB2312" w:cs="Times New Roman"/>
          <w:color w:val="auto"/>
          <w:sz w:val="32"/>
          <w:szCs w:val="32"/>
          <w:highlight w:val="none"/>
          <w:u w:val="none"/>
        </w:rPr>
        <w:t>对于新建投产的上规入统工业企业、软件和信息技术服务业企业，给予一次性20万元奖励。对于规下升规上的工业企业（含拆分、转库企业）、软件和信息技术服务业企业，给予一次性10万元奖励。</w:t>
      </w:r>
    </w:p>
    <w:p w14:paraId="02CC3766">
      <w:pPr>
        <w:keepNext w:val="0"/>
        <w:keepLines w:val="0"/>
        <w:pageBreakBefore w:val="0"/>
        <w:widowControl w:val="0"/>
        <w:numPr>
          <w:ilvl w:val="0"/>
          <w:numId w:val="0"/>
        </w:numPr>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四</w:t>
      </w:r>
      <w:r>
        <w:rPr>
          <w:rFonts w:hint="default" w:ascii="楷体_GB2312" w:hAnsi="楷体_GB2312" w:eastAsia="楷体_GB2312" w:cs="楷体_GB2312"/>
          <w:b/>
          <w:bCs/>
          <w:color w:val="auto"/>
          <w:kern w:val="2"/>
          <w:sz w:val="32"/>
          <w:szCs w:val="32"/>
          <w:highlight w:val="none"/>
          <w:u w:val="none"/>
          <w:lang w:val="en-US" w:eastAsia="zh-CN" w:bidi="ar-SA"/>
        </w:rPr>
        <w:t>）鼓励企业优质发展。</w:t>
      </w:r>
      <w:r>
        <w:rPr>
          <w:rFonts w:hint="default" w:ascii="Times New Roman" w:hAnsi="Times New Roman" w:eastAsia="仿宋_GB2312" w:cs="Times New Roman"/>
          <w:color w:val="auto"/>
          <w:sz w:val="32"/>
          <w:szCs w:val="40"/>
          <w:highlight w:val="none"/>
          <w:u w:val="none"/>
        </w:rPr>
        <w:t>新认定为国家级、自治区级、市级“专精特新”中小企业的，分别奖励100万元、30万元、10万元。首次认定为国家级、自治区级制造业单项冠军企业的，分别奖励100万元、30万元。</w:t>
      </w:r>
    </w:p>
    <w:p w14:paraId="1932F8D8">
      <w:pPr>
        <w:keepNext w:val="0"/>
        <w:keepLines w:val="0"/>
        <w:pageBreakBefore w:val="0"/>
        <w:widowControl w:val="0"/>
        <w:pBdr>
          <w:bottom w:val="single" w:color="FFFFFF" w:sz="4" w:space="24"/>
        </w:pBdr>
        <w:kinsoku/>
        <w:wordWrap/>
        <w:topLinePunct/>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40"/>
          <w:highlight w:val="none"/>
          <w:u w:val="none"/>
          <w:lang w:val="en-US" w:eastAsia="zh-CN"/>
        </w:rPr>
      </w:pPr>
      <w:r>
        <w:rPr>
          <w:rFonts w:hint="default" w:ascii="Times New Roman" w:hAnsi="Times New Roman" w:eastAsia="黑体" w:cs="Times New Roman"/>
          <w:color w:val="auto"/>
          <w:sz w:val="32"/>
          <w:szCs w:val="40"/>
          <w:highlight w:val="none"/>
          <w:u w:val="none"/>
          <w:lang w:eastAsia="zh-CN"/>
        </w:rPr>
        <w:t>五、加强企业发展服务保障</w:t>
      </w:r>
    </w:p>
    <w:p w14:paraId="489D7247">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40"/>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五</w:t>
      </w:r>
      <w:r>
        <w:rPr>
          <w:rFonts w:hint="default" w:ascii="楷体_GB2312" w:hAnsi="楷体_GB2312" w:eastAsia="楷体_GB2312" w:cs="楷体_GB2312"/>
          <w:b/>
          <w:bCs/>
          <w:color w:val="auto"/>
          <w:kern w:val="2"/>
          <w:sz w:val="32"/>
          <w:szCs w:val="32"/>
          <w:highlight w:val="none"/>
          <w:u w:val="none"/>
          <w:lang w:val="en-US" w:eastAsia="zh-CN" w:bidi="ar-SA"/>
        </w:rPr>
        <w:t>）给予融资支持。</w:t>
      </w:r>
      <w:r>
        <w:rPr>
          <w:rFonts w:hint="default" w:ascii="Times New Roman" w:hAnsi="Times New Roman" w:eastAsia="仿宋_GB2312" w:cs="Times New Roman"/>
          <w:color w:val="auto"/>
          <w:sz w:val="32"/>
          <w:szCs w:val="40"/>
          <w:highlight w:val="none"/>
          <w:u w:val="none"/>
        </w:rPr>
        <w:t>对科创型、成长型、符合重点产业发展方向的工业企业贷款给予贴息，优先支持专精特新、制造业单项冠军等工业企业和“千企技改”、“双百双新”等工业项目业主。对企业1000万元以上新增并在申报前已经结清的银行单笔贷款，且未享受过“桂惠贷”政策的，</w:t>
      </w:r>
      <w:r>
        <w:rPr>
          <w:rFonts w:hint="eastAsia" w:ascii="Times New Roman" w:hAnsi="Times New Roman" w:eastAsia="仿宋_GB2312" w:cs="Times New Roman"/>
          <w:color w:val="auto"/>
          <w:sz w:val="32"/>
          <w:szCs w:val="40"/>
          <w:highlight w:val="none"/>
          <w:u w:val="none"/>
          <w:lang w:val="en-US" w:eastAsia="zh-CN"/>
        </w:rPr>
        <w:t>按照实际发生利息的50%给予奖励，最高不超过100万元。</w:t>
      </w:r>
    </w:p>
    <w:p w14:paraId="79E8D16A">
      <w:pPr>
        <w:keepNext w:val="0"/>
        <w:keepLines w:val="0"/>
        <w:pageBreakBefore w:val="0"/>
        <w:widowControl w:val="0"/>
        <w:numPr>
          <w:ilvl w:val="0"/>
          <w:numId w:val="0"/>
        </w:numPr>
        <w:pBdr>
          <w:bottom w:val="single" w:color="FFFFFF" w:sz="4" w:space="24"/>
        </w:pBdr>
        <w:kinsoku/>
        <w:wordWrap/>
        <w:overflowPunct/>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40"/>
          <w:highlight w:val="none"/>
          <w:u w:val="none"/>
          <w:lang w:val="en-US" w:eastAsia="zh-CN"/>
        </w:rPr>
      </w:pPr>
      <w:r>
        <w:rPr>
          <w:rFonts w:hint="eastAsia" w:ascii="楷体_GB2312" w:hAnsi="楷体_GB2312" w:eastAsia="楷体_GB2312" w:cs="楷体_GB2312"/>
          <w:b/>
          <w:bCs/>
          <w:color w:val="auto"/>
          <w:kern w:val="2"/>
          <w:sz w:val="32"/>
          <w:szCs w:val="40"/>
          <w:highlight w:val="none"/>
          <w:u w:val="none"/>
          <w:lang w:val="en-US" w:eastAsia="zh-CN" w:bidi="ar-SA"/>
        </w:rPr>
        <w:t>（十六）</w:t>
      </w:r>
      <w:r>
        <w:rPr>
          <w:rFonts w:hint="eastAsia" w:ascii="楷体_GB2312" w:hAnsi="楷体_GB2312" w:eastAsia="楷体_GB2312" w:cs="楷体_GB2312"/>
          <w:b/>
          <w:bCs/>
          <w:color w:val="auto"/>
          <w:kern w:val="2"/>
          <w:sz w:val="32"/>
          <w:szCs w:val="32"/>
          <w:highlight w:val="none"/>
          <w:u w:val="none"/>
          <w:lang w:val="en-US" w:eastAsia="zh-CN" w:bidi="ar-SA"/>
        </w:rPr>
        <w:t>支持股权投资。</w:t>
      </w:r>
      <w:r>
        <w:rPr>
          <w:rFonts w:hint="eastAsia" w:ascii="Times New Roman" w:hAnsi="Times New Roman" w:eastAsia="仿宋_GB2312" w:cs="Times New Roman"/>
          <w:color w:val="auto"/>
          <w:sz w:val="32"/>
          <w:szCs w:val="40"/>
          <w:highlight w:val="none"/>
          <w:u w:val="none"/>
          <w:lang w:val="en-US" w:eastAsia="zh-CN"/>
        </w:rPr>
        <w:t>股权投资机构（在中国证券投资基金业协会登记备案的私募股权投资基金及受托管理企业）以公司制或合伙制形式投向于符合本市产业发展定位和方向的工业企业，投资额在5000万元以上的，按实际投资额的1%给予一次性奖励，每家机构最高奖励500万元。</w:t>
      </w:r>
    </w:p>
    <w:p w14:paraId="4EACAF7B">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40"/>
          <w:highlight w:val="none"/>
          <w:u w:val="none"/>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七</w:t>
      </w:r>
      <w:r>
        <w:rPr>
          <w:rFonts w:hint="default" w:ascii="楷体_GB2312" w:hAnsi="楷体_GB2312" w:eastAsia="楷体_GB2312" w:cs="楷体_GB2312"/>
          <w:b/>
          <w:bCs/>
          <w:color w:val="auto"/>
          <w:kern w:val="2"/>
          <w:sz w:val="32"/>
          <w:szCs w:val="32"/>
          <w:highlight w:val="none"/>
          <w:u w:val="none"/>
          <w:lang w:val="en-US" w:eastAsia="zh-CN" w:bidi="ar-SA"/>
        </w:rPr>
        <w:t>）帮助企业开拓市场。</w:t>
      </w:r>
      <w:r>
        <w:rPr>
          <w:rFonts w:hint="default" w:ascii="Times New Roman" w:hAnsi="Times New Roman" w:eastAsia="仿宋_GB2312" w:cs="Times New Roman"/>
          <w:color w:val="auto"/>
          <w:sz w:val="32"/>
          <w:szCs w:val="40"/>
          <w:highlight w:val="none"/>
          <w:u w:val="none"/>
          <w:lang w:val="en-US" w:eastAsia="zh-CN"/>
        </w:rPr>
        <w:t>工业</w:t>
      </w:r>
      <w:r>
        <w:rPr>
          <w:rFonts w:hint="default" w:ascii="Times New Roman" w:hAnsi="Times New Roman" w:eastAsia="仿宋_GB2312" w:cs="Times New Roman"/>
          <w:color w:val="auto"/>
          <w:sz w:val="32"/>
          <w:szCs w:val="40"/>
          <w:highlight w:val="none"/>
          <w:u w:val="none"/>
        </w:rPr>
        <w:t>企业在抖音、小红书、今日头条等主流新媒体平台、大流量媒体平台（非直播带货等产品销售平台）开展主要产品品牌推广</w:t>
      </w:r>
      <w:r>
        <w:rPr>
          <w:rFonts w:hint="default" w:ascii="Times New Roman" w:hAnsi="Times New Roman" w:eastAsia="仿宋_GB2312" w:cs="Times New Roman"/>
          <w:color w:val="auto"/>
          <w:sz w:val="32"/>
          <w:szCs w:val="40"/>
          <w:highlight w:val="none"/>
          <w:u w:val="none"/>
          <w:lang w:eastAsia="zh-CN"/>
        </w:rPr>
        <w:t>年度费用不低于</w:t>
      </w:r>
      <w:r>
        <w:rPr>
          <w:rFonts w:hint="default" w:ascii="Times New Roman" w:hAnsi="Times New Roman" w:eastAsia="仿宋_GB2312" w:cs="Times New Roman"/>
          <w:color w:val="auto"/>
          <w:sz w:val="32"/>
          <w:szCs w:val="40"/>
          <w:highlight w:val="none"/>
          <w:u w:val="none"/>
          <w:lang w:val="en-US" w:eastAsia="zh-CN"/>
        </w:rPr>
        <w:t>5万元</w:t>
      </w:r>
      <w:r>
        <w:rPr>
          <w:rFonts w:hint="default" w:ascii="Times New Roman" w:hAnsi="Times New Roman" w:eastAsia="仿宋_GB2312" w:cs="Times New Roman"/>
          <w:color w:val="auto"/>
          <w:sz w:val="32"/>
          <w:szCs w:val="40"/>
          <w:highlight w:val="none"/>
          <w:u w:val="none"/>
        </w:rPr>
        <w:t>并且工业</w:t>
      </w:r>
      <w:r>
        <w:rPr>
          <w:rFonts w:hint="default" w:ascii="Times New Roman" w:hAnsi="Times New Roman" w:eastAsia="仿宋_GB2312" w:cs="Times New Roman"/>
          <w:color w:val="auto"/>
          <w:sz w:val="32"/>
          <w:szCs w:val="40"/>
          <w:highlight w:val="none"/>
          <w:u w:val="none"/>
          <w:lang w:val="en-US" w:eastAsia="zh-CN"/>
        </w:rPr>
        <w:t>年</w:t>
      </w:r>
      <w:r>
        <w:rPr>
          <w:rFonts w:hint="default" w:ascii="Times New Roman" w:hAnsi="Times New Roman" w:eastAsia="仿宋_GB2312" w:cs="Times New Roman"/>
          <w:color w:val="auto"/>
          <w:sz w:val="32"/>
          <w:szCs w:val="40"/>
          <w:highlight w:val="none"/>
          <w:u w:val="none"/>
        </w:rPr>
        <w:t>产值达到2000万元及以上、同比增速达到5%及以上的，对企业实际发生新媒体推广业务费用给予5%的补助，每家企业</w:t>
      </w:r>
      <w:r>
        <w:rPr>
          <w:rFonts w:hint="default" w:ascii="Times New Roman" w:hAnsi="Times New Roman" w:eastAsia="仿宋_GB2312" w:cs="Times New Roman"/>
          <w:color w:val="auto"/>
          <w:sz w:val="32"/>
          <w:szCs w:val="40"/>
          <w:highlight w:val="none"/>
          <w:u w:val="none"/>
          <w:lang w:eastAsia="zh-CN"/>
        </w:rPr>
        <w:t>每年</w:t>
      </w:r>
      <w:r>
        <w:rPr>
          <w:rFonts w:hint="default" w:ascii="Times New Roman" w:hAnsi="Times New Roman" w:eastAsia="仿宋_GB2312" w:cs="Times New Roman"/>
          <w:color w:val="auto"/>
          <w:sz w:val="32"/>
          <w:szCs w:val="40"/>
          <w:highlight w:val="none"/>
          <w:u w:val="none"/>
        </w:rPr>
        <w:t>补助最高不超过30万元。</w:t>
      </w:r>
    </w:p>
    <w:p w14:paraId="514EB5AF">
      <w:pPr>
        <w:keepNext w:val="0"/>
        <w:keepLines w:val="0"/>
        <w:pageBreakBefore w:val="0"/>
        <w:widowControl w:val="0"/>
        <w:numPr>
          <w:ilvl w:val="0"/>
          <w:numId w:val="0"/>
        </w:numPr>
        <w:pBdr>
          <w:bottom w:val="single" w:color="FFFFFF" w:sz="4" w:space="24"/>
        </w:pBdr>
        <w:kinsoku/>
        <w:wordWrap/>
        <w:topLinePunct/>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40"/>
          <w:highlight w:val="none"/>
          <w:u w:val="none"/>
          <w:lang w:val="en-US" w:eastAsia="zh-CN"/>
        </w:rPr>
      </w:pPr>
      <w:r>
        <w:rPr>
          <w:rFonts w:hint="default" w:ascii="Times New Roman" w:hAnsi="Times New Roman" w:eastAsia="黑体" w:cs="Times New Roman"/>
          <w:color w:val="auto"/>
          <w:kern w:val="2"/>
          <w:sz w:val="32"/>
          <w:szCs w:val="40"/>
          <w:highlight w:val="none"/>
          <w:u w:val="none"/>
          <w:lang w:val="en-US" w:eastAsia="zh-CN" w:bidi="ar-SA"/>
        </w:rPr>
        <w:t>六、</w:t>
      </w:r>
      <w:r>
        <w:rPr>
          <w:rFonts w:hint="default" w:ascii="Times New Roman" w:hAnsi="Times New Roman" w:eastAsia="黑体" w:cs="Times New Roman"/>
          <w:color w:val="auto"/>
          <w:sz w:val="32"/>
          <w:szCs w:val="40"/>
          <w:highlight w:val="none"/>
          <w:u w:val="none"/>
          <w:lang w:val="en-US" w:eastAsia="zh-CN"/>
        </w:rPr>
        <w:t>提高园区产业集聚</w:t>
      </w:r>
    </w:p>
    <w:p w14:paraId="651265CF">
      <w:pPr>
        <w:keepNext w:val="0"/>
        <w:keepLines w:val="0"/>
        <w:pageBreakBefore w:val="0"/>
        <w:widowControl w:val="0"/>
        <w:numPr>
          <w:ilvl w:val="0"/>
          <w:numId w:val="0"/>
        </w:numPr>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楷体_GB2312" w:hAnsi="楷体_GB2312" w:eastAsia="楷体_GB2312" w:cs="楷体_GB2312"/>
          <w:b/>
          <w:bCs/>
          <w:color w:val="auto"/>
          <w:kern w:val="2"/>
          <w:sz w:val="32"/>
          <w:szCs w:val="32"/>
          <w:highlight w:val="none"/>
          <w:u w:val="none"/>
          <w:lang w:val="en-US" w:eastAsia="zh-CN" w:bidi="ar-SA"/>
        </w:rPr>
        <w:t>（十</w:t>
      </w:r>
      <w:r>
        <w:rPr>
          <w:rFonts w:hint="eastAsia" w:ascii="楷体_GB2312" w:hAnsi="楷体_GB2312" w:eastAsia="楷体_GB2312" w:cs="楷体_GB2312"/>
          <w:b/>
          <w:bCs/>
          <w:color w:val="auto"/>
          <w:kern w:val="2"/>
          <w:sz w:val="32"/>
          <w:szCs w:val="32"/>
          <w:highlight w:val="none"/>
          <w:u w:val="none"/>
          <w:lang w:val="en-US" w:eastAsia="zh-CN" w:bidi="ar-SA"/>
        </w:rPr>
        <w:t>八</w:t>
      </w:r>
      <w:r>
        <w:rPr>
          <w:rFonts w:hint="default" w:ascii="楷体_GB2312" w:hAnsi="楷体_GB2312" w:eastAsia="楷体_GB2312" w:cs="楷体_GB2312"/>
          <w:b/>
          <w:bCs/>
          <w:color w:val="auto"/>
          <w:kern w:val="2"/>
          <w:sz w:val="32"/>
          <w:szCs w:val="32"/>
          <w:highlight w:val="none"/>
          <w:u w:val="none"/>
          <w:lang w:val="en-US" w:eastAsia="zh-CN" w:bidi="ar-SA"/>
        </w:rPr>
        <w:t>）支持企业使用标准厂房扩产增效</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工业</w:t>
      </w:r>
      <w:r>
        <w:rPr>
          <w:rFonts w:hint="default" w:ascii="Times New Roman" w:hAnsi="Times New Roman" w:eastAsia="仿宋_GB2312" w:cs="Times New Roman"/>
          <w:color w:val="auto"/>
          <w:sz w:val="32"/>
          <w:szCs w:val="32"/>
          <w:highlight w:val="none"/>
          <w:u w:val="none"/>
        </w:rPr>
        <w:t>企业</w:t>
      </w:r>
      <w:r>
        <w:rPr>
          <w:rFonts w:hint="default" w:ascii="Times New Roman" w:hAnsi="Times New Roman" w:eastAsia="仿宋_GB2312" w:cs="Times New Roman"/>
          <w:color w:val="auto"/>
          <w:sz w:val="32"/>
          <w:szCs w:val="32"/>
          <w:highlight w:val="none"/>
          <w:u w:val="none"/>
          <w:lang w:eastAsia="zh-CN"/>
        </w:rPr>
        <w:t>使用</w:t>
      </w:r>
      <w:r>
        <w:rPr>
          <w:rFonts w:hint="default" w:ascii="Times New Roman" w:hAnsi="Times New Roman" w:eastAsia="仿宋_GB2312" w:cs="Times New Roman"/>
          <w:color w:val="auto"/>
          <w:sz w:val="32"/>
          <w:szCs w:val="32"/>
          <w:highlight w:val="none"/>
          <w:u w:val="none"/>
        </w:rPr>
        <w:t>标准厂房实施生产制造类项目，</w:t>
      </w:r>
      <w:r>
        <w:rPr>
          <w:rFonts w:hint="default" w:ascii="Times New Roman" w:hAnsi="Times New Roman" w:eastAsia="仿宋_GB2312" w:cs="Times New Roman"/>
          <w:color w:val="auto"/>
          <w:sz w:val="32"/>
          <w:szCs w:val="32"/>
          <w:highlight w:val="none"/>
          <w:u w:val="none"/>
          <w:lang w:eastAsia="zh-CN"/>
        </w:rPr>
        <w:t>自达到</w:t>
      </w:r>
      <w:r>
        <w:rPr>
          <w:rFonts w:hint="default" w:ascii="Times New Roman" w:hAnsi="Times New Roman" w:eastAsia="仿宋_GB2312" w:cs="Times New Roman"/>
          <w:color w:val="auto"/>
          <w:sz w:val="32"/>
          <w:szCs w:val="32"/>
          <w:highlight w:val="none"/>
          <w:u w:val="none"/>
        </w:rPr>
        <w:t>新增设备投资2000万元</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lang w:val="en-US" w:eastAsia="zh-CN"/>
        </w:rPr>
        <w:t>以上</w:t>
      </w:r>
      <w:r>
        <w:rPr>
          <w:rFonts w:hint="default" w:ascii="Times New Roman" w:hAnsi="Times New Roman" w:eastAsia="仿宋_GB2312" w:cs="Times New Roman"/>
          <w:color w:val="auto"/>
          <w:sz w:val="32"/>
          <w:szCs w:val="32"/>
          <w:highlight w:val="none"/>
          <w:u w:val="none"/>
        </w:rPr>
        <w:t>，或工业产值</w:t>
      </w:r>
      <w:r>
        <w:rPr>
          <w:rFonts w:hint="eastAsia" w:ascii="Times New Roman" w:hAnsi="Times New Roman" w:eastAsia="仿宋_GB2312" w:cs="Times New Roman"/>
          <w:color w:val="auto"/>
          <w:sz w:val="32"/>
          <w:szCs w:val="32"/>
          <w:highlight w:val="none"/>
          <w:u w:val="none"/>
          <w:lang w:val="en-US" w:eastAsia="zh-CN"/>
        </w:rPr>
        <w:t>3000</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lang w:val="en-US" w:eastAsia="zh-CN"/>
        </w:rPr>
        <w:t>以上</w:t>
      </w:r>
      <w:r>
        <w:rPr>
          <w:rFonts w:hint="default" w:ascii="Times New Roman" w:hAnsi="Times New Roman" w:eastAsia="仿宋_GB2312" w:cs="Times New Roman"/>
          <w:color w:val="auto"/>
          <w:sz w:val="32"/>
          <w:szCs w:val="32"/>
          <w:highlight w:val="none"/>
          <w:u w:val="none"/>
        </w:rPr>
        <w:t>且同比增长、产值强度1万元/平方米</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lang w:val="en-US" w:eastAsia="zh-CN"/>
        </w:rPr>
        <w:t>以上</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年度起</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给予连续三年奖励</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未达</w:t>
      </w:r>
      <w:r>
        <w:rPr>
          <w:rFonts w:hint="default" w:ascii="Times New Roman" w:hAnsi="Times New Roman" w:eastAsia="仿宋_GB2312" w:cs="Times New Roman"/>
          <w:color w:val="auto"/>
          <w:sz w:val="32"/>
          <w:szCs w:val="32"/>
          <w:highlight w:val="none"/>
          <w:u w:val="none"/>
        </w:rPr>
        <w:t>条件年度</w:t>
      </w:r>
      <w:r>
        <w:rPr>
          <w:rFonts w:hint="default" w:ascii="Times New Roman" w:hAnsi="Times New Roman" w:eastAsia="仿宋_GB2312" w:cs="Times New Roman"/>
          <w:color w:val="auto"/>
          <w:sz w:val="32"/>
          <w:szCs w:val="32"/>
          <w:highlight w:val="none"/>
          <w:u w:val="none"/>
          <w:lang w:val="en-US" w:eastAsia="zh-CN"/>
        </w:rPr>
        <w:t>不予</w:t>
      </w:r>
      <w:r>
        <w:rPr>
          <w:rFonts w:hint="default" w:ascii="Times New Roman" w:hAnsi="Times New Roman" w:eastAsia="仿宋_GB2312" w:cs="Times New Roman"/>
          <w:color w:val="auto"/>
          <w:sz w:val="32"/>
          <w:szCs w:val="32"/>
          <w:highlight w:val="none"/>
          <w:u w:val="none"/>
          <w:lang w:eastAsia="zh-CN"/>
        </w:rPr>
        <w:t>奖励</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。奖励标准按使用</w:t>
      </w:r>
      <w:r>
        <w:rPr>
          <w:rFonts w:hint="default" w:ascii="Times New Roman" w:hAnsi="Times New Roman" w:eastAsia="仿宋_GB2312" w:cs="Times New Roman"/>
          <w:color w:val="auto"/>
          <w:sz w:val="32"/>
          <w:szCs w:val="32"/>
          <w:highlight w:val="none"/>
          <w:u w:val="none"/>
          <w:lang w:val="en-US" w:eastAsia="zh-CN"/>
        </w:rPr>
        <w:t>厂房（含</w:t>
      </w:r>
      <w:r>
        <w:rPr>
          <w:rFonts w:hint="default" w:ascii="Times New Roman" w:hAnsi="Times New Roman" w:eastAsia="仿宋_GB2312" w:cs="Times New Roman"/>
          <w:b w:val="0"/>
          <w:bCs w:val="0"/>
          <w:i w:val="0"/>
          <w:iCs w:val="0"/>
          <w:color w:val="auto"/>
          <w:kern w:val="2"/>
          <w:sz w:val="32"/>
          <w:szCs w:val="32"/>
          <w:highlight w:val="none"/>
          <w:u w:val="none"/>
          <w:vertAlign w:val="baseline"/>
          <w:lang w:val="en-US" w:eastAsia="zh-CN" w:bidi="ar-SA"/>
        </w:rPr>
        <w:t>租赁、购买）</w:t>
      </w:r>
      <w:r>
        <w:rPr>
          <w:rFonts w:hint="default" w:ascii="Times New Roman" w:hAnsi="Times New Roman" w:eastAsia="仿宋_GB2312" w:cs="Times New Roman"/>
          <w:color w:val="auto"/>
          <w:sz w:val="32"/>
          <w:szCs w:val="32"/>
          <w:highlight w:val="none"/>
          <w:u w:val="none"/>
          <w:lang w:val="en-US" w:eastAsia="zh-CN"/>
        </w:rPr>
        <w:t>的面积，给予最高10</w:t>
      </w:r>
      <w:r>
        <w:rPr>
          <w:rFonts w:hint="default" w:ascii="Times New Roman" w:hAnsi="Times New Roman" w:eastAsia="仿宋_GB2312" w:cs="Times New Roman"/>
          <w:color w:val="auto"/>
          <w:sz w:val="32"/>
          <w:szCs w:val="32"/>
          <w:highlight w:val="none"/>
          <w:u w:val="none"/>
          <w:lang w:eastAsia="zh-CN"/>
        </w:rPr>
        <w:t>元/平方米·月的奖励</w:t>
      </w:r>
      <w:r>
        <w:rPr>
          <w:rFonts w:hint="default" w:ascii="Times New Roman" w:hAnsi="Times New Roman" w:eastAsia="仿宋_GB2312" w:cs="Times New Roman"/>
          <w:color w:val="auto"/>
          <w:sz w:val="32"/>
          <w:szCs w:val="32"/>
          <w:highlight w:val="none"/>
          <w:u w:val="none"/>
        </w:rPr>
        <w:t>，单个项目最高</w:t>
      </w:r>
      <w:r>
        <w:rPr>
          <w:rFonts w:hint="default" w:ascii="Times New Roman" w:hAnsi="Times New Roman" w:eastAsia="仿宋_GB2312" w:cs="Times New Roman"/>
          <w:color w:val="auto"/>
          <w:sz w:val="32"/>
          <w:szCs w:val="32"/>
          <w:highlight w:val="none"/>
          <w:u w:val="none"/>
          <w:lang w:eastAsia="zh-CN"/>
        </w:rPr>
        <w:t>奖励</w:t>
      </w:r>
      <w:r>
        <w:rPr>
          <w:rFonts w:hint="default" w:ascii="Times New Roman" w:hAnsi="Times New Roman" w:eastAsia="仿宋_GB2312" w:cs="Times New Roman"/>
          <w:color w:val="auto"/>
          <w:sz w:val="32"/>
          <w:szCs w:val="32"/>
          <w:highlight w:val="none"/>
          <w:u w:val="none"/>
        </w:rPr>
        <w:t>2000万元</w:t>
      </w:r>
      <w:r>
        <w:rPr>
          <w:rFonts w:hint="default" w:ascii="Times New Roman" w:hAnsi="Times New Roman" w:eastAsia="仿宋_GB2312" w:cs="Times New Roman"/>
          <w:color w:val="auto"/>
          <w:sz w:val="32"/>
          <w:szCs w:val="32"/>
          <w:highlight w:val="none"/>
          <w:u w:val="none"/>
          <w:lang w:val="en-US" w:eastAsia="zh-CN"/>
        </w:rPr>
        <w:t>且</w:t>
      </w:r>
      <w:r>
        <w:rPr>
          <w:rFonts w:hint="default" w:ascii="Times New Roman" w:hAnsi="Times New Roman" w:eastAsia="仿宋_GB2312" w:cs="Times New Roman"/>
          <w:color w:val="auto"/>
          <w:sz w:val="32"/>
          <w:szCs w:val="32"/>
          <w:highlight w:val="none"/>
          <w:u w:val="none"/>
        </w:rPr>
        <w:t>不超过企业实际承担租赁（购买）金额的90%</w:t>
      </w:r>
      <w:r>
        <w:rPr>
          <w:rFonts w:hint="default" w:ascii="Times New Roman" w:hAnsi="Times New Roman" w:eastAsia="仿宋_GB2312" w:cs="Times New Roman"/>
          <w:color w:val="auto"/>
          <w:sz w:val="32"/>
          <w:szCs w:val="32"/>
          <w:highlight w:val="none"/>
          <w:u w:val="none"/>
          <w:lang w:eastAsia="zh-CN"/>
        </w:rPr>
        <w:t>。</w:t>
      </w:r>
    </w:p>
    <w:p w14:paraId="536E561E">
      <w:pPr>
        <w:keepNext w:val="0"/>
        <w:keepLines w:val="0"/>
        <w:pageBreakBefore w:val="0"/>
        <w:widowControl w:val="0"/>
        <w:numPr>
          <w:ilvl w:val="0"/>
          <w:numId w:val="0"/>
        </w:numPr>
        <w:pBdr>
          <w:bottom w:val="single" w:color="FFFFFF" w:sz="4" w:space="24"/>
        </w:pBdr>
        <w:kinsoku/>
        <w:wordWrap/>
        <w:overflowPunct/>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（十九）</w:t>
      </w:r>
      <w:r>
        <w:rPr>
          <w:rFonts w:hint="default" w:ascii="楷体_GB2312" w:hAnsi="楷体_GB2312" w:eastAsia="楷体_GB2312" w:cs="楷体_GB2312"/>
          <w:b/>
          <w:bCs/>
          <w:color w:val="auto"/>
          <w:kern w:val="2"/>
          <w:sz w:val="32"/>
          <w:szCs w:val="32"/>
          <w:highlight w:val="none"/>
          <w:u w:val="none"/>
          <w:lang w:val="en-US" w:eastAsia="zh-CN" w:bidi="ar-SA"/>
        </w:rPr>
        <w:t>鼓励重点产业集群项目加快集聚发展。</w:t>
      </w:r>
      <w:r>
        <w:rPr>
          <w:rFonts w:hint="default" w:ascii="Times New Roman" w:hAnsi="Times New Roman" w:eastAsia="仿宋_GB2312" w:cs="Times New Roman"/>
          <w:color w:val="auto"/>
          <w:sz w:val="32"/>
          <w:szCs w:val="32"/>
          <w:highlight w:val="none"/>
          <w:u w:val="none"/>
          <w:lang w:val="en-US" w:eastAsia="zh-CN"/>
        </w:rPr>
        <w:t xml:space="preserve">中国—东盟产业合作区南宁片区（“一体两翼”）范围内，以标准厂房为载体的产业园新引进培育南宁市重点产业链上下游制造业项目，年度新增使用标准厂房总面积达2万平方米及以上，且新增设备投资总额达1亿元及以上的，按该年度新增设备投资总额的5%，给予产业园最高2000万元奖励。新引进培育项目实现当年开工投产并入规的，再按产值规模的1%给予产业园最高500万元奖励。 </w:t>
      </w:r>
      <w:r>
        <w:rPr>
          <w:rFonts w:hint="eastAsia" w:ascii="Times New Roman" w:hAnsi="Times New Roman" w:eastAsia="仿宋_GB2312" w:cs="Times New Roman"/>
          <w:color w:val="auto"/>
          <w:sz w:val="32"/>
          <w:szCs w:val="32"/>
          <w:highlight w:val="none"/>
          <w:u w:val="none"/>
          <w:lang w:val="en-US" w:eastAsia="zh-CN"/>
        </w:rPr>
        <w:t>对重点产业集聚成效明显的产业园给予专项支持。</w:t>
      </w:r>
    </w:p>
    <w:p w14:paraId="5A2100F9">
      <w:pPr>
        <w:keepNext w:val="0"/>
        <w:keepLines w:val="0"/>
        <w:pageBreakBefore w:val="0"/>
        <w:widowControl w:val="0"/>
        <w:pBdr>
          <w:bottom w:val="single" w:color="FFFFFF" w:sz="4" w:space="24"/>
        </w:pBdr>
        <w:kinsoku/>
        <w:wordWrap/>
        <w:topLinePunct/>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40"/>
          <w:highlight w:val="none"/>
          <w:u w:val="none"/>
        </w:rPr>
      </w:pPr>
      <w:r>
        <w:rPr>
          <w:rFonts w:hint="default" w:ascii="Times New Roman" w:hAnsi="Times New Roman" w:eastAsia="黑体" w:cs="Times New Roman"/>
          <w:color w:val="auto"/>
          <w:sz w:val="32"/>
          <w:szCs w:val="40"/>
          <w:highlight w:val="none"/>
          <w:u w:val="none"/>
          <w:lang w:eastAsia="zh-CN"/>
        </w:rPr>
        <w:t>七</w:t>
      </w:r>
      <w:r>
        <w:rPr>
          <w:rFonts w:hint="default" w:ascii="Times New Roman" w:hAnsi="Times New Roman" w:eastAsia="黑体" w:cs="Times New Roman"/>
          <w:color w:val="auto"/>
          <w:sz w:val="32"/>
          <w:szCs w:val="40"/>
          <w:highlight w:val="none"/>
          <w:u w:val="none"/>
        </w:rPr>
        <w:t>、附则</w:t>
      </w:r>
    </w:p>
    <w:p w14:paraId="1D320E26">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本政策支持的对象</w:t>
      </w:r>
      <w:r>
        <w:rPr>
          <w:rFonts w:hint="default" w:ascii="Times New Roman" w:hAnsi="Times New Roman" w:eastAsia="仿宋_GB2312" w:cs="Times New Roman"/>
          <w:strike w:val="0"/>
          <w:dstrike w:val="0"/>
          <w:color w:val="auto"/>
          <w:sz w:val="32"/>
          <w:szCs w:val="32"/>
          <w:highlight w:val="none"/>
          <w:u w:val="none"/>
          <w:lang w:eastAsia="zh-CN"/>
        </w:rPr>
        <w:t>须</w:t>
      </w:r>
      <w:r>
        <w:rPr>
          <w:rFonts w:hint="default" w:ascii="Times New Roman" w:hAnsi="Times New Roman" w:eastAsia="仿宋_GB2312" w:cs="Times New Roman"/>
          <w:strike w:val="0"/>
          <w:dstrike w:val="0"/>
          <w:color w:val="auto"/>
          <w:sz w:val="32"/>
          <w:szCs w:val="32"/>
          <w:highlight w:val="none"/>
          <w:u w:val="none"/>
        </w:rPr>
        <w:t>符合我市产业定位和发展方向，</w:t>
      </w:r>
      <w:r>
        <w:rPr>
          <w:rFonts w:hint="default" w:ascii="Times New Roman" w:hAnsi="Times New Roman" w:eastAsia="仿宋_GB2312" w:cs="Times New Roman"/>
          <w:color w:val="auto"/>
          <w:sz w:val="32"/>
          <w:szCs w:val="32"/>
          <w:highlight w:val="none"/>
          <w:u w:val="none"/>
        </w:rPr>
        <w:t>未发生“一票否决”安全生产事故、未被列入严重失信主体名单</w:t>
      </w:r>
      <w:r>
        <w:rPr>
          <w:rFonts w:hint="default" w:ascii="Times New Roman" w:hAnsi="Times New Roman" w:eastAsia="仿宋_GB2312" w:cs="Times New Roman"/>
          <w:color w:val="auto"/>
          <w:sz w:val="32"/>
          <w:szCs w:val="32"/>
          <w:highlight w:val="none"/>
          <w:u w:val="none"/>
          <w:lang w:eastAsia="zh-CN"/>
        </w:rPr>
        <w:t>等情形</w:t>
      </w:r>
      <w:r>
        <w:rPr>
          <w:rFonts w:hint="default" w:ascii="Times New Roman" w:hAnsi="Times New Roman" w:eastAsia="仿宋_GB2312" w:cs="Times New Roman"/>
          <w:color w:val="auto"/>
          <w:sz w:val="32"/>
          <w:szCs w:val="32"/>
          <w:highlight w:val="none"/>
          <w:u w:val="none"/>
        </w:rPr>
        <w:t>。</w:t>
      </w:r>
    </w:p>
    <w:p w14:paraId="7C9655AB">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highlight w:val="none"/>
          <w:u w:val="none"/>
        </w:rPr>
      </w:pPr>
      <w:r>
        <w:rPr>
          <w:rFonts w:hint="default" w:ascii="Times New Roman" w:hAnsi="Times New Roman" w:eastAsia="仿宋_GB2312" w:cs="Times New Roman"/>
          <w:color w:val="auto"/>
          <w:sz w:val="32"/>
          <w:szCs w:val="40"/>
          <w:highlight w:val="none"/>
          <w:u w:val="none"/>
        </w:rPr>
        <w:t>本政策各项扶持资金从南宁市现代工业发展资金中统筹安排，各县（市、区）人民政府、开发区管委会可根据实际情况予以配套扶持。</w:t>
      </w:r>
    </w:p>
    <w:p w14:paraId="6624D474">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40"/>
          <w:highlight w:val="none"/>
          <w:u w:val="none"/>
        </w:rPr>
      </w:pPr>
      <w:r>
        <w:rPr>
          <w:rFonts w:hint="default" w:ascii="Times New Roman" w:hAnsi="Times New Roman" w:eastAsia="仿宋_GB2312" w:cs="Times New Roman"/>
          <w:color w:val="auto"/>
          <w:sz w:val="32"/>
          <w:szCs w:val="40"/>
          <w:highlight w:val="none"/>
          <w:u w:val="none"/>
        </w:rPr>
        <w:t>市本级的同类扶持措施，按就高不重复原则执行，</w:t>
      </w:r>
      <w:r>
        <w:rPr>
          <w:rFonts w:hint="default" w:ascii="Times New Roman" w:hAnsi="Times New Roman" w:eastAsia="仿宋_GB2312" w:cs="Times New Roman"/>
          <w:color w:val="auto"/>
          <w:sz w:val="32"/>
          <w:szCs w:val="40"/>
          <w:highlight w:val="none"/>
          <w:u w:val="none"/>
          <w:lang w:eastAsia="zh-CN"/>
        </w:rPr>
        <w:t>晋档补差，</w:t>
      </w:r>
      <w:r>
        <w:rPr>
          <w:rFonts w:hint="default" w:ascii="Times New Roman" w:hAnsi="Times New Roman" w:eastAsia="仿宋_GB2312" w:cs="Times New Roman"/>
          <w:color w:val="auto"/>
          <w:sz w:val="32"/>
          <w:szCs w:val="40"/>
          <w:highlight w:val="none"/>
          <w:u w:val="none"/>
        </w:rPr>
        <w:t>可同时享受国家、自治区政策。</w:t>
      </w:r>
    </w:p>
    <w:p w14:paraId="77D25B0E">
      <w:pPr>
        <w:keepNext w:val="0"/>
        <w:keepLines w:val="0"/>
        <w:pageBreakBefore w:val="0"/>
        <w:widowControl w:val="0"/>
        <w:pBdr>
          <w:bottom w:val="single" w:color="FFFFFF" w:sz="4" w:space="24"/>
        </w:pBdr>
        <w:kinsoku/>
        <w:wordWrap/>
        <w:overflowPunct/>
        <w:topLinePunct/>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40"/>
          <w:highlight w:val="none"/>
          <w:u w:val="none"/>
        </w:rPr>
        <w:t>本政策具体应用问题由南宁市工业和信息化局负责解释，市工信等部门结合实际制定具体的申报指南或申报通知。本政策自</w:t>
      </w:r>
      <w:r>
        <w:rPr>
          <w:rFonts w:hint="default" w:ascii="Times New Roman" w:hAnsi="Times New Roman" w:eastAsia="仿宋_GB2312" w:cs="Times New Roman"/>
          <w:color w:val="auto"/>
          <w:sz w:val="32"/>
          <w:szCs w:val="40"/>
          <w:highlight w:val="none"/>
          <w:u w:val="none"/>
          <w:lang w:val="en-US" w:eastAsia="zh-CN"/>
        </w:rPr>
        <w:t>2025年1月1日</w:t>
      </w:r>
      <w:r>
        <w:rPr>
          <w:rFonts w:hint="default" w:ascii="Times New Roman" w:hAnsi="Times New Roman" w:eastAsia="仿宋_GB2312" w:cs="Times New Roman"/>
          <w:color w:val="auto"/>
          <w:sz w:val="32"/>
          <w:szCs w:val="40"/>
          <w:highlight w:val="none"/>
          <w:u w:val="none"/>
        </w:rPr>
        <w:t>起实施，执行期限至202</w:t>
      </w:r>
      <w:r>
        <w:rPr>
          <w:rFonts w:hint="default" w:ascii="Times New Roman" w:hAnsi="Times New Roman" w:eastAsia="仿宋_GB2312" w:cs="Times New Roman"/>
          <w:color w:val="auto"/>
          <w:sz w:val="32"/>
          <w:szCs w:val="40"/>
          <w:highlight w:val="none"/>
          <w:u w:val="none"/>
          <w:lang w:val="en-US" w:eastAsia="zh-CN"/>
        </w:rPr>
        <w:t>7</w:t>
      </w:r>
      <w:r>
        <w:rPr>
          <w:rFonts w:hint="default" w:ascii="Times New Roman" w:hAnsi="Times New Roman" w:eastAsia="仿宋_GB2312" w:cs="Times New Roman"/>
          <w:color w:val="auto"/>
          <w:sz w:val="32"/>
          <w:szCs w:val="40"/>
          <w:highlight w:val="none"/>
          <w:u w:val="none"/>
        </w:rPr>
        <w:t>年12月31日，《南宁市人民政府关于印发南宁市推进工业振兴若干政策（修订）的通知》（南府规〔2023〕14号）同时废止。</w:t>
      </w:r>
    </w:p>
    <w:p w14:paraId="5A2381BF"/>
    <w:p w14:paraId="0E1BAE6F"/>
    <w:sectPr>
      <w:footerReference r:id="rId3" w:type="default"/>
      <w:pgSz w:w="11906" w:h="16838"/>
      <w:pgMar w:top="1701" w:right="1417" w:bottom="1587" w:left="1587" w:header="1134"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B00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0B550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0B550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TRhYWQ2M2I5ZjBkMzdjMTJkMDY4NDAwNmExMzMifQ=="/>
  </w:docVars>
  <w:rsids>
    <w:rsidRoot w:val="3CA40965"/>
    <w:rsid w:val="179F1957"/>
    <w:rsid w:val="1C6020CC"/>
    <w:rsid w:val="25336F33"/>
    <w:rsid w:val="3CA40965"/>
    <w:rsid w:val="5D9B3B16"/>
    <w:rsid w:val="6DA4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customStyle="1" w:styleId="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3551</Words>
  <Characters>3716</Characters>
  <Lines>0</Lines>
  <Paragraphs>0</Paragraphs>
  <TotalTime>0</TotalTime>
  <ScaleCrop>false</ScaleCrop>
  <LinksUpToDate>false</LinksUpToDate>
  <CharactersWithSpaces>3718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2025-04-15T08:50:00Z</dcterms:created>
  <dc:creator>焱寒</dc:creator>
  <cp:lastModifiedBy>Amyvvv</cp:lastModifiedBy>
  <dcterms:modified xsi:type="dcterms:W3CDTF">2025-04-15T08:53:11Z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62C063AC12D849EF9B9F72AFA1896794_13</vt:lpwstr>
  </property>
</Properties>
</file>