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北京市知识产权局：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（银行名称）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万元整）。该额度项下在</w:t>
      </w:r>
      <w:r>
        <w:rPr>
          <w:rFonts w:ascii="仿宋" w:hAnsi="仿宋" w:eastAsia="仿宋"/>
          <w:sz w:val="32"/>
          <w:szCs w:val="32"/>
        </w:rPr>
        <w:t>2024年1月1日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日之间结清的贷款，具体情况如下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47976B1"/>
    <w:rsid w:val="0E6A56F0"/>
    <w:rsid w:val="22851A51"/>
    <w:rsid w:val="247976B1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2024-05-10T08:20:00Z</dcterms:created>
  <dc:creator>唯小我</dc:creator>
  <cp:lastModifiedBy>唯小我</cp:lastModifiedBy>
  <dcterms:modified xsi:type="dcterms:W3CDTF">2025-04-11T03:12:26Z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656C5DC97D99425896775FDE3E08791B_11</vt:lpwstr>
  </property>
</Properties>
</file>