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utlineLvl w:val="0"/>
        <w:rPr>
          <w:rFonts w:hint="eastAsia" w:ascii="黑体" w:hAnsi="黑体" w:eastAsia="黑体" w:cs="黑体"/>
          <w:color w:val="auto"/>
          <w:kern w:val="0"/>
          <w:szCs w:val="22"/>
          <w:highlight w:val="none"/>
          <w:lang w:val="en-US" w:eastAsia="zh-CN"/>
        </w:rPr>
      </w:pPr>
      <w:r>
        <w:rPr>
          <w:rFonts w:hint="eastAsia" w:ascii="黑体" w:hAnsi="黑体" w:eastAsia="黑体" w:cs="黑体"/>
          <w:color w:val="auto"/>
          <w:kern w:val="0"/>
          <w:szCs w:val="22"/>
          <w:highlight w:val="none"/>
        </w:rPr>
        <w:t>附件</w:t>
      </w:r>
      <w:r>
        <w:rPr>
          <w:rFonts w:hint="eastAsia" w:ascii="黑体" w:hAnsi="黑体" w:eastAsia="黑体" w:cs="黑体"/>
          <w:color w:val="auto"/>
          <w:kern w:val="0"/>
          <w:szCs w:val="22"/>
          <w:highlight w:val="none"/>
          <w:lang w:val="en-US" w:eastAsia="zh-CN"/>
        </w:rPr>
        <w:t>1</w:t>
      </w:r>
    </w:p>
    <w:p>
      <w:pPr>
        <w:pStyle w:val="11"/>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color w:val="auto"/>
          <w:highlight w:val="none"/>
          <w:lang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0"/>
        <w:rPr>
          <w:rFonts w:ascii="Times New Roman" w:hAnsi="Times New Roman" w:eastAsia="方正小标宋简体"/>
          <w:color w:val="auto"/>
          <w:kern w:val="0"/>
          <w:sz w:val="44"/>
          <w:szCs w:val="44"/>
          <w:highlight w:val="none"/>
        </w:rPr>
      </w:pPr>
      <w:bookmarkStart w:id="0" w:name="_GoBack"/>
      <w:r>
        <w:rPr>
          <w:rFonts w:ascii="Times New Roman" w:hAnsi="Times New Roman" w:eastAsia="方正小标宋简体"/>
          <w:color w:val="auto"/>
          <w:kern w:val="0"/>
          <w:sz w:val="44"/>
          <w:szCs w:val="44"/>
          <w:highlight w:val="none"/>
        </w:rPr>
        <w:t>南宁市人才创新创业政策摘编</w:t>
      </w:r>
    </w:p>
    <w:bookmarkEnd w:id="0"/>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olor w:val="auto"/>
          <w:highlight w:val="none"/>
        </w:rPr>
      </w:pPr>
    </w:p>
    <w:p>
      <w:pPr>
        <w:pStyle w:val="3"/>
        <w:bidi w:val="0"/>
        <w:rPr>
          <w:rFonts w:ascii="宋体" w:hAnsi="宋体"/>
        </w:rPr>
      </w:pPr>
      <w:r>
        <w:rPr>
          <w:rFonts w:ascii="宋体" w:hAnsi="宋体"/>
        </w:rPr>
        <w:t>一、人才引育支持</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Times New Roman" w:hAnsi="Times New Roman" w:eastAsia="仿宋_GB2312" w:cs="Times New Roman"/>
          <w:b w:val="0"/>
          <w:bCs/>
          <w:color w:val="auto"/>
          <w:sz w:val="32"/>
          <w:szCs w:val="32"/>
          <w:highlight w:val="yellow"/>
        </w:rPr>
      </w:pPr>
      <w:r>
        <w:rPr>
          <w:rStyle w:val="29"/>
          <w:rFonts w:hint="eastAsia" w:ascii="宋体" w:hAnsi="宋体"/>
          <w:lang w:val="zh-TW" w:eastAsia="zh-TW"/>
        </w:rPr>
        <w:t>（一）“邕江计划”顶尖人才专项资助。</w:t>
      </w:r>
      <w:r>
        <w:rPr>
          <w:rFonts w:ascii="Times New Roman" w:hAnsi="Times New Roman" w:eastAsia="仿宋_GB2312" w:cs="Times New Roman"/>
          <w:b w:val="0"/>
          <w:bCs/>
          <w:color w:val="auto"/>
          <w:sz w:val="32"/>
          <w:szCs w:val="32"/>
          <w:highlight w:val="none"/>
        </w:rPr>
        <w:t>引进</w:t>
      </w:r>
      <w:r>
        <w:rPr>
          <w:rFonts w:hint="eastAsia" w:ascii="Times New Roman" w:hAnsi="Times New Roman" w:eastAsia="仿宋_GB2312" w:cs="Times New Roman"/>
          <w:b w:val="0"/>
          <w:bCs/>
          <w:color w:val="auto"/>
          <w:sz w:val="32"/>
          <w:szCs w:val="32"/>
          <w:highlight w:val="none"/>
        </w:rPr>
        <w:t>中国或发达国家院士、国际顶级科学技术奖获得者、国家最高科学技术奖获得者等顶尖人才及团队，最高给予1000万元项目资助。</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Times New Roman"/>
          <w:b w:val="0"/>
          <w:bCs/>
          <w:color w:val="auto"/>
          <w:sz w:val="32"/>
          <w:szCs w:val="32"/>
          <w:highlight w:val="none"/>
        </w:rPr>
      </w:pPr>
      <w:r>
        <w:rPr>
          <w:rStyle w:val="29"/>
          <w:rFonts w:hint="eastAsia" w:ascii="宋体" w:hAnsi="宋体"/>
          <w:lang w:val="zh-TW" w:eastAsia="zh-TW"/>
        </w:rPr>
        <w:t>（二）“邕江计划”领军人才团队专项资助。</w:t>
      </w:r>
      <w:r>
        <w:rPr>
          <w:rFonts w:ascii="Times New Roman" w:hAnsi="Times New Roman" w:eastAsia="仿宋_GB2312" w:cs="Times New Roman"/>
          <w:b w:val="0"/>
          <w:bCs/>
          <w:color w:val="auto"/>
          <w:sz w:val="32"/>
          <w:szCs w:val="32"/>
          <w:highlight w:val="none"/>
        </w:rPr>
        <w:t>经评审的领军人才及其创新创业团队，给予最高500万元项目资助。</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Times New Roman"/>
          <w:b w:val="0"/>
          <w:bCs/>
          <w:color w:val="auto"/>
          <w:sz w:val="32"/>
          <w:szCs w:val="32"/>
          <w:highlight w:val="none"/>
        </w:rPr>
      </w:pPr>
      <w:r>
        <w:rPr>
          <w:rStyle w:val="29"/>
          <w:rFonts w:hint="eastAsia" w:ascii="宋体" w:hAnsi="宋体"/>
          <w:lang w:val="zh-TW" w:eastAsia="zh-TW"/>
        </w:rPr>
        <w:t>（三）“邕江计划”青年人才专项资助。</w:t>
      </w:r>
      <w:r>
        <w:rPr>
          <w:rFonts w:ascii="Times New Roman" w:hAnsi="Times New Roman" w:eastAsia="仿宋_GB2312" w:cs="Times New Roman"/>
          <w:b w:val="0"/>
          <w:bCs/>
          <w:color w:val="auto"/>
          <w:sz w:val="32"/>
          <w:szCs w:val="32"/>
          <w:highlight w:val="none"/>
        </w:rPr>
        <w:t>专项培育40周岁</w:t>
      </w:r>
      <w:r>
        <w:rPr>
          <w:rFonts w:ascii="Times New Roman" w:hAnsi="Times New Roman" w:eastAsia="仿宋_GB2312" w:cs="Times New Roman"/>
          <w:b w:val="0"/>
          <w:bCs/>
          <w:color w:val="auto"/>
          <w:w w:val="98"/>
          <w:sz w:val="32"/>
          <w:szCs w:val="32"/>
          <w:highlight w:val="none"/>
        </w:rPr>
        <w:t>（含）以下优秀青年科技人才，按项目给予最高50万元项目资助。</w:t>
      </w:r>
    </w:p>
    <w:p>
      <w:pPr>
        <w:pStyle w:val="19"/>
        <w:keepNext w:val="0"/>
        <w:keepLines w:val="0"/>
        <w:pageBreakBefore w:val="0"/>
        <w:widowControl w:val="0"/>
        <w:numPr>
          <w:ilvl w:val="0"/>
          <w:numId w:val="0"/>
        </w:numPr>
        <w:kinsoku/>
        <w:wordWrap/>
        <w:overflowPunct/>
        <w:topLinePunct w:val="0"/>
        <w:autoSpaceDE/>
        <w:autoSpaceDN/>
        <w:bidi w:val="0"/>
        <w:spacing w:line="560" w:lineRule="exact"/>
        <w:ind w:firstLine="640" w:firstLineChars="200"/>
        <w:jc w:val="both"/>
        <w:textAlignment w:val="auto"/>
        <w:rPr>
          <w:rFonts w:hint="eastAsia" w:ascii="Times New Roman" w:hAnsi="Times New Roman" w:eastAsia="仿宋_GB2312" w:cs="Times New Roman"/>
          <w:b w:val="0"/>
          <w:bCs/>
          <w:color w:val="auto"/>
          <w:spacing w:val="0"/>
          <w:w w:val="100"/>
          <w:position w:val="0"/>
          <w:sz w:val="32"/>
          <w:szCs w:val="32"/>
          <w:highlight w:val="none"/>
          <w:u w:val="none"/>
          <w:shd w:val="clear" w:color="auto" w:fill="auto"/>
          <w:lang w:val="en-US" w:eastAsia="zh-CN" w:bidi="en-US"/>
        </w:rPr>
      </w:pPr>
      <w:r>
        <w:rPr>
          <w:rStyle w:val="29"/>
          <w:rFonts w:hint="default" w:ascii="宋体" w:hAnsi="宋体"/>
          <w:lang w:val="en-US" w:eastAsia="zh-CN"/>
        </w:rPr>
        <w:t>（四）</w:t>
      </w:r>
      <w:r>
        <w:rPr>
          <w:rStyle w:val="29"/>
          <w:rFonts w:hint="eastAsia" w:ascii="宋体" w:hAnsi="宋体"/>
          <w:lang w:val="en-US" w:eastAsia="zh-CN"/>
        </w:rPr>
        <w:t>“邕江计划”海外</w:t>
      </w:r>
      <w:r>
        <w:rPr>
          <w:rStyle w:val="29"/>
          <w:rFonts w:hint="default" w:ascii="宋体" w:hAnsi="宋体"/>
          <w:lang w:val="en-US" w:eastAsia="zh-CN"/>
        </w:rPr>
        <w:t>人才专项资助。</w:t>
      </w:r>
      <w:r>
        <w:rPr>
          <w:rFonts w:hint="eastAsia" w:ascii="Times New Roman" w:hAnsi="Times New Roman" w:eastAsia="仿宋_GB2312" w:cs="Times New Roman"/>
          <w:b w:val="0"/>
          <w:bCs/>
          <w:color w:val="auto"/>
          <w:spacing w:val="0"/>
          <w:w w:val="100"/>
          <w:position w:val="0"/>
          <w:sz w:val="32"/>
          <w:szCs w:val="32"/>
          <w:highlight w:val="none"/>
          <w:shd w:val="clear" w:color="auto" w:fill="auto"/>
          <w:lang w:val="en-US" w:eastAsia="zh-CN" w:bidi="en-US"/>
        </w:rPr>
        <w:t>资助参加</w:t>
      </w:r>
      <w:r>
        <w:rPr>
          <w:rFonts w:hint="eastAsia" w:ascii="Times New Roman" w:hAnsi="Times New Roman" w:eastAsia="仿宋_GB2312" w:cs="Times New Roman"/>
          <w:b w:val="0"/>
          <w:bCs/>
          <w:color w:val="auto"/>
          <w:spacing w:val="0"/>
          <w:w w:val="100"/>
          <w:position w:val="0"/>
          <w:sz w:val="32"/>
          <w:szCs w:val="32"/>
          <w:highlight w:val="none"/>
          <w:shd w:val="clear" w:color="auto" w:fill="auto"/>
          <w:lang w:val="en-US" w:eastAsia="en-US" w:bidi="en-US"/>
        </w:rPr>
        <w:t>中国·南宁海（境）外人才创新创业大赛</w:t>
      </w:r>
      <w:r>
        <w:rPr>
          <w:rFonts w:hint="eastAsia" w:ascii="Times New Roman" w:hAnsi="Times New Roman" w:eastAsia="仿宋_GB2312" w:cs="Times New Roman"/>
          <w:b w:val="0"/>
          <w:bCs/>
          <w:color w:val="auto"/>
          <w:spacing w:val="0"/>
          <w:w w:val="100"/>
          <w:position w:val="0"/>
          <w:sz w:val="32"/>
          <w:szCs w:val="32"/>
          <w:highlight w:val="none"/>
          <w:shd w:val="clear" w:color="auto" w:fill="auto"/>
          <w:lang w:val="en-US" w:eastAsia="zh-CN" w:bidi="en-US"/>
        </w:rPr>
        <w:t>落地获奖项目，</w:t>
      </w:r>
      <w:r>
        <w:rPr>
          <w:rFonts w:hint="eastAsia" w:ascii="Times New Roman" w:hAnsi="Times New Roman" w:eastAsia="仿宋_GB2312" w:cs="Times New Roman"/>
          <w:b w:val="0"/>
          <w:bCs/>
          <w:color w:val="auto"/>
          <w:spacing w:val="0"/>
          <w:w w:val="100"/>
          <w:position w:val="0"/>
          <w:sz w:val="32"/>
          <w:szCs w:val="32"/>
          <w:highlight w:val="none"/>
          <w:u w:val="none"/>
          <w:shd w:val="clear" w:color="auto" w:fill="auto"/>
          <w:lang w:val="en-US" w:eastAsia="en-US" w:bidi="en-US"/>
        </w:rPr>
        <w:t>给予保底15万元的科研资助。</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Style w:val="29"/>
          <w:rFonts w:hint="default" w:ascii="宋体" w:hAnsi="宋体"/>
          <w:lang w:val="zh-TW" w:eastAsia="zh-TW"/>
        </w:rPr>
        <w:t>（</w:t>
      </w:r>
      <w:r>
        <w:rPr>
          <w:rStyle w:val="29"/>
          <w:rFonts w:hint="eastAsia" w:ascii="宋体" w:hAnsi="宋体"/>
          <w:lang w:val="zh-TW" w:eastAsia="zh-CN"/>
        </w:rPr>
        <w:t>五</w:t>
      </w:r>
      <w:r>
        <w:rPr>
          <w:rStyle w:val="29"/>
          <w:rFonts w:hint="default" w:ascii="宋体" w:hAnsi="宋体"/>
          <w:lang w:val="zh-TW" w:eastAsia="zh-TW"/>
        </w:rPr>
        <w:t>）引进高层次人才奖励。</w:t>
      </w:r>
      <w:r>
        <w:rPr>
          <w:rFonts w:hint="default" w:ascii="Times New Roman" w:hAnsi="Times New Roman" w:eastAsia="仿宋_GB2312" w:cs="Times New Roman"/>
          <w:b w:val="0"/>
          <w:bCs/>
          <w:color w:val="auto"/>
          <w:sz w:val="32"/>
          <w:szCs w:val="32"/>
          <w:highlight w:val="none"/>
        </w:rPr>
        <w:t>成功举荐并全职引进南宁市C类及以上高层次人才的单位（含企业、事业单位或人力资源服务机构），可给予5</w:t>
      </w:r>
      <w:r>
        <w:rPr>
          <w:rFonts w:hint="eastAsia" w:ascii="Times New Roman" w:hAnsi="Times New Roman" w:cs="Times New Roman"/>
          <w:b w:val="0"/>
          <w:bCs/>
          <w:color w:val="auto"/>
          <w:sz w:val="32"/>
          <w:szCs w:val="32"/>
          <w:highlight w:val="none"/>
          <w:lang w:eastAsia="zh-CN"/>
        </w:rPr>
        <w:t>万</w:t>
      </w:r>
      <w:r>
        <w:rPr>
          <w:rFonts w:hint="default" w:ascii="Times New Roman" w:hAnsi="Times New Roman" w:eastAsia="仿宋_GB2312" w:cs="Times New Roman"/>
          <w:b w:val="0"/>
          <w:bCs/>
          <w:color w:val="auto"/>
          <w:sz w:val="32"/>
          <w:szCs w:val="32"/>
          <w:highlight w:val="none"/>
        </w:rPr>
        <w:t>—100万元奖励。</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shd w:val="clear" w:color="auto" w:fill="FFFFFF"/>
        </w:rPr>
      </w:pPr>
      <w:r>
        <w:rPr>
          <w:rStyle w:val="29"/>
          <w:rFonts w:hint="default" w:ascii="宋体" w:hAnsi="宋体"/>
          <w:lang w:val="zh-TW" w:eastAsia="zh-TW"/>
        </w:rPr>
        <w:t>（</w:t>
      </w:r>
      <w:r>
        <w:rPr>
          <w:rStyle w:val="29"/>
          <w:rFonts w:hint="eastAsia" w:ascii="宋体" w:hAnsi="宋体"/>
          <w:lang w:val="zh-TW" w:eastAsia="zh-CN"/>
        </w:rPr>
        <w:t>六</w:t>
      </w:r>
      <w:r>
        <w:rPr>
          <w:rStyle w:val="29"/>
          <w:rFonts w:hint="default" w:ascii="宋体" w:hAnsi="宋体"/>
          <w:lang w:val="zh-TW" w:eastAsia="zh-TW"/>
        </w:rPr>
        <w:t>）企业高级经营管理人才薪酬奖励。</w:t>
      </w:r>
      <w:r>
        <w:rPr>
          <w:rFonts w:hint="default" w:ascii="Times New Roman" w:hAnsi="Times New Roman" w:eastAsia="仿宋_GB2312" w:cs="Times New Roman"/>
          <w:b w:val="0"/>
          <w:bCs/>
          <w:color w:val="auto"/>
          <w:sz w:val="32"/>
          <w:szCs w:val="32"/>
          <w:highlight w:val="none"/>
        </w:rPr>
        <w:t>对企业通过市场化方式新引进的急需紧缺经营管理人才，由市级财政和属地财政分别给予其南宁市辖区范围内税后薪酬5%的奖励。</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Style w:val="29"/>
          <w:rFonts w:hint="default" w:ascii="宋体" w:hAnsi="宋体"/>
          <w:lang w:val="zh-TW" w:eastAsia="zh-TW"/>
        </w:rPr>
        <w:t>（</w:t>
      </w:r>
      <w:r>
        <w:rPr>
          <w:rStyle w:val="29"/>
          <w:rFonts w:hint="eastAsia" w:ascii="宋体" w:hAnsi="宋体"/>
          <w:lang w:val="zh-TW" w:eastAsia="zh-CN"/>
        </w:rPr>
        <w:t>七</w:t>
      </w:r>
      <w:r>
        <w:rPr>
          <w:rStyle w:val="29"/>
          <w:rFonts w:hint="default" w:ascii="宋体" w:hAnsi="宋体"/>
          <w:lang w:val="zh-TW" w:eastAsia="zh-TW"/>
        </w:rPr>
        <w:t>）引育高技能人才奖励。</w:t>
      </w:r>
      <w:r>
        <w:rPr>
          <w:rFonts w:hint="default" w:ascii="Times New Roman" w:hAnsi="Times New Roman" w:eastAsia="仿宋_GB2312" w:cs="Times New Roman"/>
          <w:b w:val="0"/>
          <w:bCs/>
          <w:color w:val="auto"/>
          <w:sz w:val="32"/>
          <w:szCs w:val="32"/>
          <w:highlight w:val="none"/>
        </w:rPr>
        <w:t>对企业从市外</w:t>
      </w:r>
      <w:r>
        <w:rPr>
          <w:rFonts w:hint="eastAsia" w:ascii="仿宋_GB2312" w:hAnsi="仿宋_GB2312" w:eastAsia="仿宋_GB2312" w:cs="仿宋_GB2312"/>
          <w:b w:val="0"/>
          <w:bCs/>
          <w:color w:val="auto"/>
          <w:sz w:val="32"/>
          <w:szCs w:val="32"/>
          <w:highlight w:val="none"/>
        </w:rPr>
        <w:t>引进或新获“世</w:t>
      </w:r>
      <w:r>
        <w:rPr>
          <w:rFonts w:hint="default" w:ascii="Times New Roman" w:hAnsi="Times New Roman" w:eastAsia="仿宋_GB2312" w:cs="Times New Roman"/>
          <w:b w:val="0"/>
          <w:bCs/>
          <w:color w:val="auto"/>
          <w:sz w:val="32"/>
          <w:szCs w:val="32"/>
          <w:highlight w:val="none"/>
        </w:rPr>
        <w:t>界技能大</w:t>
      </w:r>
      <w:r>
        <w:rPr>
          <w:rFonts w:hint="eastAsia" w:ascii="仿宋_GB2312" w:hAnsi="仿宋_GB2312" w:eastAsia="仿宋_GB2312" w:cs="仿宋_GB2312"/>
          <w:b w:val="0"/>
          <w:bCs/>
          <w:color w:val="auto"/>
          <w:sz w:val="32"/>
          <w:szCs w:val="32"/>
          <w:highlight w:val="none"/>
        </w:rPr>
        <w:t>赛”、“全国职业技能大赛”奖项、“中华技能大奖”、“全国技术能手”、省级“技能大奖”和“技术能手”的高技能人</w:t>
      </w:r>
      <w:r>
        <w:rPr>
          <w:rFonts w:hint="default" w:ascii="Times New Roman" w:hAnsi="Times New Roman" w:eastAsia="仿宋_GB2312" w:cs="Times New Roman"/>
          <w:b w:val="0"/>
          <w:bCs/>
          <w:color w:val="auto"/>
          <w:sz w:val="32"/>
          <w:szCs w:val="32"/>
          <w:highlight w:val="none"/>
        </w:rPr>
        <w:t>才，给予1</w:t>
      </w:r>
      <w:r>
        <w:rPr>
          <w:rFonts w:hint="eastAsia" w:ascii="Times New Roman" w:hAnsi="Times New Roman" w:cs="Times New Roman"/>
          <w:b w:val="0"/>
          <w:bCs/>
          <w:color w:val="auto"/>
          <w:sz w:val="32"/>
          <w:szCs w:val="32"/>
          <w:highlight w:val="none"/>
          <w:lang w:eastAsia="zh-CN"/>
        </w:rPr>
        <w:t>万</w:t>
      </w:r>
      <w:r>
        <w:rPr>
          <w:rFonts w:hint="default" w:ascii="Times New Roman" w:hAnsi="Times New Roman" w:eastAsia="仿宋_GB2312" w:cs="Times New Roman"/>
          <w:b w:val="0"/>
          <w:bCs/>
          <w:color w:val="auto"/>
          <w:sz w:val="32"/>
          <w:szCs w:val="32"/>
          <w:highlight w:val="none"/>
        </w:rPr>
        <w:t>—20万元奖励。对我市重点产业、战略性新兴产业企业新引进或新获得高级技师、技师职业资格（职业技能等级）的高技能人才，分别给予1万元、5千元奖励。</w:t>
      </w:r>
    </w:p>
    <w:p>
      <w:pPr>
        <w:keepNext w:val="0"/>
        <w:keepLines w:val="0"/>
        <w:pageBreakBefore w:val="0"/>
        <w:widowControl w:val="0"/>
        <w:kinsoku/>
        <w:wordWrap/>
        <w:overflowPunct/>
        <w:topLinePunct w:val="0"/>
        <w:bidi w:val="0"/>
        <w:snapToGrid/>
        <w:spacing w:line="560" w:lineRule="exact"/>
        <w:ind w:left="0" w:leftChars="0" w:firstLine="640" w:firstLineChars="200"/>
        <w:textAlignment w:val="auto"/>
        <w:outlineLvl w:val="9"/>
        <w:rPr>
          <w:rFonts w:hint="default" w:ascii="Times New Roman" w:hAnsi="Times New Roman" w:eastAsia="仿宋_GB2312" w:cs="Times New Roman"/>
          <w:b w:val="0"/>
          <w:bCs/>
          <w:color w:val="auto"/>
          <w:sz w:val="32"/>
          <w:szCs w:val="32"/>
          <w:highlight w:val="none"/>
        </w:rPr>
      </w:pPr>
      <w:r>
        <w:rPr>
          <w:rStyle w:val="29"/>
          <w:rFonts w:hint="default" w:ascii="宋体" w:hAnsi="宋体"/>
          <w:lang w:val="zh-TW" w:eastAsia="zh-TW"/>
        </w:rPr>
        <w:t>（</w:t>
      </w:r>
      <w:r>
        <w:rPr>
          <w:rStyle w:val="29"/>
          <w:rFonts w:hint="eastAsia" w:ascii="宋体" w:hAnsi="宋体"/>
          <w:lang w:val="zh-TW" w:eastAsia="zh-CN"/>
        </w:rPr>
        <w:t>八</w:t>
      </w:r>
      <w:r>
        <w:rPr>
          <w:rStyle w:val="29"/>
          <w:rFonts w:hint="default" w:ascii="宋体" w:hAnsi="宋体"/>
          <w:lang w:val="zh-TW" w:eastAsia="zh-TW"/>
        </w:rPr>
        <w:t>）提升工程师能力素质。</w:t>
      </w:r>
      <w:r>
        <w:rPr>
          <w:rFonts w:hint="default" w:ascii="Times New Roman" w:hAnsi="Times New Roman" w:eastAsia="仿宋_GB2312" w:cs="Times New Roman"/>
          <w:b w:val="0"/>
          <w:bCs/>
          <w:color w:val="auto"/>
          <w:sz w:val="32"/>
          <w:szCs w:val="32"/>
          <w:highlight w:val="none"/>
        </w:rPr>
        <w:t>对我市重点产业、战略性新兴产业企业新取得正高级、副高级、中级职称证书的工程专业技术人员分别一次性给予2万元、1万元、5千元能力提升奖励。</w:t>
      </w:r>
    </w:p>
    <w:p>
      <w:pPr>
        <w:pStyle w:val="3"/>
        <w:bidi w:val="0"/>
        <w:rPr>
          <w:rFonts w:hint="default" w:ascii="宋体" w:hAnsi="宋体"/>
        </w:rPr>
      </w:pPr>
      <w:r>
        <w:rPr>
          <w:rFonts w:hint="default" w:ascii="宋体" w:hAnsi="宋体"/>
        </w:rPr>
        <w:t>二、安居保障支持</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Style w:val="29"/>
          <w:rFonts w:hint="default" w:ascii="宋体" w:hAnsi="宋体"/>
          <w:lang w:val="zh-TW" w:eastAsia="zh-TW"/>
        </w:rPr>
        <w:t>（一）高层次人才首次购房补贴。</w:t>
      </w:r>
      <w:r>
        <w:rPr>
          <w:rFonts w:hint="default" w:ascii="Times New Roman" w:hAnsi="Times New Roman" w:eastAsia="仿宋_GB2312" w:cs="Times New Roman"/>
          <w:b w:val="0"/>
          <w:bCs/>
          <w:color w:val="auto"/>
          <w:sz w:val="32"/>
          <w:szCs w:val="32"/>
          <w:highlight w:val="none"/>
        </w:rPr>
        <w:t>给予在我市企事业用人单位全职工作的高层次人才发放在邕首次购房补贴，A、B、C、D、E类高层次人才分别给予最高200万元、120万元、60万元、40万元、20万元购房补贴。</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Style w:val="29"/>
          <w:rFonts w:hint="default" w:ascii="宋体" w:hAnsi="宋体"/>
          <w:lang w:val="zh-TW" w:eastAsia="zh-TW"/>
        </w:rPr>
        <w:t>（二）应届高校毕业生购房补贴。</w:t>
      </w:r>
      <w:r>
        <w:rPr>
          <w:rFonts w:hint="default" w:ascii="Times New Roman" w:hAnsi="Times New Roman" w:eastAsia="仿宋_GB2312" w:cs="Times New Roman"/>
          <w:b w:val="0"/>
          <w:bCs/>
          <w:color w:val="auto"/>
          <w:sz w:val="32"/>
          <w:szCs w:val="32"/>
          <w:highlight w:val="none"/>
        </w:rPr>
        <w:t>新引进南宁市（含中直、区直单位）并签订3年及以上服务协议的应届高校毕业生，购买南宁市区（不含武鸣区）家庭首套新建商品住房的，按已缴纳契税金额的100%予以补贴；购买家庭二套及以上新建商品住房的，按已缴纳契税金额的50%予以补贴。</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Style w:val="29"/>
          <w:rFonts w:hint="default" w:ascii="宋体" w:hAnsi="宋体"/>
          <w:lang w:val="zh-TW" w:eastAsia="zh-TW"/>
        </w:rPr>
        <w:t>（三）人才公寓。</w:t>
      </w:r>
      <w:r>
        <w:rPr>
          <w:rFonts w:hint="default" w:ascii="Times New Roman" w:hAnsi="Times New Roman" w:eastAsia="仿宋_GB2312" w:cs="Times New Roman"/>
          <w:b w:val="0"/>
          <w:bCs/>
          <w:color w:val="auto"/>
          <w:sz w:val="32"/>
          <w:szCs w:val="32"/>
          <w:highlight w:val="none"/>
        </w:rPr>
        <w:t>南宁市高层次人才可申请入住70平方米以上的高层次人才公寓，并按所属人才层次享受相关政策；团队中的青年人才符合条件的，可申请入住普通人才公寓。</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Style w:val="29"/>
          <w:rFonts w:hint="default" w:ascii="宋体" w:hAnsi="宋体"/>
          <w:lang w:val="zh-TW" w:eastAsia="zh-TW"/>
        </w:rPr>
        <w:t>（四）住房公积金贷款。高</w:t>
      </w:r>
      <w:r>
        <w:rPr>
          <w:rFonts w:hint="default" w:ascii="Times New Roman" w:hAnsi="Times New Roman" w:eastAsia="仿宋_GB2312" w:cs="Times New Roman"/>
          <w:b w:val="0"/>
          <w:bCs/>
          <w:color w:val="auto"/>
          <w:sz w:val="32"/>
          <w:szCs w:val="32"/>
          <w:highlight w:val="none"/>
        </w:rPr>
        <w:t>层次人才首次使用住房公积金贷款购买首套住房的，A、B类人才最高可放宽至贷款限额的4倍。C类人才最高可放宽至贷款限额的2倍。D、E类人才最高可放宽至贷款限额的1.5倍。</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Style w:val="29"/>
          <w:rFonts w:hint="default" w:ascii="宋体" w:hAnsi="宋体"/>
          <w:lang w:val="zh-TW" w:eastAsia="zh-TW"/>
        </w:rPr>
        <w:t>（五）生活补助。</w:t>
      </w:r>
      <w:r>
        <w:rPr>
          <w:rFonts w:hint="default" w:ascii="Times New Roman" w:hAnsi="Times New Roman" w:eastAsia="仿宋_GB2312" w:cs="Times New Roman"/>
          <w:b w:val="0"/>
          <w:bCs/>
          <w:color w:val="auto"/>
          <w:sz w:val="32"/>
          <w:szCs w:val="32"/>
          <w:highlight w:val="none"/>
        </w:rPr>
        <w:t>对新引进到《南宁市产业发展急需紧缺人才企业名录》内的大中专院校毕业生，最高给予25万元的产业领域急需紧缺青年人才生活补助。对新引进至《南宁市产业发展急需紧缺人才企业名录》以外的我市其他企事业用人单位的博士，最高可给予10万元生活补助。对新入站的博士后一次性给予8万元（国内院校）或10万元（境外院校）生活补贴。</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eastAsia="仿宋_GB2312"/>
          <w:b w:val="0"/>
          <w:bCs/>
          <w:color w:val="auto"/>
          <w:sz w:val="32"/>
          <w:szCs w:val="32"/>
          <w:highlight w:val="none"/>
          <w:u w:val="none"/>
          <w:lang w:eastAsia="zh-CN"/>
        </w:rPr>
      </w:pPr>
      <w:r>
        <w:rPr>
          <w:rStyle w:val="29"/>
          <w:rFonts w:hint="default" w:ascii="宋体" w:hAnsi="宋体"/>
          <w:lang w:val="zh-TW" w:eastAsia="zh-TW"/>
        </w:rPr>
        <w:t>（六）学费补偿。</w:t>
      </w:r>
      <w:r>
        <w:rPr>
          <w:rFonts w:ascii="Times New Roman" w:hAnsi="Times New Roman" w:eastAsia="仿宋_GB2312"/>
          <w:b w:val="0"/>
          <w:bCs/>
          <w:color w:val="auto"/>
          <w:sz w:val="32"/>
          <w:szCs w:val="32"/>
          <w:highlight w:val="none"/>
        </w:rPr>
        <w:t>新引进至我市就业</w:t>
      </w:r>
      <w:r>
        <w:rPr>
          <w:rFonts w:hint="eastAsia" w:ascii="Times New Roman" w:hAnsi="Times New Roman" w:eastAsia="仿宋_GB2312"/>
          <w:b w:val="0"/>
          <w:bCs/>
          <w:color w:val="auto"/>
          <w:sz w:val="32"/>
          <w:szCs w:val="32"/>
          <w:highlight w:val="none"/>
        </w:rPr>
        <w:t>的“双一流”建设</w:t>
      </w:r>
      <w:r>
        <w:rPr>
          <w:rFonts w:ascii="Times New Roman" w:hAnsi="Times New Roman" w:eastAsia="仿宋_GB2312"/>
          <w:b w:val="0"/>
          <w:bCs/>
          <w:color w:val="auto"/>
          <w:sz w:val="32"/>
          <w:szCs w:val="32"/>
          <w:highlight w:val="none"/>
        </w:rPr>
        <w:t>高校应届毕业生，</w:t>
      </w:r>
      <w:r>
        <w:rPr>
          <w:rFonts w:ascii="Times New Roman" w:hAnsi="Times New Roman" w:eastAsia="仿宋_GB2312"/>
          <w:b w:val="0"/>
          <w:bCs/>
          <w:color w:val="auto"/>
          <w:sz w:val="32"/>
          <w:szCs w:val="32"/>
          <w:highlight w:val="none"/>
          <w:u w:val="none"/>
        </w:rPr>
        <w:t>给予</w:t>
      </w:r>
      <w:r>
        <w:rPr>
          <w:rFonts w:hint="eastAsia" w:ascii="Times New Roman" w:hAnsi="Times New Roman" w:eastAsia="仿宋_GB2312"/>
          <w:b w:val="0"/>
          <w:bCs/>
          <w:color w:val="auto"/>
          <w:sz w:val="32"/>
          <w:szCs w:val="32"/>
          <w:highlight w:val="none"/>
          <w:u w:val="none"/>
        </w:rPr>
        <w:t>本科最高0.8万元/学年、研究生</w:t>
      </w:r>
      <w:r>
        <w:rPr>
          <w:rFonts w:ascii="Times New Roman" w:hAnsi="Times New Roman" w:eastAsia="仿宋_GB2312"/>
          <w:b w:val="0"/>
          <w:bCs/>
          <w:color w:val="auto"/>
          <w:sz w:val="32"/>
          <w:szCs w:val="32"/>
          <w:highlight w:val="none"/>
          <w:u w:val="none"/>
        </w:rPr>
        <w:t>最高1.2万元/学年的学费补偿</w:t>
      </w:r>
      <w:r>
        <w:rPr>
          <w:rFonts w:hint="eastAsia" w:ascii="Times New Roman" w:hAnsi="Times New Roman" w:eastAsia="仿宋_GB2312"/>
          <w:b w:val="0"/>
          <w:bCs/>
          <w:color w:val="auto"/>
          <w:sz w:val="32"/>
          <w:szCs w:val="32"/>
          <w:highlight w:val="none"/>
          <w:u w:val="none"/>
          <w:lang w:eastAsia="zh-CN"/>
        </w:rPr>
        <w:t>。</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Style w:val="29"/>
          <w:rFonts w:hint="default" w:ascii="宋体" w:hAnsi="宋体"/>
          <w:lang w:val="zh-TW" w:eastAsia="zh-TW"/>
        </w:rPr>
        <w:t>（七）子女教育。</w:t>
      </w:r>
      <w:r>
        <w:rPr>
          <w:rFonts w:hint="default" w:ascii="Times New Roman" w:hAnsi="Times New Roman" w:eastAsia="仿宋_GB2312" w:cs="Times New Roman"/>
          <w:b w:val="0"/>
          <w:bCs/>
          <w:color w:val="auto"/>
          <w:sz w:val="32"/>
          <w:szCs w:val="32"/>
          <w:highlight w:val="none"/>
        </w:rPr>
        <w:t>高层次人才的子女或（外）孙子女要求在我市公办或民办普惠性幼儿园、义务教育阶段学校入（转）学的，根据家庭实际住址和教育资源情况协调就近入（转）学。</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Style w:val="29"/>
          <w:rFonts w:hint="default" w:ascii="宋体" w:hAnsi="宋体"/>
          <w:lang w:val="zh-TW" w:eastAsia="zh-TW"/>
        </w:rPr>
        <w:t>（八）医疗优诊。</w:t>
      </w:r>
      <w:r>
        <w:rPr>
          <w:rFonts w:hint="default" w:ascii="Times New Roman" w:hAnsi="Times New Roman" w:eastAsia="仿宋_GB2312" w:cs="Times New Roman"/>
          <w:b w:val="0"/>
          <w:bCs/>
          <w:color w:val="auto"/>
          <w:sz w:val="32"/>
          <w:szCs w:val="32"/>
          <w:highlight w:val="none"/>
        </w:rPr>
        <w:t>南宁市高层次人才可享受医疗优诊服务，A、B、C类人才可享受24小时专人接诊和免费健康体检等服务。</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Style w:val="29"/>
          <w:rFonts w:hint="default" w:ascii="宋体" w:hAnsi="宋体"/>
          <w:lang w:val="zh-TW" w:eastAsia="zh-TW"/>
        </w:rPr>
        <w:t>（九）交通补贴。</w:t>
      </w:r>
      <w:r>
        <w:rPr>
          <w:rFonts w:hint="default" w:ascii="Times New Roman" w:hAnsi="Times New Roman" w:eastAsia="仿宋_GB2312" w:cs="Times New Roman"/>
          <w:b w:val="0"/>
          <w:bCs/>
          <w:color w:val="auto"/>
          <w:sz w:val="32"/>
          <w:szCs w:val="32"/>
          <w:highlight w:val="none"/>
        </w:rPr>
        <w:t>对区外、市外的应届高校毕业生到南宁市成功求职（签订1年以上劳动合同，并依法缴纳企业职工基本养老保险满3个月以上的），按照区外高校每人1000元、市外区内高校每人500元的标准给予一次性交通补贴。</w:t>
      </w:r>
    </w:p>
    <w:p>
      <w:pPr>
        <w:pStyle w:val="3"/>
        <w:bidi w:val="0"/>
        <w:rPr>
          <w:rFonts w:hint="default" w:ascii="宋体" w:hAnsi="宋体"/>
        </w:rPr>
      </w:pPr>
      <w:r>
        <w:rPr>
          <w:rFonts w:hint="default" w:ascii="宋体" w:hAnsi="宋体"/>
        </w:rPr>
        <w:t>三、创新创业</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Fonts w:hint="default" w:ascii="楷体_GB2312" w:hAnsi="楷体_GB2312" w:eastAsia="楷体_GB2312" w:cs="楷体_GB2312"/>
          <w:b w:val="0"/>
          <w:bCs/>
          <w:color w:val="auto"/>
          <w:sz w:val="32"/>
          <w:szCs w:val="32"/>
          <w:highlight w:val="none"/>
          <w:shd w:val="clear" w:color="auto" w:fill="FFFFFF"/>
        </w:rPr>
        <w:t>（一）</w:t>
      </w:r>
      <w:r>
        <w:rPr>
          <w:rFonts w:hint="default" w:ascii="Times New Roman" w:hAnsi="Times New Roman" w:eastAsia="仿宋_GB2312" w:cs="Times New Roman"/>
          <w:b w:val="0"/>
          <w:bCs/>
          <w:color w:val="auto"/>
          <w:sz w:val="32"/>
          <w:szCs w:val="32"/>
          <w:highlight w:val="none"/>
        </w:rPr>
        <w:t>入驻海外人才离岸创新创业基地的项目，按进口的必要工作设备的总价值给予最高10万元补贴。</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eastAsia="仿宋_GB2312" w:cs="Times New Roman"/>
          <w:b w:val="0"/>
          <w:bCs/>
          <w:color w:val="auto"/>
          <w:sz w:val="32"/>
          <w:szCs w:val="32"/>
          <w:highlight w:val="none"/>
          <w:lang w:eastAsia="zh-CN"/>
        </w:rPr>
      </w:pPr>
      <w:r>
        <w:rPr>
          <w:rFonts w:hint="default" w:ascii="楷体_GB2312" w:hAnsi="楷体_GB2312" w:eastAsia="楷体_GB2312" w:cs="楷体_GB2312"/>
          <w:b w:val="0"/>
          <w:bCs/>
          <w:color w:val="auto"/>
          <w:sz w:val="32"/>
          <w:szCs w:val="32"/>
          <w:highlight w:val="none"/>
          <w:shd w:val="clear" w:color="auto" w:fill="FFFFFF"/>
        </w:rPr>
        <w:t>（二）</w:t>
      </w:r>
      <w:r>
        <w:rPr>
          <w:rFonts w:hint="default" w:ascii="Times New Roman" w:hAnsi="Times New Roman" w:eastAsia="仿宋_GB2312" w:cs="Times New Roman"/>
          <w:b w:val="0"/>
          <w:bCs/>
          <w:color w:val="auto"/>
          <w:sz w:val="32"/>
          <w:szCs w:val="32"/>
          <w:highlight w:val="none"/>
        </w:rPr>
        <w:t>入驻海外人才离岸创新创业基地的企业，符合高新技术企业条件的企业转化科技成果，给予本企业相关技术人员的股权奖励，经主管税务机关审核，可根据实际情况自行制定分期缴税计划，在不超过5个公历年度内（含）分期缴纳。</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Fonts w:hint="default" w:ascii="楷体_GB2312" w:hAnsi="楷体_GB2312" w:eastAsia="楷体_GB2312" w:cs="楷体_GB2312"/>
          <w:b w:val="0"/>
          <w:bCs/>
          <w:color w:val="auto"/>
          <w:sz w:val="32"/>
          <w:szCs w:val="32"/>
          <w:highlight w:val="none"/>
          <w:shd w:val="clear" w:color="auto" w:fill="FFFFFF"/>
        </w:rPr>
        <w:t>（三）</w:t>
      </w:r>
      <w:r>
        <w:rPr>
          <w:rFonts w:hint="default" w:ascii="Times New Roman" w:hAnsi="Times New Roman" w:eastAsia="仿宋_GB2312" w:cs="Times New Roman"/>
          <w:b w:val="0"/>
          <w:bCs/>
          <w:color w:val="auto"/>
          <w:sz w:val="32"/>
          <w:szCs w:val="32"/>
          <w:highlight w:val="none"/>
        </w:rPr>
        <w:t>入驻海外人才离岸创新创业基地的企业享受南宁市综合保税区提供的优惠物流保税服务，依托广西—东盟区域（南宁）外贸一体化综合体通关平台，享受涉及的保税、通关、商品交易、出口退税等外贸便捷服务。</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Fonts w:hint="default" w:ascii="楷体_GB2312" w:hAnsi="楷体_GB2312" w:eastAsia="楷体_GB2312" w:cs="楷体_GB2312"/>
          <w:b w:val="0"/>
          <w:bCs/>
          <w:color w:val="auto"/>
          <w:sz w:val="32"/>
          <w:szCs w:val="32"/>
          <w:highlight w:val="none"/>
          <w:shd w:val="clear" w:color="auto" w:fill="FFFFFF"/>
        </w:rPr>
        <w:t>（四）科技计划事前资助项目。</w:t>
      </w:r>
      <w:r>
        <w:rPr>
          <w:rFonts w:hint="default" w:ascii="Times New Roman" w:hAnsi="Times New Roman" w:eastAsia="仿宋_GB2312" w:cs="Times New Roman"/>
          <w:b w:val="0"/>
          <w:bCs/>
          <w:color w:val="auto"/>
          <w:sz w:val="32"/>
          <w:szCs w:val="32"/>
          <w:highlight w:val="none"/>
        </w:rPr>
        <w:t>根据南宁市科技项目申报指南公布的支持方向和领域申请的科技项目，重大专项</w:t>
      </w:r>
      <w:r>
        <w:rPr>
          <w:rFonts w:hint="default" w:ascii="Times New Roman" w:hAnsi="Times New Roman" w:eastAsia="仿宋_GB2312" w:cs="Times New Roman"/>
          <w:b w:val="0"/>
          <w:bCs/>
          <w:color w:val="auto"/>
          <w:sz w:val="32"/>
          <w:szCs w:val="32"/>
          <w:highlight w:val="none"/>
          <w:lang w:eastAsia="zh-CN"/>
        </w:rPr>
        <w:t>最高</w:t>
      </w:r>
      <w:r>
        <w:rPr>
          <w:rFonts w:hint="default" w:ascii="Times New Roman" w:hAnsi="Times New Roman" w:eastAsia="仿宋_GB2312" w:cs="Times New Roman"/>
          <w:b w:val="0"/>
          <w:bCs/>
          <w:color w:val="auto"/>
          <w:sz w:val="32"/>
          <w:szCs w:val="32"/>
          <w:highlight w:val="none"/>
        </w:rPr>
        <w:t>支持300万元，重点研发计划最高支持50万元。</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Fonts w:hint="default" w:ascii="楷体_GB2312" w:hAnsi="楷体_GB2312" w:eastAsia="楷体_GB2312" w:cs="楷体_GB2312"/>
          <w:b w:val="0"/>
          <w:bCs/>
          <w:color w:val="auto"/>
          <w:sz w:val="32"/>
          <w:szCs w:val="32"/>
          <w:highlight w:val="none"/>
          <w:shd w:val="clear" w:color="auto" w:fill="FFFFFF"/>
        </w:rPr>
        <w:t>（五）科技保险补贴。</w:t>
      </w:r>
      <w:r>
        <w:rPr>
          <w:rFonts w:hint="default" w:ascii="Times New Roman" w:hAnsi="Times New Roman" w:eastAsia="仿宋_GB2312" w:cs="Times New Roman"/>
          <w:b w:val="0"/>
          <w:bCs/>
          <w:color w:val="auto"/>
          <w:sz w:val="32"/>
          <w:szCs w:val="32"/>
          <w:highlight w:val="none"/>
        </w:rPr>
        <w:t>企业投保《南宁市本级科技</w:t>
      </w:r>
      <w:r>
        <w:rPr>
          <w:rFonts w:hint="eastAsia" w:ascii="Times New Roman" w:hAnsi="Times New Roman" w:eastAsia="仿宋_GB2312" w:cs="Times New Roman"/>
          <w:b w:val="0"/>
          <w:bCs/>
          <w:color w:val="auto"/>
          <w:sz w:val="32"/>
          <w:szCs w:val="32"/>
          <w:highlight w:val="none"/>
          <w:lang w:eastAsia="zh-CN"/>
        </w:rPr>
        <w:t>保险</w:t>
      </w:r>
      <w:r>
        <w:rPr>
          <w:rFonts w:hint="default" w:ascii="Times New Roman" w:hAnsi="Times New Roman" w:eastAsia="仿宋_GB2312" w:cs="Times New Roman"/>
          <w:b w:val="0"/>
          <w:bCs/>
          <w:color w:val="auto"/>
          <w:sz w:val="32"/>
          <w:szCs w:val="32"/>
          <w:highlight w:val="none"/>
        </w:rPr>
        <w:t>补贴资金管理办法》规定的保险险种的，给予保费补贴支持。</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Fonts w:hint="default" w:ascii="楷体_GB2312" w:hAnsi="楷体_GB2312" w:eastAsia="楷体_GB2312" w:cs="楷体_GB2312"/>
          <w:b w:val="0"/>
          <w:bCs/>
          <w:color w:val="auto"/>
          <w:sz w:val="32"/>
          <w:szCs w:val="32"/>
          <w:highlight w:val="none"/>
          <w:shd w:val="clear" w:color="auto" w:fill="FFFFFF"/>
        </w:rPr>
        <w:t>（</w:t>
      </w:r>
      <w:r>
        <w:rPr>
          <w:rFonts w:hint="eastAsia" w:ascii="楷体_GB2312" w:hAnsi="楷体_GB2312" w:eastAsia="楷体_GB2312" w:cs="楷体_GB2312"/>
          <w:b w:val="0"/>
          <w:bCs/>
          <w:color w:val="auto"/>
          <w:sz w:val="32"/>
          <w:szCs w:val="32"/>
          <w:highlight w:val="none"/>
          <w:shd w:val="clear" w:color="auto" w:fill="FFFFFF"/>
          <w:lang w:val="en-US" w:eastAsia="zh-CN"/>
        </w:rPr>
        <w:t>六</w:t>
      </w:r>
      <w:r>
        <w:rPr>
          <w:rFonts w:hint="default" w:ascii="楷体_GB2312" w:hAnsi="楷体_GB2312" w:eastAsia="楷体_GB2312" w:cs="楷体_GB2312"/>
          <w:b w:val="0"/>
          <w:bCs/>
          <w:color w:val="auto"/>
          <w:sz w:val="32"/>
          <w:szCs w:val="32"/>
          <w:highlight w:val="none"/>
          <w:shd w:val="clear" w:color="auto" w:fill="FFFFFF"/>
        </w:rPr>
        <w:t>）揭榜挂帅项目补助。</w:t>
      </w:r>
      <w:r>
        <w:rPr>
          <w:rFonts w:hint="default" w:ascii="Times New Roman" w:hAnsi="Times New Roman" w:eastAsia="仿宋_GB2312" w:cs="Times New Roman"/>
          <w:b w:val="0"/>
          <w:bCs/>
          <w:color w:val="auto"/>
          <w:sz w:val="32"/>
          <w:szCs w:val="32"/>
          <w:highlight w:val="none"/>
        </w:rPr>
        <w:t>聚焦新能源汽车、电子信息等重点产业发展需要，实施重大科技揭榜挂帅项目，单个项目资金补助最高不超过500万元。</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Fonts w:hint="eastAsia" w:ascii="楷体_GB2312" w:hAnsi="楷体_GB2312" w:eastAsia="楷体_GB2312" w:cs="楷体_GB2312"/>
          <w:b w:val="0"/>
          <w:bCs/>
          <w:color w:val="auto"/>
          <w:sz w:val="32"/>
          <w:szCs w:val="32"/>
          <w:highlight w:val="none"/>
          <w:shd w:val="clear" w:color="auto" w:fill="FFFFFF"/>
        </w:rPr>
        <w:t>（</w:t>
      </w:r>
      <w:r>
        <w:rPr>
          <w:rFonts w:hint="eastAsia" w:ascii="楷体_GB2312" w:hAnsi="楷体_GB2312" w:eastAsia="楷体_GB2312" w:cs="楷体_GB2312"/>
          <w:b w:val="0"/>
          <w:bCs/>
          <w:color w:val="auto"/>
          <w:sz w:val="32"/>
          <w:szCs w:val="32"/>
          <w:highlight w:val="none"/>
          <w:shd w:val="clear" w:color="auto" w:fill="FFFFFF"/>
          <w:lang w:val="en-US" w:eastAsia="zh-CN"/>
        </w:rPr>
        <w:t>七</w:t>
      </w:r>
      <w:r>
        <w:rPr>
          <w:rFonts w:hint="eastAsia" w:ascii="楷体_GB2312" w:hAnsi="楷体_GB2312" w:eastAsia="楷体_GB2312" w:cs="楷体_GB2312"/>
          <w:b w:val="0"/>
          <w:bCs/>
          <w:color w:val="auto"/>
          <w:sz w:val="32"/>
          <w:szCs w:val="32"/>
          <w:highlight w:val="none"/>
          <w:shd w:val="clear" w:color="auto" w:fill="FFFFFF"/>
        </w:rPr>
        <w:t>）工程师协同创新中心建设经费资助。</w:t>
      </w:r>
      <w:r>
        <w:rPr>
          <w:rFonts w:hint="default" w:ascii="Times New Roman" w:hAnsi="Times New Roman" w:eastAsia="仿宋_GB2312" w:cs="Times New Roman"/>
          <w:b w:val="0"/>
          <w:bCs/>
          <w:color w:val="auto"/>
          <w:sz w:val="32"/>
          <w:szCs w:val="32"/>
          <w:highlight w:val="none"/>
        </w:rPr>
        <w:t>依托我市重点产业链的龙头企业或关键环节的核心企业，试点建立工程师协同创新中心，给予最高40万元建设工作经费支持。</w:t>
      </w:r>
    </w:p>
    <w:p>
      <w:pPr>
        <w:pStyle w:val="12"/>
        <w:keepNext w:val="0"/>
        <w:keepLines w:val="0"/>
        <w:pageBreakBefore w:val="0"/>
        <w:widowControl w:val="0"/>
        <w:kinsoku/>
        <w:wordWrap/>
        <w:overflowPunct/>
        <w:topLinePunct w:val="0"/>
        <w:autoSpaceDE/>
        <w:autoSpaceDN/>
        <w:bidi w:val="0"/>
        <w:spacing w:before="0" w:beforeAutospacing="0" w:after="0" w:afterAutospacing="0" w:line="560" w:lineRule="exact"/>
        <w:ind w:firstLine="640" w:firstLineChars="200"/>
        <w:jc w:val="both"/>
        <w:textAlignment w:val="auto"/>
        <w:rPr>
          <w:rFonts w:hint="default" w:ascii="Times New Roman" w:hAnsi="Times New Roman" w:eastAsia="仿宋_GB2312" w:cs="Times New Roman"/>
          <w:b w:val="0"/>
          <w:bCs/>
          <w:color w:val="auto"/>
          <w:kern w:val="2"/>
          <w:sz w:val="32"/>
          <w:szCs w:val="32"/>
          <w:highlight w:val="none"/>
          <w:lang w:eastAsia="zh-CN"/>
        </w:rPr>
      </w:pPr>
      <w:r>
        <w:rPr>
          <w:rFonts w:hint="eastAsia" w:ascii="楷体_GB2312" w:hAnsi="楷体_GB2312" w:eastAsia="楷体_GB2312" w:cs="楷体_GB2312"/>
          <w:b w:val="0"/>
          <w:bCs/>
          <w:color w:val="auto"/>
          <w:kern w:val="2"/>
          <w:sz w:val="32"/>
          <w:szCs w:val="32"/>
          <w:highlight w:val="none"/>
          <w:shd w:val="clear" w:color="auto" w:fill="FFFFFF"/>
          <w:lang w:val="en-US" w:eastAsia="zh-CN" w:bidi="ar-SA"/>
        </w:rPr>
        <w:t>（八）高水平科创平台资助。</w:t>
      </w:r>
      <w:r>
        <w:rPr>
          <w:rFonts w:hint="default" w:ascii="Times New Roman" w:hAnsi="Times New Roman" w:eastAsia="仿宋_GB2312" w:cs="Times New Roman"/>
          <w:b w:val="0"/>
          <w:bCs/>
          <w:color w:val="auto"/>
          <w:kern w:val="2"/>
          <w:sz w:val="32"/>
          <w:szCs w:val="32"/>
          <w:highlight w:val="none"/>
          <w:lang w:eastAsia="zh-CN"/>
        </w:rPr>
        <w:t>支持我市企业、市属事业单位融入国家和自治区科技创新体系，升级打造国家级、自治区级重点实验室、工程研究中心、企业技术中心、技术创新中心等创新平台，对新认定的平台给予最高200万元配套资助。</w:t>
      </w:r>
    </w:p>
    <w:p>
      <w:pPr>
        <w:pStyle w:val="12"/>
        <w:keepNext w:val="0"/>
        <w:keepLines w:val="0"/>
        <w:pageBreakBefore w:val="0"/>
        <w:widowControl w:val="0"/>
        <w:kinsoku/>
        <w:wordWrap/>
        <w:overflowPunct/>
        <w:topLinePunct w:val="0"/>
        <w:autoSpaceDE/>
        <w:autoSpaceDN/>
        <w:bidi w:val="0"/>
        <w:spacing w:before="0" w:beforeAutospacing="0" w:after="0" w:afterAutospacing="0" w:line="560" w:lineRule="exact"/>
        <w:ind w:firstLine="640" w:firstLineChars="200"/>
        <w:jc w:val="both"/>
        <w:textAlignment w:val="auto"/>
        <w:rPr>
          <w:rFonts w:hint="default" w:ascii="Times New Roman" w:hAnsi="Times New Roman" w:eastAsia="仿宋_GB2312" w:cs="Times New Roman"/>
          <w:b w:val="0"/>
          <w:bCs/>
          <w:color w:val="auto"/>
          <w:kern w:val="2"/>
          <w:sz w:val="32"/>
          <w:szCs w:val="32"/>
          <w:highlight w:val="none"/>
          <w:lang w:eastAsia="zh-CN"/>
        </w:rPr>
      </w:pPr>
      <w:r>
        <w:rPr>
          <w:rFonts w:hint="eastAsia" w:ascii="楷体_GB2312" w:hAnsi="楷体_GB2312" w:eastAsia="楷体_GB2312" w:cs="楷体_GB2312"/>
          <w:b w:val="0"/>
          <w:bCs/>
          <w:color w:val="auto"/>
          <w:kern w:val="2"/>
          <w:sz w:val="32"/>
          <w:szCs w:val="32"/>
          <w:highlight w:val="none"/>
          <w:shd w:val="clear" w:color="auto" w:fill="FFFFFF"/>
          <w:lang w:val="en-US" w:eastAsia="zh-CN" w:bidi="ar-SA"/>
        </w:rPr>
        <w:t>（九）“人才飞地”建设经费补助。</w:t>
      </w:r>
      <w:r>
        <w:rPr>
          <w:rFonts w:hint="default" w:ascii="Times New Roman" w:hAnsi="Times New Roman" w:eastAsia="仿宋_GB2312" w:cs="Times New Roman"/>
          <w:b w:val="0"/>
          <w:bCs/>
          <w:color w:val="auto"/>
          <w:kern w:val="2"/>
          <w:sz w:val="32"/>
          <w:szCs w:val="32"/>
          <w:highlight w:val="none"/>
          <w:lang w:eastAsia="zh-CN"/>
        </w:rPr>
        <w:t>支持我市企业在区外城市选点建设“人才飞地”或创新中心，经评审认定的给予最高100万元建设经费补助。</w:t>
      </w:r>
    </w:p>
    <w:p>
      <w:pPr>
        <w:pStyle w:val="3"/>
        <w:bidi w:val="0"/>
        <w:rPr>
          <w:rFonts w:hint="default" w:ascii="宋体" w:hAnsi="宋体"/>
        </w:rPr>
      </w:pPr>
      <w:r>
        <w:rPr>
          <w:rFonts w:hint="default" w:ascii="宋体" w:hAnsi="宋体"/>
        </w:rPr>
        <w:t>四、海外人才专项支持政策</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Fonts w:hint="default" w:ascii="Times New Roman" w:hAnsi="Times New Roman" w:eastAsia="仿宋_GB2312" w:cs="Times New Roman"/>
          <w:b w:val="0"/>
          <w:bCs/>
          <w:color w:val="auto"/>
          <w:sz w:val="32"/>
          <w:szCs w:val="32"/>
          <w:highlight w:val="none"/>
        </w:rPr>
        <w:t>（一）对引进到我市重点产业、重点领域和重点项目的急需紧缺海外人才，经认定为我市高层次人才或持有《外国人工作许可证（A类）》的，给予以下待遇：</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Fonts w:hint="default" w:ascii="Times New Roman" w:hAnsi="Times New Roman" w:eastAsia="仿宋_GB2312" w:cs="Times New Roman"/>
          <w:b w:val="0"/>
          <w:bCs/>
          <w:color w:val="auto"/>
          <w:sz w:val="32"/>
          <w:szCs w:val="32"/>
          <w:highlight w:val="none"/>
        </w:rPr>
        <w:t>1</w:t>
      </w:r>
      <w:r>
        <w:rPr>
          <w:rFonts w:hint="default" w:ascii="仿宋_GB2312" w:hAnsi="仿宋_GB2312" w:eastAsia="仿宋_GB2312" w:cs="Times New Roman"/>
          <w:b w:val="0"/>
          <w:bCs/>
          <w:i w:val="0"/>
          <w:color w:val="auto"/>
          <w:sz w:val="32"/>
          <w:szCs w:val="32"/>
          <w:highlight w:val="none"/>
        </w:rPr>
        <w:t>.</w:t>
      </w:r>
      <w:r>
        <w:rPr>
          <w:rFonts w:hint="default" w:ascii="Times New Roman" w:hAnsi="Times New Roman" w:eastAsia="仿宋_GB2312" w:cs="Times New Roman"/>
          <w:b w:val="0"/>
          <w:bCs/>
          <w:color w:val="auto"/>
          <w:sz w:val="32"/>
          <w:szCs w:val="32"/>
          <w:highlight w:val="none"/>
        </w:rPr>
        <w:t>对全职引进的急需紧缺海外人才，每年按用人单位实际支付年薪的20%给予补贴。每位全职引进的海外人才年补贴总额最高不超过20万元人民币，补贴时间最长不超过5年。</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Fonts w:hint="default" w:ascii="Times New Roman" w:hAnsi="Times New Roman" w:eastAsia="仿宋_GB2312" w:cs="Times New Roman"/>
          <w:b w:val="0"/>
          <w:bCs/>
          <w:color w:val="auto"/>
          <w:sz w:val="32"/>
          <w:szCs w:val="32"/>
          <w:highlight w:val="none"/>
        </w:rPr>
        <w:t>2</w:t>
      </w:r>
      <w:r>
        <w:rPr>
          <w:rFonts w:hint="default" w:ascii="仿宋_GB2312" w:hAnsi="仿宋_GB2312" w:eastAsia="仿宋_GB2312" w:cs="Times New Roman"/>
          <w:b w:val="0"/>
          <w:bCs/>
          <w:i w:val="0"/>
          <w:color w:val="auto"/>
          <w:sz w:val="32"/>
          <w:szCs w:val="32"/>
          <w:highlight w:val="none"/>
        </w:rPr>
        <w:t>.</w:t>
      </w:r>
      <w:r>
        <w:rPr>
          <w:rFonts w:hint="default" w:ascii="Times New Roman" w:hAnsi="Times New Roman" w:eastAsia="仿宋_GB2312" w:cs="Times New Roman"/>
          <w:b w:val="0"/>
          <w:bCs/>
          <w:color w:val="auto"/>
          <w:sz w:val="32"/>
          <w:szCs w:val="32"/>
          <w:highlight w:val="none"/>
        </w:rPr>
        <w:t>对柔性引进的急需紧缺海外人才，用人单位支付薪酬高于5万元人民币的，按照实际支付薪酬的20%给予补贴。每位柔性引进的海外人才年补贴总额最高不超过10万元人民币，补贴时间最长不超过5年。</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Fonts w:hint="default" w:ascii="Times New Roman" w:hAnsi="Times New Roman" w:eastAsia="仿宋_GB2312" w:cs="Times New Roman"/>
          <w:b w:val="0"/>
          <w:bCs/>
          <w:color w:val="auto"/>
          <w:sz w:val="32"/>
          <w:szCs w:val="32"/>
          <w:highlight w:val="none"/>
        </w:rPr>
        <w:t>（二）对引进的海外人才，在我市工作期间取得以下成绩的，给予相应奖励。</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Fonts w:hint="default" w:ascii="Times New Roman" w:hAnsi="Times New Roman" w:eastAsia="仿宋_GB2312" w:cs="Times New Roman"/>
          <w:b w:val="0"/>
          <w:bCs/>
          <w:color w:val="auto"/>
          <w:sz w:val="32"/>
          <w:szCs w:val="32"/>
          <w:highlight w:val="none"/>
        </w:rPr>
        <w:t>1</w:t>
      </w:r>
      <w:r>
        <w:rPr>
          <w:rFonts w:hint="default" w:ascii="仿宋_GB2312" w:hAnsi="仿宋_GB2312" w:eastAsia="仿宋_GB2312" w:cs="Times New Roman"/>
          <w:b w:val="0"/>
          <w:bCs/>
          <w:i w:val="0"/>
          <w:color w:val="auto"/>
          <w:sz w:val="32"/>
          <w:szCs w:val="32"/>
          <w:highlight w:val="none"/>
        </w:rPr>
        <w:t>.</w:t>
      </w:r>
      <w:r>
        <w:rPr>
          <w:rFonts w:hint="default" w:ascii="Times New Roman" w:hAnsi="Times New Roman" w:eastAsia="仿宋_GB2312" w:cs="Times New Roman"/>
          <w:b w:val="0"/>
          <w:bCs/>
          <w:color w:val="auto"/>
          <w:sz w:val="32"/>
          <w:szCs w:val="32"/>
          <w:highlight w:val="none"/>
        </w:rPr>
        <w:t>引进的海外人才入选国家级人才平台项目或获得国家级人才荣誉奖项的，给予20万元人民币奖励；入选省（部）级人才平台项目或获得省（部）级人才荣誉奖项的，给予10万元人民币奖励。</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Fonts w:hint="default" w:ascii="Times New Roman" w:hAnsi="Times New Roman" w:eastAsia="仿宋_GB2312" w:cs="Times New Roman"/>
          <w:b w:val="0"/>
          <w:bCs/>
          <w:color w:val="auto"/>
          <w:sz w:val="32"/>
          <w:szCs w:val="32"/>
          <w:highlight w:val="none"/>
        </w:rPr>
        <w:t>2</w:t>
      </w:r>
      <w:r>
        <w:rPr>
          <w:rFonts w:hint="default" w:ascii="仿宋_GB2312" w:hAnsi="仿宋_GB2312" w:eastAsia="仿宋_GB2312" w:cs="Times New Roman"/>
          <w:b w:val="0"/>
          <w:bCs/>
          <w:i w:val="0"/>
          <w:color w:val="auto"/>
          <w:sz w:val="32"/>
          <w:szCs w:val="32"/>
          <w:highlight w:val="none"/>
        </w:rPr>
        <w:t>.</w:t>
      </w:r>
      <w:r>
        <w:rPr>
          <w:rFonts w:hint="default" w:ascii="Times New Roman" w:hAnsi="Times New Roman" w:eastAsia="仿宋_GB2312" w:cs="Times New Roman"/>
          <w:b w:val="0"/>
          <w:bCs/>
          <w:color w:val="auto"/>
          <w:sz w:val="32"/>
          <w:szCs w:val="32"/>
          <w:highlight w:val="none"/>
        </w:rPr>
        <w:t>引进的海外人才独立承担或作为第一完成人的项目获得国家或省（部）级科技二等奖以上奖励的，给予最高20万元人民币奖励。</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Fonts w:hint="default" w:ascii="Times New Roman" w:hAnsi="Times New Roman" w:eastAsia="仿宋_GB2312" w:cs="Times New Roman"/>
          <w:b w:val="0"/>
          <w:bCs/>
          <w:color w:val="auto"/>
          <w:sz w:val="32"/>
          <w:szCs w:val="32"/>
          <w:highlight w:val="none"/>
        </w:rPr>
        <w:t>（三）进入博士后科研工作站的海外博士后给予一次性10万元人民币生活补助，博士后研究阶段视为工作经历，计入工龄。</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Fonts w:hint="default" w:ascii="Times New Roman" w:hAnsi="Times New Roman" w:eastAsia="仿宋_GB2312" w:cs="Times New Roman"/>
          <w:b w:val="0"/>
          <w:bCs/>
          <w:color w:val="auto"/>
          <w:sz w:val="32"/>
          <w:szCs w:val="32"/>
          <w:highlight w:val="none"/>
        </w:rPr>
        <w:t>（四）引进的外籍人才符合办理《外国人永久居留证》条件的，公安部门积极为其本人及外籍配偶、未成年子女向公安部申办《外国人永久居留证》</w:t>
      </w:r>
      <w:r>
        <w:rPr>
          <w:rFonts w:hint="default" w:ascii="Times New Roman" w:hAnsi="Times New Roman" w:eastAsia="仿宋_GB2312" w:cs="Times New Roman"/>
          <w:b w:val="0"/>
          <w:bCs/>
          <w:color w:val="auto"/>
          <w:spacing w:val="6"/>
          <w:sz w:val="32"/>
          <w:szCs w:val="32"/>
          <w:highlight w:val="none"/>
        </w:rPr>
        <w:t>。</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Fonts w:hint="default" w:ascii="Times New Roman" w:hAnsi="Times New Roman" w:eastAsia="仿宋_GB2312" w:cs="Times New Roman"/>
          <w:b w:val="0"/>
          <w:bCs/>
          <w:color w:val="auto"/>
          <w:sz w:val="32"/>
          <w:szCs w:val="32"/>
          <w:highlight w:val="none"/>
        </w:rPr>
        <w:t>（五）具有中国国籍的海外人才需要落户南宁的，可直接为其办理本人及配偶、子女的落户手续。</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color w:val="auto"/>
          <w:sz w:val="32"/>
          <w:szCs w:val="32"/>
          <w:highlight w:val="none"/>
        </w:rPr>
      </w:pPr>
      <w:r>
        <w:rPr>
          <w:rFonts w:hint="default" w:ascii="Times New Roman" w:hAnsi="Times New Roman" w:eastAsia="仿宋_GB2312" w:cs="Times New Roman"/>
          <w:b w:val="0"/>
          <w:bCs/>
          <w:color w:val="auto"/>
          <w:sz w:val="32"/>
          <w:szCs w:val="32"/>
          <w:highlight w:val="none"/>
        </w:rPr>
        <w:t>（六）引进的海外人才的配偶工作安置由用人单位积极予以安排，暂时无法安排的，由我市相关部门按相关规定推荐工作。</w:t>
      </w:r>
    </w:p>
    <w:p>
      <w:pPr>
        <w:pStyle w:val="3"/>
        <w:bidi w:val="0"/>
        <w:rPr>
          <w:rFonts w:hint="default" w:ascii="宋体" w:hAnsi="宋体"/>
          <w:lang w:eastAsia="zh-CN"/>
        </w:rPr>
      </w:pPr>
      <w:r>
        <w:rPr>
          <w:rFonts w:hint="default" w:ascii="宋体" w:hAnsi="宋体"/>
          <w:lang w:eastAsia="zh-CN"/>
        </w:rPr>
        <w:t>五、金融支持</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eastAsia="仿宋_GB2312" w:cs="Times New Roman"/>
          <w:b w:val="0"/>
          <w:bCs/>
          <w:color w:val="auto"/>
          <w:sz w:val="32"/>
          <w:szCs w:val="32"/>
          <w:highlight w:val="none"/>
          <w:u w:val="none"/>
          <w:lang w:val="en-US" w:eastAsia="zh-CN"/>
        </w:rPr>
      </w:pPr>
      <w:r>
        <w:rPr>
          <w:rFonts w:hint="eastAsia" w:ascii="Times New Roman" w:hAnsi="Times New Roman" w:eastAsia="仿宋_GB2312" w:cs="Times New Roman"/>
          <w:b w:val="0"/>
          <w:bCs/>
          <w:color w:val="auto"/>
          <w:sz w:val="32"/>
          <w:szCs w:val="32"/>
          <w:highlight w:val="none"/>
          <w:u w:val="none"/>
          <w:lang w:val="en-US" w:eastAsia="zh-CN"/>
        </w:rPr>
        <w:t>（一）鼓励“人才贷”，充分发挥政府风险补偿机制作用，对获得科技知识产权贷款的企业给予贴息支持，引导各类金融机构和社会资本加大对创新创业产业化项目的支持，对科技人才创造的合法有效且可转让的知识产权或股权出质作为增信方式之一给予贷款扶持。</w:t>
      </w:r>
    </w:p>
    <w:p>
      <w:pPr>
        <w:keepNext w:val="0"/>
        <w:keepLines w:val="0"/>
        <w:pageBreakBefore w:val="0"/>
        <w:widowControl/>
        <w:kinsoku/>
        <w:wordWrap/>
        <w:overflowPunct/>
        <w:topLinePunct w:val="0"/>
        <w:autoSpaceDE/>
        <w:autoSpaceDN/>
        <w:bidi w:val="0"/>
        <w:spacing w:line="560" w:lineRule="exact"/>
        <w:textAlignment w:val="auto"/>
        <w:outlineLvl w:val="0"/>
        <w:rPr>
          <w:rFonts w:ascii="Times New Roman" w:hAnsi="Times New Roman" w:eastAsia="黑体" w:cs="Times New Roman"/>
          <w:color w:val="000000"/>
          <w:highlight w:val="none"/>
        </w:rPr>
      </w:pPr>
      <w:r>
        <w:rPr>
          <w:rFonts w:hint="eastAsia" w:ascii="Times New Roman" w:hAnsi="Times New Roman" w:eastAsia="仿宋_GB2312" w:cs="Times New Roman"/>
          <w:b w:val="0"/>
          <w:bCs/>
          <w:color w:val="auto"/>
          <w:sz w:val="32"/>
          <w:szCs w:val="32"/>
          <w:highlight w:val="none"/>
          <w:u w:val="none"/>
          <w:lang w:val="en-US" w:eastAsia="zh-CN"/>
        </w:rPr>
        <w:t>（二）鼓励“人才投”，用好南宁市产业高质量发展基金，入选南宁海（境）外人才创新创业大赛三等奖以上项目，其在南宁落地发展且实际生产经营的，可优先推荐作为投资对象。</w:t>
      </w:r>
    </w:p>
    <w:sectPr>
      <w:footerReference r:id="rId3" w:type="default"/>
      <w:pgSz w:w="11906" w:h="16838"/>
      <w:pgMar w:top="2098" w:right="1474" w:bottom="1984" w:left="1588" w:header="851" w:footer="992" w:gutter="0"/>
      <w:pgNumType w:fmt="decimal" w:start="1"/>
      <w:cols w:space="0" w:num="1"/>
      <w:rtlGutter w:val="0"/>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CB5F6E6B-95EF-4786-B928-FC6D1145EB9B}"/>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embedRegular r:id="rId2" w:fontKey="{DCA46064-4D39-45EA-8076-60412DA79794}"/>
  </w:font>
  <w:font w:name="楷体_GB2312">
    <w:panose1 w:val="02010609030101010101"/>
    <w:charset w:val="86"/>
    <w:family w:val="modern"/>
    <w:pitch w:val="default"/>
    <w:sig w:usb0="00000001" w:usb1="080E0000" w:usb2="00000000" w:usb3="00000000" w:csb0="00040000" w:csb1="00000000"/>
    <w:embedRegular r:id="rId3" w:fontKey="{60BCBD18-F2D2-46C8-9EAA-08903121B939}"/>
  </w:font>
  <w:font w:name="Cambria">
    <w:panose1 w:val="02040503050406030204"/>
    <w:charset w:val="00"/>
    <w:family w:val="roman"/>
    <w:pitch w:val="default"/>
    <w:sig w:usb0="E00002FF" w:usb1="400004FF" w:usb2="00000000" w:usb3="00000000" w:csb0="2000019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Malgun Gothic">
    <w:panose1 w:val="020B0503020000020004"/>
    <w:charset w:val="81"/>
    <w:family w:val="swiss"/>
    <w:pitch w:val="default"/>
    <w:sig w:usb0="900002AF" w:usb1="01D77CFB" w:usb2="00000012" w:usb3="00000000" w:csb0="00080001" w:csb1="00000000"/>
  </w:font>
  <w:font w:name="方正大标宋简体">
    <w:altName w:val="宋体"/>
    <w:panose1 w:val="03000509000000000000"/>
    <w:charset w:val="86"/>
    <w:family w:val="auto"/>
    <w:pitch w:val="default"/>
    <w:sig w:usb0="00000000" w:usb1="00000000" w:usb2="00000000" w:usb3="00000000" w:csb0="00040000" w:csb1="00000000"/>
  </w:font>
  <w:font w:name="方正小标宋简体">
    <w:panose1 w:val="03000509000000000000"/>
    <w:charset w:val="86"/>
    <w:family w:val="script"/>
    <w:pitch w:val="default"/>
    <w:sig w:usb0="00000001" w:usb1="080E0000" w:usb2="00000000" w:usb3="00000000" w:csb0="00040000" w:csb1="00000000"/>
    <w:embedRegular r:id="rId4" w:fontKey="{C2718CE0-A2E8-4131-AE3A-15ED5984D5F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9"/>
                            <w:rPr>
                              <w:rFonts w:hint="eastAsia" w:hAnsi="仿宋_GB2312" w:eastAsia="仿宋_GB2312" w:cs="仿宋_GB2312"/>
                              <w:sz w:val="28"/>
                              <w:szCs w:val="52"/>
                              <w:lang w:eastAsia="zh-CN"/>
                            </w:rPr>
                          </w:pPr>
                          <w:r>
                            <w:rPr>
                              <w:rFonts w:hint="eastAsia" w:hAnsi="仿宋_GB2312" w:cs="仿宋_GB2312"/>
                              <w:sz w:val="28"/>
                              <w:szCs w:val="52"/>
                              <w:lang w:eastAsia="zh-CN"/>
                            </w:rPr>
                            <w:t xml:space="preserve">— </w:t>
                          </w:r>
                          <w:r>
                            <w:rPr>
                              <w:rFonts w:hint="eastAsia" w:ascii="宋体" w:hAnsi="宋体" w:eastAsia="宋体" w:cs="宋体"/>
                              <w:sz w:val="28"/>
                              <w:szCs w:val="52"/>
                              <w:lang w:eastAsia="zh-CN"/>
                            </w:rPr>
                            <w:fldChar w:fldCharType="begin"/>
                          </w:r>
                          <w:r>
                            <w:rPr>
                              <w:rFonts w:hint="eastAsia" w:ascii="宋体" w:hAnsi="宋体" w:eastAsia="宋体" w:cs="宋体"/>
                              <w:sz w:val="28"/>
                              <w:szCs w:val="52"/>
                              <w:lang w:eastAsia="zh-CN"/>
                            </w:rPr>
                            <w:instrText xml:space="preserve"> PAGE  \* MERGEFORMAT </w:instrText>
                          </w:r>
                          <w:r>
                            <w:rPr>
                              <w:rFonts w:hint="eastAsia" w:ascii="宋体" w:hAnsi="宋体" w:eastAsia="宋体" w:cs="宋体"/>
                              <w:sz w:val="28"/>
                              <w:szCs w:val="52"/>
                              <w:lang w:eastAsia="zh-CN"/>
                            </w:rPr>
                            <w:fldChar w:fldCharType="separate"/>
                          </w:r>
                          <w:r>
                            <w:rPr>
                              <w:rFonts w:hint="eastAsia" w:ascii="宋体" w:hAnsi="宋体" w:eastAsia="宋体" w:cs="宋体"/>
                              <w:sz w:val="28"/>
                              <w:szCs w:val="52"/>
                              <w:lang w:eastAsia="zh-CN"/>
                            </w:rPr>
                            <w:t>22</w:t>
                          </w:r>
                          <w:r>
                            <w:rPr>
                              <w:rFonts w:hint="eastAsia" w:ascii="宋体" w:hAnsi="宋体" w:eastAsia="宋体" w:cs="宋体"/>
                              <w:sz w:val="28"/>
                              <w:szCs w:val="52"/>
                              <w:lang w:eastAsia="zh-CN"/>
                            </w:rPr>
                            <w:fldChar w:fldCharType="end"/>
                          </w:r>
                          <w:r>
                            <w:rPr>
                              <w:rFonts w:hint="eastAsia" w:ascii="宋体" w:hAnsi="宋体" w:eastAsia="宋体" w:cs="宋体"/>
                              <w:sz w:val="28"/>
                              <w:szCs w:val="52"/>
                              <w:lang w:eastAsia="zh-CN"/>
                            </w:rPr>
                            <w:t xml:space="preserve"> </w:t>
                          </w:r>
                          <w:r>
                            <w:rPr>
                              <w:rFonts w:hint="eastAsia" w:hAnsi="仿宋_GB2312" w:cs="仿宋_GB2312"/>
                              <w:sz w:val="28"/>
                              <w:szCs w:val="52"/>
                              <w:lang w:eastAsia="zh-CN"/>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Ct4qQ0VAgAAFQQAAA4AAAAAAAAA&#10;AQAgAAAAHwEAAGRycy9lMm9Eb2MueG1sUEsFBgAAAAAGAAYAWQEAAKYFAAAAAA==&#10;">
              <v:fill on="f" focussize="0,0"/>
              <v:stroke on="f" weight="0.5pt"/>
              <v:imagedata o:title=""/>
              <o:lock v:ext="edit" aspectratio="f"/>
              <v:textbox inset="0mm,0mm,0mm,0mm" style="mso-fit-shape-to-text:t;">
                <w:txbxContent>
                  <w:p>
                    <w:pPr>
                      <w:pStyle w:val="9"/>
                      <w:rPr>
                        <w:rFonts w:hint="eastAsia" w:hAnsi="仿宋_GB2312" w:eastAsia="仿宋_GB2312" w:cs="仿宋_GB2312"/>
                        <w:sz w:val="28"/>
                        <w:szCs w:val="52"/>
                        <w:lang w:eastAsia="zh-CN"/>
                      </w:rPr>
                    </w:pPr>
                    <w:r>
                      <w:rPr>
                        <w:rFonts w:hint="eastAsia" w:hAnsi="仿宋_GB2312" w:cs="仿宋_GB2312"/>
                        <w:sz w:val="28"/>
                        <w:szCs w:val="52"/>
                        <w:lang w:eastAsia="zh-CN"/>
                      </w:rPr>
                      <w:t xml:space="preserve">— </w:t>
                    </w:r>
                    <w:r>
                      <w:rPr>
                        <w:rFonts w:hint="eastAsia" w:ascii="宋体" w:hAnsi="宋体" w:eastAsia="宋体" w:cs="宋体"/>
                        <w:sz w:val="28"/>
                        <w:szCs w:val="52"/>
                        <w:lang w:eastAsia="zh-CN"/>
                      </w:rPr>
                      <w:fldChar w:fldCharType="begin"/>
                    </w:r>
                    <w:r>
                      <w:rPr>
                        <w:rFonts w:hint="eastAsia" w:ascii="宋体" w:hAnsi="宋体" w:eastAsia="宋体" w:cs="宋体"/>
                        <w:sz w:val="28"/>
                        <w:szCs w:val="52"/>
                        <w:lang w:eastAsia="zh-CN"/>
                      </w:rPr>
                      <w:instrText xml:space="preserve"> PAGE  \* MERGEFORMAT </w:instrText>
                    </w:r>
                    <w:r>
                      <w:rPr>
                        <w:rFonts w:hint="eastAsia" w:ascii="宋体" w:hAnsi="宋体" w:eastAsia="宋体" w:cs="宋体"/>
                        <w:sz w:val="28"/>
                        <w:szCs w:val="52"/>
                        <w:lang w:eastAsia="zh-CN"/>
                      </w:rPr>
                      <w:fldChar w:fldCharType="separate"/>
                    </w:r>
                    <w:r>
                      <w:rPr>
                        <w:rFonts w:hint="eastAsia" w:ascii="宋体" w:hAnsi="宋体" w:eastAsia="宋体" w:cs="宋体"/>
                        <w:sz w:val="28"/>
                        <w:szCs w:val="52"/>
                        <w:lang w:eastAsia="zh-CN"/>
                      </w:rPr>
                      <w:t>22</w:t>
                    </w:r>
                    <w:r>
                      <w:rPr>
                        <w:rFonts w:hint="eastAsia" w:ascii="宋体" w:hAnsi="宋体" w:eastAsia="宋体" w:cs="宋体"/>
                        <w:sz w:val="28"/>
                        <w:szCs w:val="52"/>
                        <w:lang w:eastAsia="zh-CN"/>
                      </w:rPr>
                      <w:fldChar w:fldCharType="end"/>
                    </w:r>
                    <w:r>
                      <w:rPr>
                        <w:rFonts w:hint="eastAsia" w:ascii="宋体" w:hAnsi="宋体" w:eastAsia="宋体" w:cs="宋体"/>
                        <w:sz w:val="28"/>
                        <w:szCs w:val="52"/>
                        <w:lang w:eastAsia="zh-CN"/>
                      </w:rPr>
                      <w:t xml:space="preserve"> </w:t>
                    </w:r>
                    <w:r>
                      <w:rPr>
                        <w:rFonts w:hint="eastAsia" w:hAnsi="仿宋_GB2312" w:cs="仿宋_GB2312"/>
                        <w:sz w:val="28"/>
                        <w:szCs w:val="52"/>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val="0"/>
  <w:bordersDoNotSurroundFooter w:val="0"/>
  <w:documentProtection w:enforcement="0"/>
  <w:defaultTabStop w:val="210"/>
  <w:drawingGridHorizontalSpacing w:val="160"/>
  <w:drawingGridVerticalSpacing w:val="435"/>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NlN2U0NTMzMjliOTViYTNiYTA4MGMxZmY1Njk5Y2MifQ=="/>
  </w:docVars>
  <w:rsids>
    <w:rsidRoot w:val="434273BF"/>
    <w:rsid w:val="000079FD"/>
    <w:rsid w:val="00011DE6"/>
    <w:rsid w:val="000267EE"/>
    <w:rsid w:val="00042469"/>
    <w:rsid w:val="00054691"/>
    <w:rsid w:val="000823DB"/>
    <w:rsid w:val="00087075"/>
    <w:rsid w:val="000A128B"/>
    <w:rsid w:val="0010576C"/>
    <w:rsid w:val="001116E4"/>
    <w:rsid w:val="00116E13"/>
    <w:rsid w:val="0016388F"/>
    <w:rsid w:val="00195624"/>
    <w:rsid w:val="00197778"/>
    <w:rsid w:val="001B308C"/>
    <w:rsid w:val="001C5D6A"/>
    <w:rsid w:val="001D228B"/>
    <w:rsid w:val="001F0C0B"/>
    <w:rsid w:val="001F255C"/>
    <w:rsid w:val="00243F37"/>
    <w:rsid w:val="00296DF5"/>
    <w:rsid w:val="002A2009"/>
    <w:rsid w:val="002D6056"/>
    <w:rsid w:val="0030054E"/>
    <w:rsid w:val="00363EA9"/>
    <w:rsid w:val="00364959"/>
    <w:rsid w:val="00396469"/>
    <w:rsid w:val="003C6663"/>
    <w:rsid w:val="003D30D3"/>
    <w:rsid w:val="00427DF5"/>
    <w:rsid w:val="004645C1"/>
    <w:rsid w:val="00470D4F"/>
    <w:rsid w:val="004B10A7"/>
    <w:rsid w:val="004E3C34"/>
    <w:rsid w:val="005029F4"/>
    <w:rsid w:val="0054320E"/>
    <w:rsid w:val="00576CE7"/>
    <w:rsid w:val="00662130"/>
    <w:rsid w:val="00664862"/>
    <w:rsid w:val="00666977"/>
    <w:rsid w:val="006A4B1F"/>
    <w:rsid w:val="00790892"/>
    <w:rsid w:val="007B51A0"/>
    <w:rsid w:val="007C2B9E"/>
    <w:rsid w:val="0082429C"/>
    <w:rsid w:val="00834820"/>
    <w:rsid w:val="00847E30"/>
    <w:rsid w:val="008626F5"/>
    <w:rsid w:val="00874704"/>
    <w:rsid w:val="00875355"/>
    <w:rsid w:val="00883652"/>
    <w:rsid w:val="008C54F5"/>
    <w:rsid w:val="008F6084"/>
    <w:rsid w:val="00940970"/>
    <w:rsid w:val="009853D9"/>
    <w:rsid w:val="00997F8B"/>
    <w:rsid w:val="009B4F39"/>
    <w:rsid w:val="00A07240"/>
    <w:rsid w:val="00A1023D"/>
    <w:rsid w:val="00A1395C"/>
    <w:rsid w:val="00A54C1C"/>
    <w:rsid w:val="00AC3A2F"/>
    <w:rsid w:val="00B00942"/>
    <w:rsid w:val="00B20310"/>
    <w:rsid w:val="00B40960"/>
    <w:rsid w:val="00B813A5"/>
    <w:rsid w:val="00BB0624"/>
    <w:rsid w:val="00BC7730"/>
    <w:rsid w:val="00BD6941"/>
    <w:rsid w:val="00C01202"/>
    <w:rsid w:val="00C16485"/>
    <w:rsid w:val="00C71E79"/>
    <w:rsid w:val="00C778F5"/>
    <w:rsid w:val="00D105BE"/>
    <w:rsid w:val="00D342C9"/>
    <w:rsid w:val="00D816FA"/>
    <w:rsid w:val="00DB598C"/>
    <w:rsid w:val="00DC73A9"/>
    <w:rsid w:val="00DC79AF"/>
    <w:rsid w:val="00DF347F"/>
    <w:rsid w:val="00E8251E"/>
    <w:rsid w:val="00EF2069"/>
    <w:rsid w:val="00F62A06"/>
    <w:rsid w:val="00FB3D22"/>
    <w:rsid w:val="00FF79E7"/>
    <w:rsid w:val="01B917EA"/>
    <w:rsid w:val="02831F2A"/>
    <w:rsid w:val="02E1151B"/>
    <w:rsid w:val="030722A7"/>
    <w:rsid w:val="0345496C"/>
    <w:rsid w:val="03635A35"/>
    <w:rsid w:val="03B07D63"/>
    <w:rsid w:val="03B22EB7"/>
    <w:rsid w:val="040855A3"/>
    <w:rsid w:val="05340125"/>
    <w:rsid w:val="05705C6D"/>
    <w:rsid w:val="0571055A"/>
    <w:rsid w:val="05D06D0F"/>
    <w:rsid w:val="05EC0F16"/>
    <w:rsid w:val="061171B2"/>
    <w:rsid w:val="063850B3"/>
    <w:rsid w:val="066A77C7"/>
    <w:rsid w:val="06CA0EAB"/>
    <w:rsid w:val="07830D66"/>
    <w:rsid w:val="078B4FC0"/>
    <w:rsid w:val="078C5AC7"/>
    <w:rsid w:val="078D2BB4"/>
    <w:rsid w:val="079F1851"/>
    <w:rsid w:val="07B6476C"/>
    <w:rsid w:val="07D34693"/>
    <w:rsid w:val="08380EBB"/>
    <w:rsid w:val="08A01F9F"/>
    <w:rsid w:val="09814AE6"/>
    <w:rsid w:val="09D644CF"/>
    <w:rsid w:val="0A1B3D1D"/>
    <w:rsid w:val="0A230D91"/>
    <w:rsid w:val="0A4233F4"/>
    <w:rsid w:val="0A8A3A17"/>
    <w:rsid w:val="0ACC0D02"/>
    <w:rsid w:val="0B0F14B6"/>
    <w:rsid w:val="0B772339"/>
    <w:rsid w:val="0B8C72B8"/>
    <w:rsid w:val="0B9A1D23"/>
    <w:rsid w:val="0BBFDD9D"/>
    <w:rsid w:val="0C1F7D73"/>
    <w:rsid w:val="0C7FA24A"/>
    <w:rsid w:val="0C9249EA"/>
    <w:rsid w:val="0D6018CE"/>
    <w:rsid w:val="0D6E2866"/>
    <w:rsid w:val="0D8B57AA"/>
    <w:rsid w:val="0D9D0734"/>
    <w:rsid w:val="0E4B28DC"/>
    <w:rsid w:val="0F2A6F59"/>
    <w:rsid w:val="0F584BC7"/>
    <w:rsid w:val="0F657030"/>
    <w:rsid w:val="0F915896"/>
    <w:rsid w:val="0F9630CB"/>
    <w:rsid w:val="0FE60D9C"/>
    <w:rsid w:val="103E13C1"/>
    <w:rsid w:val="108036EF"/>
    <w:rsid w:val="109B53FF"/>
    <w:rsid w:val="10A52D99"/>
    <w:rsid w:val="10B96AD2"/>
    <w:rsid w:val="10F20FA8"/>
    <w:rsid w:val="114E2471"/>
    <w:rsid w:val="115E0F93"/>
    <w:rsid w:val="11732D6B"/>
    <w:rsid w:val="11DC0C50"/>
    <w:rsid w:val="12486E6E"/>
    <w:rsid w:val="12790B2F"/>
    <w:rsid w:val="12D3376D"/>
    <w:rsid w:val="12D456EB"/>
    <w:rsid w:val="12FE0C5C"/>
    <w:rsid w:val="13392CAD"/>
    <w:rsid w:val="138D2E3A"/>
    <w:rsid w:val="13A82E11"/>
    <w:rsid w:val="13D824C6"/>
    <w:rsid w:val="14703FAC"/>
    <w:rsid w:val="14911751"/>
    <w:rsid w:val="14CB11FC"/>
    <w:rsid w:val="14FB46BE"/>
    <w:rsid w:val="1537141C"/>
    <w:rsid w:val="15F3E7AD"/>
    <w:rsid w:val="16300EF8"/>
    <w:rsid w:val="16783AEC"/>
    <w:rsid w:val="16FE5121"/>
    <w:rsid w:val="17365E81"/>
    <w:rsid w:val="173FA204"/>
    <w:rsid w:val="17506897"/>
    <w:rsid w:val="179F248A"/>
    <w:rsid w:val="17FC7322"/>
    <w:rsid w:val="18162780"/>
    <w:rsid w:val="18327098"/>
    <w:rsid w:val="184B45D6"/>
    <w:rsid w:val="18AE634F"/>
    <w:rsid w:val="19494402"/>
    <w:rsid w:val="19980FE5"/>
    <w:rsid w:val="19E06448"/>
    <w:rsid w:val="19FC2EB6"/>
    <w:rsid w:val="1A5F0956"/>
    <w:rsid w:val="1A6E3FA5"/>
    <w:rsid w:val="1A7F16A4"/>
    <w:rsid w:val="1ABF4ABD"/>
    <w:rsid w:val="1B652F64"/>
    <w:rsid w:val="1B852E14"/>
    <w:rsid w:val="1B920890"/>
    <w:rsid w:val="1BBFCF31"/>
    <w:rsid w:val="1BD47A17"/>
    <w:rsid w:val="1BF14AF5"/>
    <w:rsid w:val="1C54AE95"/>
    <w:rsid w:val="1C78769D"/>
    <w:rsid w:val="1CBFBFD3"/>
    <w:rsid w:val="1CCFB9A5"/>
    <w:rsid w:val="1CEB9709"/>
    <w:rsid w:val="1D4E2BC6"/>
    <w:rsid w:val="1DDB656C"/>
    <w:rsid w:val="1DDE692B"/>
    <w:rsid w:val="1E636E30"/>
    <w:rsid w:val="1E7B1E87"/>
    <w:rsid w:val="1E976F9F"/>
    <w:rsid w:val="1EBF7455"/>
    <w:rsid w:val="1ED03678"/>
    <w:rsid w:val="1EE45D3E"/>
    <w:rsid w:val="1EF55BA9"/>
    <w:rsid w:val="1F395DF1"/>
    <w:rsid w:val="1F7B3B63"/>
    <w:rsid w:val="1FA0360B"/>
    <w:rsid w:val="1FB11FE9"/>
    <w:rsid w:val="1FB26731"/>
    <w:rsid w:val="1FB71B4E"/>
    <w:rsid w:val="1FB726A9"/>
    <w:rsid w:val="1FD85EFD"/>
    <w:rsid w:val="1FE346CD"/>
    <w:rsid w:val="1FF317CF"/>
    <w:rsid w:val="20612B98"/>
    <w:rsid w:val="207F6662"/>
    <w:rsid w:val="21076199"/>
    <w:rsid w:val="21244F9D"/>
    <w:rsid w:val="214F4B21"/>
    <w:rsid w:val="21671A95"/>
    <w:rsid w:val="21763574"/>
    <w:rsid w:val="218B2DB2"/>
    <w:rsid w:val="21B20C11"/>
    <w:rsid w:val="21BF132A"/>
    <w:rsid w:val="229D0983"/>
    <w:rsid w:val="22A96A0B"/>
    <w:rsid w:val="22FC586E"/>
    <w:rsid w:val="231D1CA3"/>
    <w:rsid w:val="235201DB"/>
    <w:rsid w:val="23881B8F"/>
    <w:rsid w:val="23AE5F0C"/>
    <w:rsid w:val="23BC326A"/>
    <w:rsid w:val="23DF51AB"/>
    <w:rsid w:val="241A6EF1"/>
    <w:rsid w:val="257F70E3"/>
    <w:rsid w:val="25DE47CD"/>
    <w:rsid w:val="25F903A3"/>
    <w:rsid w:val="25F9478F"/>
    <w:rsid w:val="25FC52FE"/>
    <w:rsid w:val="260010E6"/>
    <w:rsid w:val="260D5FFF"/>
    <w:rsid w:val="2628108B"/>
    <w:rsid w:val="266115D4"/>
    <w:rsid w:val="26805B0E"/>
    <w:rsid w:val="26F03C7F"/>
    <w:rsid w:val="272C4227"/>
    <w:rsid w:val="27796564"/>
    <w:rsid w:val="28825A3A"/>
    <w:rsid w:val="288E1200"/>
    <w:rsid w:val="28C64E12"/>
    <w:rsid w:val="28CC49BF"/>
    <w:rsid w:val="28D92F3B"/>
    <w:rsid w:val="28EB576B"/>
    <w:rsid w:val="293207E3"/>
    <w:rsid w:val="295D0262"/>
    <w:rsid w:val="29626662"/>
    <w:rsid w:val="29EC7516"/>
    <w:rsid w:val="2A247786"/>
    <w:rsid w:val="2AA3643C"/>
    <w:rsid w:val="2ABFE49C"/>
    <w:rsid w:val="2B2F6864"/>
    <w:rsid w:val="2B420221"/>
    <w:rsid w:val="2B94D052"/>
    <w:rsid w:val="2BE65782"/>
    <w:rsid w:val="2BFE36B7"/>
    <w:rsid w:val="2BFFE83C"/>
    <w:rsid w:val="2C79671E"/>
    <w:rsid w:val="2D510058"/>
    <w:rsid w:val="2D5C489B"/>
    <w:rsid w:val="2D9F77DC"/>
    <w:rsid w:val="2E3A0C61"/>
    <w:rsid w:val="2EC6490F"/>
    <w:rsid w:val="2F0D60E9"/>
    <w:rsid w:val="2F176D63"/>
    <w:rsid w:val="2F295278"/>
    <w:rsid w:val="2F75262A"/>
    <w:rsid w:val="2F870AC7"/>
    <w:rsid w:val="2F9B467C"/>
    <w:rsid w:val="2FA59C49"/>
    <w:rsid w:val="2FBB265E"/>
    <w:rsid w:val="304D6EF3"/>
    <w:rsid w:val="305D5EC4"/>
    <w:rsid w:val="30751494"/>
    <w:rsid w:val="30907DDB"/>
    <w:rsid w:val="317E6003"/>
    <w:rsid w:val="320209E2"/>
    <w:rsid w:val="32056724"/>
    <w:rsid w:val="322C3CB1"/>
    <w:rsid w:val="32783D43"/>
    <w:rsid w:val="3279A1C5"/>
    <w:rsid w:val="32AC31AB"/>
    <w:rsid w:val="32F96AB8"/>
    <w:rsid w:val="33D1EF96"/>
    <w:rsid w:val="33EF1FA3"/>
    <w:rsid w:val="3435D05E"/>
    <w:rsid w:val="34474DD2"/>
    <w:rsid w:val="345377BC"/>
    <w:rsid w:val="34606D2A"/>
    <w:rsid w:val="34745C81"/>
    <w:rsid w:val="34F52122"/>
    <w:rsid w:val="34FF6CEF"/>
    <w:rsid w:val="35553EDD"/>
    <w:rsid w:val="358F2901"/>
    <w:rsid w:val="35A636BB"/>
    <w:rsid w:val="35AF154A"/>
    <w:rsid w:val="35B84175"/>
    <w:rsid w:val="35C17001"/>
    <w:rsid w:val="35EC2C9E"/>
    <w:rsid w:val="35F35E58"/>
    <w:rsid w:val="36A04C6E"/>
    <w:rsid w:val="36A20670"/>
    <w:rsid w:val="36AEB00F"/>
    <w:rsid w:val="36BE6CC9"/>
    <w:rsid w:val="36ED460C"/>
    <w:rsid w:val="36ED4C04"/>
    <w:rsid w:val="370228E2"/>
    <w:rsid w:val="370C40B1"/>
    <w:rsid w:val="3717B1BE"/>
    <w:rsid w:val="379E0B37"/>
    <w:rsid w:val="37BBFAC4"/>
    <w:rsid w:val="37BF401C"/>
    <w:rsid w:val="37C52BDE"/>
    <w:rsid w:val="37EDFA07"/>
    <w:rsid w:val="37F900F1"/>
    <w:rsid w:val="387021C9"/>
    <w:rsid w:val="38A90B38"/>
    <w:rsid w:val="38F72B20"/>
    <w:rsid w:val="395104A6"/>
    <w:rsid w:val="397650B7"/>
    <w:rsid w:val="397D794D"/>
    <w:rsid w:val="39A22639"/>
    <w:rsid w:val="39BE56FB"/>
    <w:rsid w:val="39BFCBA7"/>
    <w:rsid w:val="3A1D74C9"/>
    <w:rsid w:val="3A35792A"/>
    <w:rsid w:val="3A8B1C8E"/>
    <w:rsid w:val="3AFDE9DD"/>
    <w:rsid w:val="3B190B4B"/>
    <w:rsid w:val="3B505152"/>
    <w:rsid w:val="3B59087C"/>
    <w:rsid w:val="3B5E0265"/>
    <w:rsid w:val="3B7E0FBC"/>
    <w:rsid w:val="3B9644D7"/>
    <w:rsid w:val="3BB61D87"/>
    <w:rsid w:val="3BC431AC"/>
    <w:rsid w:val="3BDF6197"/>
    <w:rsid w:val="3BE9B805"/>
    <w:rsid w:val="3BE9BC43"/>
    <w:rsid w:val="3BFF7FA8"/>
    <w:rsid w:val="3CC2711D"/>
    <w:rsid w:val="3CE71704"/>
    <w:rsid w:val="3D204412"/>
    <w:rsid w:val="3D79123B"/>
    <w:rsid w:val="3D9DB139"/>
    <w:rsid w:val="3DAA4D4F"/>
    <w:rsid w:val="3DC24BC8"/>
    <w:rsid w:val="3DF380BE"/>
    <w:rsid w:val="3DFE9728"/>
    <w:rsid w:val="3E4417F4"/>
    <w:rsid w:val="3E5DD44C"/>
    <w:rsid w:val="3EDC080D"/>
    <w:rsid w:val="3EEA3504"/>
    <w:rsid w:val="3EFFD67C"/>
    <w:rsid w:val="3F147B19"/>
    <w:rsid w:val="3F2F1EE7"/>
    <w:rsid w:val="3F32606D"/>
    <w:rsid w:val="3F3FBD8B"/>
    <w:rsid w:val="3F4F08A9"/>
    <w:rsid w:val="3F6D512E"/>
    <w:rsid w:val="3F7B062E"/>
    <w:rsid w:val="3F7CA472"/>
    <w:rsid w:val="3FA79930"/>
    <w:rsid w:val="3FBCCC08"/>
    <w:rsid w:val="3FD7873B"/>
    <w:rsid w:val="3FDE26C3"/>
    <w:rsid w:val="3FEBA160"/>
    <w:rsid w:val="3FFCE24E"/>
    <w:rsid w:val="3FFEA808"/>
    <w:rsid w:val="3FFF0157"/>
    <w:rsid w:val="3FFFEA2B"/>
    <w:rsid w:val="40101B06"/>
    <w:rsid w:val="409A5F7E"/>
    <w:rsid w:val="40BA2994"/>
    <w:rsid w:val="40BF2194"/>
    <w:rsid w:val="40E1121F"/>
    <w:rsid w:val="40E223E2"/>
    <w:rsid w:val="40E85247"/>
    <w:rsid w:val="41CD253B"/>
    <w:rsid w:val="41EE4969"/>
    <w:rsid w:val="42301AEE"/>
    <w:rsid w:val="42903DE8"/>
    <w:rsid w:val="42A3141C"/>
    <w:rsid w:val="42E54481"/>
    <w:rsid w:val="431C58C9"/>
    <w:rsid w:val="434273BF"/>
    <w:rsid w:val="43D85A47"/>
    <w:rsid w:val="441D6B40"/>
    <w:rsid w:val="445B0426"/>
    <w:rsid w:val="44633C36"/>
    <w:rsid w:val="44643495"/>
    <w:rsid w:val="44801C3A"/>
    <w:rsid w:val="44AC4A7D"/>
    <w:rsid w:val="44BE2B34"/>
    <w:rsid w:val="4573786E"/>
    <w:rsid w:val="45865884"/>
    <w:rsid w:val="458C0701"/>
    <w:rsid w:val="462C220A"/>
    <w:rsid w:val="464C5450"/>
    <w:rsid w:val="46A96BD1"/>
    <w:rsid w:val="46C30812"/>
    <w:rsid w:val="46DB61A2"/>
    <w:rsid w:val="46F86F5A"/>
    <w:rsid w:val="47331672"/>
    <w:rsid w:val="47956099"/>
    <w:rsid w:val="499F5F27"/>
    <w:rsid w:val="49A94059"/>
    <w:rsid w:val="4A285C5E"/>
    <w:rsid w:val="4A465983"/>
    <w:rsid w:val="4A6F4C2B"/>
    <w:rsid w:val="4A810B52"/>
    <w:rsid w:val="4AA41424"/>
    <w:rsid w:val="4AA46CAA"/>
    <w:rsid w:val="4AC13378"/>
    <w:rsid w:val="4AE71A44"/>
    <w:rsid w:val="4AF64A5E"/>
    <w:rsid w:val="4B354A87"/>
    <w:rsid w:val="4B4E2714"/>
    <w:rsid w:val="4BAAA2EB"/>
    <w:rsid w:val="4BFF5D97"/>
    <w:rsid w:val="4BFFAF21"/>
    <w:rsid w:val="4C2F1196"/>
    <w:rsid w:val="4C59550F"/>
    <w:rsid w:val="4C873287"/>
    <w:rsid w:val="4CE42FDA"/>
    <w:rsid w:val="4D2B0742"/>
    <w:rsid w:val="4D477799"/>
    <w:rsid w:val="4D4E6D7A"/>
    <w:rsid w:val="4D721DFF"/>
    <w:rsid w:val="4D7560B4"/>
    <w:rsid w:val="4DB60741"/>
    <w:rsid w:val="4DB90697"/>
    <w:rsid w:val="4DF13370"/>
    <w:rsid w:val="4DFEA219"/>
    <w:rsid w:val="4E34316A"/>
    <w:rsid w:val="4E61488B"/>
    <w:rsid w:val="4EEB3535"/>
    <w:rsid w:val="4F0E0006"/>
    <w:rsid w:val="4F343D4D"/>
    <w:rsid w:val="4F4EAAFE"/>
    <w:rsid w:val="4F6FE0FD"/>
    <w:rsid w:val="4FF74829"/>
    <w:rsid w:val="51B43739"/>
    <w:rsid w:val="51EC1D4E"/>
    <w:rsid w:val="521F4315"/>
    <w:rsid w:val="523936FE"/>
    <w:rsid w:val="52481FEA"/>
    <w:rsid w:val="527C7EE5"/>
    <w:rsid w:val="527E5A0B"/>
    <w:rsid w:val="52FB4AC9"/>
    <w:rsid w:val="53F73CC7"/>
    <w:rsid w:val="545F7D8C"/>
    <w:rsid w:val="54716328"/>
    <w:rsid w:val="5473656F"/>
    <w:rsid w:val="549D090E"/>
    <w:rsid w:val="54D51B2F"/>
    <w:rsid w:val="55364A12"/>
    <w:rsid w:val="554E0AEE"/>
    <w:rsid w:val="5559450E"/>
    <w:rsid w:val="556C25DB"/>
    <w:rsid w:val="55E02539"/>
    <w:rsid w:val="568B6949"/>
    <w:rsid w:val="56BD98A0"/>
    <w:rsid w:val="56FC6386"/>
    <w:rsid w:val="572C30B3"/>
    <w:rsid w:val="57336347"/>
    <w:rsid w:val="574822A2"/>
    <w:rsid w:val="575B27BF"/>
    <w:rsid w:val="57652258"/>
    <w:rsid w:val="5775C404"/>
    <w:rsid w:val="57A719EC"/>
    <w:rsid w:val="57EDEFFD"/>
    <w:rsid w:val="57FD6A29"/>
    <w:rsid w:val="57FF4E4E"/>
    <w:rsid w:val="580D056C"/>
    <w:rsid w:val="5816162B"/>
    <w:rsid w:val="58B73032"/>
    <w:rsid w:val="596050E9"/>
    <w:rsid w:val="59851D75"/>
    <w:rsid w:val="599D8818"/>
    <w:rsid w:val="59CD42B5"/>
    <w:rsid w:val="59EF23E7"/>
    <w:rsid w:val="5A094754"/>
    <w:rsid w:val="5A4743EE"/>
    <w:rsid w:val="5A4A6D22"/>
    <w:rsid w:val="5A66425B"/>
    <w:rsid w:val="5A67714E"/>
    <w:rsid w:val="5A97296A"/>
    <w:rsid w:val="5B6DC52F"/>
    <w:rsid w:val="5BD2A944"/>
    <w:rsid w:val="5BFED2C0"/>
    <w:rsid w:val="5C00780E"/>
    <w:rsid w:val="5C5C149A"/>
    <w:rsid w:val="5C5C7A7B"/>
    <w:rsid w:val="5C7B0518"/>
    <w:rsid w:val="5D0D1DFB"/>
    <w:rsid w:val="5D7F85EF"/>
    <w:rsid w:val="5D7F97C1"/>
    <w:rsid w:val="5D9A5CD2"/>
    <w:rsid w:val="5DA7C21F"/>
    <w:rsid w:val="5DB46785"/>
    <w:rsid w:val="5DE9AE53"/>
    <w:rsid w:val="5DFB392D"/>
    <w:rsid w:val="5E0A273D"/>
    <w:rsid w:val="5E111E29"/>
    <w:rsid w:val="5E3551EB"/>
    <w:rsid w:val="5E7BE289"/>
    <w:rsid w:val="5E872DBF"/>
    <w:rsid w:val="5E9D0CFD"/>
    <w:rsid w:val="5EB1232F"/>
    <w:rsid w:val="5EFFDC5D"/>
    <w:rsid w:val="5F7622C5"/>
    <w:rsid w:val="5F890BF0"/>
    <w:rsid w:val="5FCBFAEA"/>
    <w:rsid w:val="5FDB5A31"/>
    <w:rsid w:val="5FF8C651"/>
    <w:rsid w:val="5FFC06CD"/>
    <w:rsid w:val="5FFF7270"/>
    <w:rsid w:val="606D70BF"/>
    <w:rsid w:val="607A7AC4"/>
    <w:rsid w:val="607F65B0"/>
    <w:rsid w:val="60923254"/>
    <w:rsid w:val="60B61F2E"/>
    <w:rsid w:val="60D24642"/>
    <w:rsid w:val="60DF1D6B"/>
    <w:rsid w:val="61777E12"/>
    <w:rsid w:val="61D374C1"/>
    <w:rsid w:val="61ED04B8"/>
    <w:rsid w:val="6232377A"/>
    <w:rsid w:val="623B2016"/>
    <w:rsid w:val="62A639DD"/>
    <w:rsid w:val="62AF1C11"/>
    <w:rsid w:val="62E245F3"/>
    <w:rsid w:val="63652050"/>
    <w:rsid w:val="63779AC0"/>
    <w:rsid w:val="637F6033"/>
    <w:rsid w:val="63D0384B"/>
    <w:rsid w:val="63E14D19"/>
    <w:rsid w:val="640C36BC"/>
    <w:rsid w:val="64105ACE"/>
    <w:rsid w:val="641E2E62"/>
    <w:rsid w:val="64277DF9"/>
    <w:rsid w:val="65E38DED"/>
    <w:rsid w:val="660B41E1"/>
    <w:rsid w:val="66231405"/>
    <w:rsid w:val="6677929A"/>
    <w:rsid w:val="66906DD7"/>
    <w:rsid w:val="66A6332B"/>
    <w:rsid w:val="66D32372"/>
    <w:rsid w:val="66FF8802"/>
    <w:rsid w:val="66FFAA0B"/>
    <w:rsid w:val="677B09B4"/>
    <w:rsid w:val="677C267F"/>
    <w:rsid w:val="678673E4"/>
    <w:rsid w:val="67B77BE1"/>
    <w:rsid w:val="67DDEEA6"/>
    <w:rsid w:val="67EFDE09"/>
    <w:rsid w:val="67FF80A3"/>
    <w:rsid w:val="68242AF9"/>
    <w:rsid w:val="683F2313"/>
    <w:rsid w:val="68BB1ED6"/>
    <w:rsid w:val="68D24753"/>
    <w:rsid w:val="68D50677"/>
    <w:rsid w:val="68E025C7"/>
    <w:rsid w:val="69107239"/>
    <w:rsid w:val="693635BC"/>
    <w:rsid w:val="69556717"/>
    <w:rsid w:val="69740B25"/>
    <w:rsid w:val="697DCCDA"/>
    <w:rsid w:val="697FBA69"/>
    <w:rsid w:val="69AA14E3"/>
    <w:rsid w:val="69B670E9"/>
    <w:rsid w:val="69D6678F"/>
    <w:rsid w:val="69F20553"/>
    <w:rsid w:val="6A783752"/>
    <w:rsid w:val="6AC3166D"/>
    <w:rsid w:val="6B0369D3"/>
    <w:rsid w:val="6B3538CA"/>
    <w:rsid w:val="6B573410"/>
    <w:rsid w:val="6B62B8E8"/>
    <w:rsid w:val="6B6D1BB5"/>
    <w:rsid w:val="6BA359DC"/>
    <w:rsid w:val="6BDB53EF"/>
    <w:rsid w:val="6C1B20C5"/>
    <w:rsid w:val="6C7E8083"/>
    <w:rsid w:val="6C8B3195"/>
    <w:rsid w:val="6CAD7B59"/>
    <w:rsid w:val="6CB40B34"/>
    <w:rsid w:val="6CB74F6C"/>
    <w:rsid w:val="6CB914B7"/>
    <w:rsid w:val="6CC22E75"/>
    <w:rsid w:val="6CCF5816"/>
    <w:rsid w:val="6D08765F"/>
    <w:rsid w:val="6D153546"/>
    <w:rsid w:val="6D522355"/>
    <w:rsid w:val="6D5A163B"/>
    <w:rsid w:val="6DBBA7CB"/>
    <w:rsid w:val="6DCF4F15"/>
    <w:rsid w:val="6E072901"/>
    <w:rsid w:val="6E38548F"/>
    <w:rsid w:val="6E4753F3"/>
    <w:rsid w:val="6E5F72AB"/>
    <w:rsid w:val="6E7F6C13"/>
    <w:rsid w:val="6E8F363D"/>
    <w:rsid w:val="6EA16706"/>
    <w:rsid w:val="6EAA26A1"/>
    <w:rsid w:val="6EFEC943"/>
    <w:rsid w:val="6EFF1611"/>
    <w:rsid w:val="6F23EB1C"/>
    <w:rsid w:val="6F35614B"/>
    <w:rsid w:val="6F719B3A"/>
    <w:rsid w:val="6F7E34AF"/>
    <w:rsid w:val="6F7E62B8"/>
    <w:rsid w:val="6F9E5E21"/>
    <w:rsid w:val="6FB33ED4"/>
    <w:rsid w:val="6FB65322"/>
    <w:rsid w:val="6FBBAC85"/>
    <w:rsid w:val="6FBF7C11"/>
    <w:rsid w:val="6FBF8490"/>
    <w:rsid w:val="6FCED239"/>
    <w:rsid w:val="6FDE58E3"/>
    <w:rsid w:val="6FDF9A8E"/>
    <w:rsid w:val="6FEB8A9C"/>
    <w:rsid w:val="6FF638D0"/>
    <w:rsid w:val="6FFB5791"/>
    <w:rsid w:val="6FFD34D6"/>
    <w:rsid w:val="6FFFCABB"/>
    <w:rsid w:val="700101BD"/>
    <w:rsid w:val="70343755"/>
    <w:rsid w:val="707F7BFF"/>
    <w:rsid w:val="70857CAE"/>
    <w:rsid w:val="70C1148D"/>
    <w:rsid w:val="70C12400"/>
    <w:rsid w:val="70F04121"/>
    <w:rsid w:val="717800BE"/>
    <w:rsid w:val="718D7113"/>
    <w:rsid w:val="71A97EC5"/>
    <w:rsid w:val="71B318D6"/>
    <w:rsid w:val="726B7379"/>
    <w:rsid w:val="727F0544"/>
    <w:rsid w:val="729E94D3"/>
    <w:rsid w:val="72A15613"/>
    <w:rsid w:val="72AB3693"/>
    <w:rsid w:val="72D03C09"/>
    <w:rsid w:val="72EF62F8"/>
    <w:rsid w:val="735419C9"/>
    <w:rsid w:val="738860A3"/>
    <w:rsid w:val="738B7B30"/>
    <w:rsid w:val="739E43C4"/>
    <w:rsid w:val="73A78D8D"/>
    <w:rsid w:val="73AD02FA"/>
    <w:rsid w:val="73B363D0"/>
    <w:rsid w:val="73ED2855"/>
    <w:rsid w:val="73F3A427"/>
    <w:rsid w:val="73FE1BEB"/>
    <w:rsid w:val="7460492F"/>
    <w:rsid w:val="746B6506"/>
    <w:rsid w:val="74D61F1F"/>
    <w:rsid w:val="74DF6351"/>
    <w:rsid w:val="74F66B71"/>
    <w:rsid w:val="74F83D14"/>
    <w:rsid w:val="75142E50"/>
    <w:rsid w:val="755F9276"/>
    <w:rsid w:val="757BAB3E"/>
    <w:rsid w:val="75C13578"/>
    <w:rsid w:val="75CDE9E8"/>
    <w:rsid w:val="75CF682A"/>
    <w:rsid w:val="75D730EC"/>
    <w:rsid w:val="75F94873"/>
    <w:rsid w:val="75FE67FC"/>
    <w:rsid w:val="76177544"/>
    <w:rsid w:val="767E7FDA"/>
    <w:rsid w:val="76DB5874"/>
    <w:rsid w:val="76DFBAF9"/>
    <w:rsid w:val="76EB0C80"/>
    <w:rsid w:val="76FB1484"/>
    <w:rsid w:val="770A5210"/>
    <w:rsid w:val="77570164"/>
    <w:rsid w:val="775C0FC8"/>
    <w:rsid w:val="775FA33D"/>
    <w:rsid w:val="7767AE43"/>
    <w:rsid w:val="776B423D"/>
    <w:rsid w:val="776E19CF"/>
    <w:rsid w:val="777F33AD"/>
    <w:rsid w:val="777F5964"/>
    <w:rsid w:val="7798728F"/>
    <w:rsid w:val="779F448B"/>
    <w:rsid w:val="77BFE2AC"/>
    <w:rsid w:val="77CA087F"/>
    <w:rsid w:val="77DF6599"/>
    <w:rsid w:val="77E79B13"/>
    <w:rsid w:val="77EF16F6"/>
    <w:rsid w:val="77FF11B1"/>
    <w:rsid w:val="78F62BF3"/>
    <w:rsid w:val="794A7153"/>
    <w:rsid w:val="794B09FB"/>
    <w:rsid w:val="79BFE624"/>
    <w:rsid w:val="79DE0293"/>
    <w:rsid w:val="79E8C95A"/>
    <w:rsid w:val="79F34B34"/>
    <w:rsid w:val="79FBDD35"/>
    <w:rsid w:val="7A1431B0"/>
    <w:rsid w:val="7A19437A"/>
    <w:rsid w:val="7A3F6F72"/>
    <w:rsid w:val="7A647F6E"/>
    <w:rsid w:val="7A7DF838"/>
    <w:rsid w:val="7ABB6340"/>
    <w:rsid w:val="7AD4438F"/>
    <w:rsid w:val="7AF73D4F"/>
    <w:rsid w:val="7AF9E77A"/>
    <w:rsid w:val="7B1A28EC"/>
    <w:rsid w:val="7B4F2D68"/>
    <w:rsid w:val="7B6543C3"/>
    <w:rsid w:val="7B7A38F6"/>
    <w:rsid w:val="7B93C42E"/>
    <w:rsid w:val="7BBB9961"/>
    <w:rsid w:val="7BD5A130"/>
    <w:rsid w:val="7BDE0A04"/>
    <w:rsid w:val="7BEFE058"/>
    <w:rsid w:val="7BF92AEB"/>
    <w:rsid w:val="7BFB0E64"/>
    <w:rsid w:val="7BFD3520"/>
    <w:rsid w:val="7BFDFD5D"/>
    <w:rsid w:val="7BFE92E2"/>
    <w:rsid w:val="7BFF2BF5"/>
    <w:rsid w:val="7C07177B"/>
    <w:rsid w:val="7C224DAA"/>
    <w:rsid w:val="7C3FAB20"/>
    <w:rsid w:val="7C4DF7B5"/>
    <w:rsid w:val="7C7910EB"/>
    <w:rsid w:val="7CA53BB0"/>
    <w:rsid w:val="7CAA2CB8"/>
    <w:rsid w:val="7CBF0517"/>
    <w:rsid w:val="7CDF5DC5"/>
    <w:rsid w:val="7CEDF794"/>
    <w:rsid w:val="7CEF4E62"/>
    <w:rsid w:val="7D3E76CC"/>
    <w:rsid w:val="7D4F0953"/>
    <w:rsid w:val="7D759690"/>
    <w:rsid w:val="7D771AD9"/>
    <w:rsid w:val="7D7DB795"/>
    <w:rsid w:val="7D952B03"/>
    <w:rsid w:val="7DB04455"/>
    <w:rsid w:val="7DCD1A06"/>
    <w:rsid w:val="7DD27FD7"/>
    <w:rsid w:val="7DD765E9"/>
    <w:rsid w:val="7DDD3F1F"/>
    <w:rsid w:val="7DDEE9F4"/>
    <w:rsid w:val="7DE2CDC4"/>
    <w:rsid w:val="7DED22BE"/>
    <w:rsid w:val="7DEE5AF9"/>
    <w:rsid w:val="7DF650AE"/>
    <w:rsid w:val="7DF7FE2D"/>
    <w:rsid w:val="7DFA4000"/>
    <w:rsid w:val="7DFA501C"/>
    <w:rsid w:val="7DFAEEDE"/>
    <w:rsid w:val="7DFBA267"/>
    <w:rsid w:val="7DFF1EB7"/>
    <w:rsid w:val="7DFF35E2"/>
    <w:rsid w:val="7E4674E9"/>
    <w:rsid w:val="7E5E3EC2"/>
    <w:rsid w:val="7E656131"/>
    <w:rsid w:val="7E6C3F25"/>
    <w:rsid w:val="7E93AE9B"/>
    <w:rsid w:val="7E97FAD2"/>
    <w:rsid w:val="7E9930CE"/>
    <w:rsid w:val="7E9CDAE5"/>
    <w:rsid w:val="7E9E7641"/>
    <w:rsid w:val="7E9F7305"/>
    <w:rsid w:val="7EBF5A90"/>
    <w:rsid w:val="7ECF4ADC"/>
    <w:rsid w:val="7EDF5A29"/>
    <w:rsid w:val="7EEB3A0D"/>
    <w:rsid w:val="7EEDEA0E"/>
    <w:rsid w:val="7EEE87EC"/>
    <w:rsid w:val="7EFBE083"/>
    <w:rsid w:val="7EFD1496"/>
    <w:rsid w:val="7F0316FD"/>
    <w:rsid w:val="7F2FF8A5"/>
    <w:rsid w:val="7F337CC2"/>
    <w:rsid w:val="7F3B68AE"/>
    <w:rsid w:val="7F3EEFA2"/>
    <w:rsid w:val="7F7678E7"/>
    <w:rsid w:val="7F7C5B3E"/>
    <w:rsid w:val="7F7F0B72"/>
    <w:rsid w:val="7F9E5097"/>
    <w:rsid w:val="7FAD5BDE"/>
    <w:rsid w:val="7FBC9314"/>
    <w:rsid w:val="7FBDF933"/>
    <w:rsid w:val="7FBF444D"/>
    <w:rsid w:val="7FBF8D32"/>
    <w:rsid w:val="7FCDE432"/>
    <w:rsid w:val="7FD7FE46"/>
    <w:rsid w:val="7FDF07F2"/>
    <w:rsid w:val="7FDF38CD"/>
    <w:rsid w:val="7FED6129"/>
    <w:rsid w:val="7FEF2034"/>
    <w:rsid w:val="7FEFB7F7"/>
    <w:rsid w:val="7FF5B74C"/>
    <w:rsid w:val="7FF71C8B"/>
    <w:rsid w:val="7FF78B65"/>
    <w:rsid w:val="7FFA7BEB"/>
    <w:rsid w:val="7FFB3064"/>
    <w:rsid w:val="7FFD3C61"/>
    <w:rsid w:val="7FFE1CC2"/>
    <w:rsid w:val="7FFF2CF1"/>
    <w:rsid w:val="7FFF4009"/>
    <w:rsid w:val="7FFF8DE6"/>
    <w:rsid w:val="7FFF9511"/>
    <w:rsid w:val="7FFFB593"/>
    <w:rsid w:val="7FFFBE89"/>
    <w:rsid w:val="7FFFC3A6"/>
    <w:rsid w:val="7FFFD91D"/>
    <w:rsid w:val="8E338572"/>
    <w:rsid w:val="8F1B9A0F"/>
    <w:rsid w:val="8F7FA7A8"/>
    <w:rsid w:val="93276AB9"/>
    <w:rsid w:val="94CF79C0"/>
    <w:rsid w:val="99F9C39E"/>
    <w:rsid w:val="9A8A01F5"/>
    <w:rsid w:val="9B0D6AF9"/>
    <w:rsid w:val="9B8C37FC"/>
    <w:rsid w:val="9B8F7081"/>
    <w:rsid w:val="9D397901"/>
    <w:rsid w:val="9D6767D3"/>
    <w:rsid w:val="9EB42E08"/>
    <w:rsid w:val="9EDF0899"/>
    <w:rsid w:val="9EE76971"/>
    <w:rsid w:val="9F4439FE"/>
    <w:rsid w:val="9FABFB62"/>
    <w:rsid w:val="9FDF6B8B"/>
    <w:rsid w:val="9FF52CC4"/>
    <w:rsid w:val="A6EB0EFA"/>
    <w:rsid w:val="A6FF41DB"/>
    <w:rsid w:val="A7EDB9D7"/>
    <w:rsid w:val="A9F74881"/>
    <w:rsid w:val="ABAF2A4F"/>
    <w:rsid w:val="ABFB5F19"/>
    <w:rsid w:val="ABFF661A"/>
    <w:rsid w:val="ADD38A2F"/>
    <w:rsid w:val="ADD75661"/>
    <w:rsid w:val="ADFEF913"/>
    <w:rsid w:val="AE9E3957"/>
    <w:rsid w:val="AEEF3706"/>
    <w:rsid w:val="AF7FBE4D"/>
    <w:rsid w:val="B2D71B67"/>
    <w:rsid w:val="B37F43DC"/>
    <w:rsid w:val="B3FB3BC3"/>
    <w:rsid w:val="B5DD892E"/>
    <w:rsid w:val="B5DFAB0F"/>
    <w:rsid w:val="B5E11594"/>
    <w:rsid w:val="B5FD679E"/>
    <w:rsid w:val="B675C55F"/>
    <w:rsid w:val="B6F71024"/>
    <w:rsid w:val="B77F50E6"/>
    <w:rsid w:val="B7F70564"/>
    <w:rsid w:val="B7F8D09E"/>
    <w:rsid w:val="B7FB148D"/>
    <w:rsid w:val="B9798BF4"/>
    <w:rsid w:val="BA36DDCE"/>
    <w:rsid w:val="BABCBD55"/>
    <w:rsid w:val="BAF7808D"/>
    <w:rsid w:val="BAFB7261"/>
    <w:rsid w:val="BAFB85A8"/>
    <w:rsid w:val="BB7FBEF1"/>
    <w:rsid w:val="BB9BDFB4"/>
    <w:rsid w:val="BBBB1CA6"/>
    <w:rsid w:val="BCDCD8F4"/>
    <w:rsid w:val="BD17C347"/>
    <w:rsid w:val="BD9D6790"/>
    <w:rsid w:val="BDCF4CEB"/>
    <w:rsid w:val="BDFF9FEF"/>
    <w:rsid w:val="BE5FB017"/>
    <w:rsid w:val="BEE19DC7"/>
    <w:rsid w:val="BEEFF5F3"/>
    <w:rsid w:val="BEFCEAEB"/>
    <w:rsid w:val="BEFF3EEF"/>
    <w:rsid w:val="BF2F31A8"/>
    <w:rsid w:val="BF3F5019"/>
    <w:rsid w:val="BFA5F3EC"/>
    <w:rsid w:val="BFABD198"/>
    <w:rsid w:val="BFBCC771"/>
    <w:rsid w:val="BFCA0079"/>
    <w:rsid w:val="BFECACAC"/>
    <w:rsid w:val="BFF63878"/>
    <w:rsid w:val="BFFE4AA0"/>
    <w:rsid w:val="BFFF5933"/>
    <w:rsid w:val="BFFF7239"/>
    <w:rsid w:val="BFFF8813"/>
    <w:rsid w:val="C1F8E6DE"/>
    <w:rsid w:val="C5FFF9CC"/>
    <w:rsid w:val="C6EB519C"/>
    <w:rsid w:val="C7BFA6B3"/>
    <w:rsid w:val="CBF9D467"/>
    <w:rsid w:val="CDF33DC4"/>
    <w:rsid w:val="D64FE71D"/>
    <w:rsid w:val="D65BD853"/>
    <w:rsid w:val="D661E52C"/>
    <w:rsid w:val="D6CF5435"/>
    <w:rsid w:val="D6FF9F93"/>
    <w:rsid w:val="D757ED3A"/>
    <w:rsid w:val="D75DA526"/>
    <w:rsid w:val="D79BD6BC"/>
    <w:rsid w:val="D7AFF8EC"/>
    <w:rsid w:val="D7EF9B20"/>
    <w:rsid w:val="D8FC3C56"/>
    <w:rsid w:val="DA6C53C7"/>
    <w:rsid w:val="DAB6226D"/>
    <w:rsid w:val="DB2B0A58"/>
    <w:rsid w:val="DB7755E4"/>
    <w:rsid w:val="DB7F5FE3"/>
    <w:rsid w:val="DB7FCE93"/>
    <w:rsid w:val="DBDF6F8F"/>
    <w:rsid w:val="DBEB5E15"/>
    <w:rsid w:val="DDB5F4B1"/>
    <w:rsid w:val="DDB7128D"/>
    <w:rsid w:val="DE96906F"/>
    <w:rsid w:val="DED18AEA"/>
    <w:rsid w:val="DEDF82A1"/>
    <w:rsid w:val="DEF77427"/>
    <w:rsid w:val="DF6D329F"/>
    <w:rsid w:val="DFBD0561"/>
    <w:rsid w:val="DFBD889E"/>
    <w:rsid w:val="DFBF39B8"/>
    <w:rsid w:val="DFC24438"/>
    <w:rsid w:val="DFD7C6CD"/>
    <w:rsid w:val="DFDDAA37"/>
    <w:rsid w:val="DFDE285E"/>
    <w:rsid w:val="DFDF7F6A"/>
    <w:rsid w:val="DFE7255C"/>
    <w:rsid w:val="DFEE0646"/>
    <w:rsid w:val="DFEFBD44"/>
    <w:rsid w:val="DFF71BEC"/>
    <w:rsid w:val="DFFB66DD"/>
    <w:rsid w:val="DFFB7907"/>
    <w:rsid w:val="DFFC8C69"/>
    <w:rsid w:val="DFFE0368"/>
    <w:rsid w:val="DFFF4CE9"/>
    <w:rsid w:val="DFFFCC13"/>
    <w:rsid w:val="E17FAD9B"/>
    <w:rsid w:val="E1A062E2"/>
    <w:rsid w:val="E1A3E166"/>
    <w:rsid w:val="E33F6ADF"/>
    <w:rsid w:val="E57B41DC"/>
    <w:rsid w:val="E5FF4B15"/>
    <w:rsid w:val="E76F2302"/>
    <w:rsid w:val="E77F8C33"/>
    <w:rsid w:val="E7BE22EA"/>
    <w:rsid w:val="E7F4EF79"/>
    <w:rsid w:val="E7F615C1"/>
    <w:rsid w:val="E7FBBFDA"/>
    <w:rsid w:val="E9FF7055"/>
    <w:rsid w:val="EBE71920"/>
    <w:rsid w:val="EBEF8635"/>
    <w:rsid w:val="EDBB9828"/>
    <w:rsid w:val="EDFCF2E9"/>
    <w:rsid w:val="EEFBD119"/>
    <w:rsid w:val="EF2FDDB0"/>
    <w:rsid w:val="EF3E7A0A"/>
    <w:rsid w:val="EF7BE8BA"/>
    <w:rsid w:val="EF8FEFBE"/>
    <w:rsid w:val="EF9F5639"/>
    <w:rsid w:val="EFA646A9"/>
    <w:rsid w:val="EFBD78A8"/>
    <w:rsid w:val="EFBFCB82"/>
    <w:rsid w:val="EFD82C0C"/>
    <w:rsid w:val="EFF9D526"/>
    <w:rsid w:val="EFFA77D8"/>
    <w:rsid w:val="EFFF3C43"/>
    <w:rsid w:val="EFFF8775"/>
    <w:rsid w:val="EFFFE654"/>
    <w:rsid w:val="F0DF54DB"/>
    <w:rsid w:val="F0DFE144"/>
    <w:rsid w:val="F1FFC26B"/>
    <w:rsid w:val="F2FD9605"/>
    <w:rsid w:val="F3ADED76"/>
    <w:rsid w:val="F3B81341"/>
    <w:rsid w:val="F3BE8FAD"/>
    <w:rsid w:val="F3EF6848"/>
    <w:rsid w:val="F3FF8D10"/>
    <w:rsid w:val="F53B07D4"/>
    <w:rsid w:val="F541F591"/>
    <w:rsid w:val="F57F7B21"/>
    <w:rsid w:val="F58F5B52"/>
    <w:rsid w:val="F5FFCCC8"/>
    <w:rsid w:val="F63F2D5F"/>
    <w:rsid w:val="F64FB7C0"/>
    <w:rsid w:val="F67F31F2"/>
    <w:rsid w:val="F6D52DCC"/>
    <w:rsid w:val="F6FF293D"/>
    <w:rsid w:val="F77BDC97"/>
    <w:rsid w:val="F77BE507"/>
    <w:rsid w:val="F77D9DDC"/>
    <w:rsid w:val="F77EF442"/>
    <w:rsid w:val="F78DE411"/>
    <w:rsid w:val="F79F8957"/>
    <w:rsid w:val="F7D7986B"/>
    <w:rsid w:val="F7D915CD"/>
    <w:rsid w:val="F7EA8149"/>
    <w:rsid w:val="F7EFF112"/>
    <w:rsid w:val="F7F7DC52"/>
    <w:rsid w:val="F7FEDCF6"/>
    <w:rsid w:val="F85F6E1E"/>
    <w:rsid w:val="F8BF636A"/>
    <w:rsid w:val="F8F53A3A"/>
    <w:rsid w:val="F97C1736"/>
    <w:rsid w:val="F9F719E3"/>
    <w:rsid w:val="FAAF838C"/>
    <w:rsid w:val="FACD0564"/>
    <w:rsid w:val="FADDB558"/>
    <w:rsid w:val="FB0F3C07"/>
    <w:rsid w:val="FB1E6ABF"/>
    <w:rsid w:val="FB53B615"/>
    <w:rsid w:val="FB69DBD8"/>
    <w:rsid w:val="FB767CDE"/>
    <w:rsid w:val="FBD93F8B"/>
    <w:rsid w:val="FBDADA14"/>
    <w:rsid w:val="FBFB0DB8"/>
    <w:rsid w:val="FBFFD429"/>
    <w:rsid w:val="FCCE5532"/>
    <w:rsid w:val="FCF6D36A"/>
    <w:rsid w:val="FCFB482C"/>
    <w:rsid w:val="FD36CC30"/>
    <w:rsid w:val="FD775743"/>
    <w:rsid w:val="FD97C634"/>
    <w:rsid w:val="FDB77CCC"/>
    <w:rsid w:val="FDB97DB1"/>
    <w:rsid w:val="FDBE7626"/>
    <w:rsid w:val="FDEF749D"/>
    <w:rsid w:val="FDF27D56"/>
    <w:rsid w:val="FDFC4AA8"/>
    <w:rsid w:val="FDFCA12B"/>
    <w:rsid w:val="FE5F3CDF"/>
    <w:rsid w:val="FE778F9A"/>
    <w:rsid w:val="FE7BDCA4"/>
    <w:rsid w:val="FE7D3463"/>
    <w:rsid w:val="FEC7ECD2"/>
    <w:rsid w:val="FED6C167"/>
    <w:rsid w:val="FEDDA709"/>
    <w:rsid w:val="FEDFAECC"/>
    <w:rsid w:val="FEE84E81"/>
    <w:rsid w:val="FEEDAAD3"/>
    <w:rsid w:val="FEF1C236"/>
    <w:rsid w:val="FEF69058"/>
    <w:rsid w:val="FEFEB1A7"/>
    <w:rsid w:val="FF2836FC"/>
    <w:rsid w:val="FF2B2467"/>
    <w:rsid w:val="FF2C70C5"/>
    <w:rsid w:val="FF2F1BBB"/>
    <w:rsid w:val="FF3A2722"/>
    <w:rsid w:val="FF4B48EC"/>
    <w:rsid w:val="FF6CEF5A"/>
    <w:rsid w:val="FF6F5681"/>
    <w:rsid w:val="FF7B6280"/>
    <w:rsid w:val="FF7E0ED2"/>
    <w:rsid w:val="FF9F2204"/>
    <w:rsid w:val="FFA9A997"/>
    <w:rsid w:val="FFAA5E04"/>
    <w:rsid w:val="FFAF3D40"/>
    <w:rsid w:val="FFBF1FE5"/>
    <w:rsid w:val="FFBF8FBF"/>
    <w:rsid w:val="FFBF9D37"/>
    <w:rsid w:val="FFBFCD07"/>
    <w:rsid w:val="FFCF9BEC"/>
    <w:rsid w:val="FFD1F2EC"/>
    <w:rsid w:val="FFDB1217"/>
    <w:rsid w:val="FFDB19B3"/>
    <w:rsid w:val="FFDF7466"/>
    <w:rsid w:val="FFDF84DE"/>
    <w:rsid w:val="FFE9F2FD"/>
    <w:rsid w:val="FFED5861"/>
    <w:rsid w:val="FFEDD912"/>
    <w:rsid w:val="FFEDE4FA"/>
    <w:rsid w:val="FFEF3C32"/>
    <w:rsid w:val="FFEF9880"/>
    <w:rsid w:val="FFF1A860"/>
    <w:rsid w:val="FFF452E0"/>
    <w:rsid w:val="FFF9D912"/>
    <w:rsid w:val="FFFEFE61"/>
    <w:rsid w:val="FFFF1E54"/>
    <w:rsid w:val="FFFF42E3"/>
    <w:rsid w:val="FFFFE1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qFormat="1" w:unhideWhenUsed="0" w:uiPriority="99"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_GB2312" w:hAnsi="宋体" w:eastAsia="仿宋_GB2312" w:cs="Times New Roman"/>
      <w:kern w:val="2"/>
      <w:sz w:val="32"/>
      <w:szCs w:val="32"/>
      <w:lang w:val="en-US" w:eastAsia="zh-CN" w:bidi="ar-SA"/>
    </w:rPr>
  </w:style>
  <w:style w:type="paragraph" w:styleId="3">
    <w:name w:val="heading 1"/>
    <w:basedOn w:val="1"/>
    <w:next w:val="1"/>
    <w:qFormat/>
    <w:uiPriority w:val="0"/>
    <w:pPr>
      <w:widowControl/>
      <w:spacing w:beforeAutospacing="0" w:afterAutospacing="0" w:line="560" w:lineRule="exact"/>
      <w:ind w:firstLine="880" w:firstLineChars="200"/>
      <w:jc w:val="both"/>
      <w:outlineLvl w:val="0"/>
    </w:pPr>
    <w:rPr>
      <w:rFonts w:ascii="宋体" w:hAnsi="宋体" w:eastAsia="黑体" w:cs="宋体"/>
      <w:bCs/>
      <w:kern w:val="36"/>
      <w:szCs w:val="48"/>
    </w:rPr>
  </w:style>
  <w:style w:type="paragraph" w:styleId="4">
    <w:name w:val="heading 2"/>
    <w:basedOn w:val="1"/>
    <w:next w:val="1"/>
    <w:link w:val="29"/>
    <w:semiHidden/>
    <w:unhideWhenUsed/>
    <w:qFormat/>
    <w:uiPriority w:val="0"/>
    <w:pPr>
      <w:spacing w:beforeAutospacing="0" w:afterAutospacing="0" w:line="560" w:lineRule="exact"/>
      <w:ind w:firstLine="880" w:firstLineChars="200"/>
      <w:jc w:val="both"/>
      <w:outlineLvl w:val="1"/>
    </w:pPr>
    <w:rPr>
      <w:rFonts w:ascii="宋体" w:hAnsi="宋体" w:eastAsia="楷体_GB2312" w:cs="宋体"/>
      <w:bCs/>
      <w:kern w:val="0"/>
      <w:szCs w:val="36"/>
      <w:lang w:bidi="ar"/>
    </w:rPr>
  </w:style>
  <w:style w:type="paragraph" w:styleId="5">
    <w:name w:val="heading 3"/>
    <w:basedOn w:val="1"/>
    <w:next w:val="1"/>
    <w:semiHidden/>
    <w:unhideWhenUsed/>
    <w:qFormat/>
    <w:uiPriority w:val="0"/>
    <w:pPr>
      <w:spacing w:beforeAutospacing="1" w:afterAutospacing="1"/>
      <w:jc w:val="left"/>
      <w:outlineLvl w:val="2"/>
    </w:pPr>
    <w:rPr>
      <w:rFonts w:hint="eastAsia" w:ascii="宋体" w:eastAsia="宋体"/>
      <w:b/>
      <w:kern w:val="0"/>
      <w:sz w:val="27"/>
      <w:szCs w:val="27"/>
    </w:rPr>
  </w:style>
  <w:style w:type="character" w:default="1" w:styleId="15">
    <w:name w:val="Default Paragraph Font"/>
    <w:semiHidden/>
    <w:unhideWhenUsed/>
    <w:qFormat/>
    <w:uiPriority w:val="1"/>
  </w:style>
  <w:style w:type="table" w:default="1" w:styleId="14">
    <w:name w:val="Normal Table"/>
    <w:semiHidden/>
    <w:unhideWhenUsed/>
    <w:qFormat/>
    <w:uiPriority w:val="99"/>
    <w:tblPr>
      <w:tblLayout w:type="fixed"/>
      <w:tblCellMar>
        <w:top w:w="0" w:type="dxa"/>
        <w:left w:w="108" w:type="dxa"/>
        <w:bottom w:w="0" w:type="dxa"/>
        <w:right w:w="108" w:type="dxa"/>
      </w:tblCellMar>
    </w:tblPr>
  </w:style>
  <w:style w:type="paragraph" w:styleId="2">
    <w:name w:val="Title"/>
    <w:basedOn w:val="1"/>
    <w:next w:val="1"/>
    <w:qFormat/>
    <w:uiPriority w:val="0"/>
    <w:pPr>
      <w:spacing w:before="240" w:after="60"/>
      <w:jc w:val="center"/>
      <w:outlineLvl w:val="0"/>
    </w:pPr>
    <w:rPr>
      <w:rFonts w:ascii="Cambria" w:hAnsi="Cambria" w:eastAsia="宋体" w:cs="Times New Roman"/>
      <w:b/>
      <w:bCs/>
      <w:sz w:val="32"/>
      <w:szCs w:val="32"/>
    </w:rPr>
  </w:style>
  <w:style w:type="paragraph" w:styleId="6">
    <w:name w:val="annotation text"/>
    <w:basedOn w:val="1"/>
    <w:link w:val="28"/>
    <w:qFormat/>
    <w:uiPriority w:val="0"/>
    <w:pPr>
      <w:jc w:val="left"/>
    </w:pPr>
  </w:style>
  <w:style w:type="paragraph" w:styleId="7">
    <w:name w:val="Body Text"/>
    <w:basedOn w:val="1"/>
    <w:next w:val="2"/>
    <w:qFormat/>
    <w:uiPriority w:val="0"/>
    <w:rPr>
      <w:rFonts w:ascii="Calibri" w:hAnsi="Calibri" w:eastAsia="华文中宋"/>
      <w:sz w:val="36"/>
    </w:rPr>
  </w:style>
  <w:style w:type="paragraph" w:styleId="8">
    <w:name w:val="Balloon Text"/>
    <w:basedOn w:val="1"/>
    <w:link w:val="23"/>
    <w:qFormat/>
    <w:uiPriority w:val="0"/>
    <w:rPr>
      <w:sz w:val="18"/>
      <w:szCs w:val="18"/>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1">
    <w:name w:val="List 5"/>
    <w:basedOn w:val="1"/>
    <w:qFormat/>
    <w:uiPriority w:val="99"/>
    <w:pPr>
      <w:ind w:left="800" w:leftChars="800" w:hanging="200" w:hangingChars="200"/>
    </w:pPr>
  </w:style>
  <w:style w:type="paragraph" w:styleId="12">
    <w:name w:val="Normal (Web)"/>
    <w:basedOn w:val="1"/>
    <w:qFormat/>
    <w:uiPriority w:val="0"/>
    <w:pPr>
      <w:widowControl/>
      <w:spacing w:before="100" w:beforeAutospacing="1" w:after="100" w:afterAutospacing="1"/>
      <w:jc w:val="left"/>
    </w:pPr>
    <w:rPr>
      <w:rFonts w:ascii="宋体" w:eastAsia="宋体" w:cs="宋体"/>
      <w:kern w:val="0"/>
      <w:sz w:val="24"/>
      <w:szCs w:val="24"/>
    </w:rPr>
  </w:style>
  <w:style w:type="paragraph" w:styleId="13">
    <w:name w:val="Body Text First Indent"/>
    <w:basedOn w:val="7"/>
    <w:next w:val="1"/>
    <w:qFormat/>
    <w:uiPriority w:val="0"/>
    <w:pPr>
      <w:wordWrap w:val="0"/>
      <w:topLinePunct/>
      <w:spacing w:after="0" w:afterLines="0" w:line="600" w:lineRule="exact"/>
      <w:ind w:firstLine="880" w:firstLineChars="200"/>
    </w:pPr>
    <w:rPr>
      <w:rFonts w:ascii="Times New Roman" w:hAnsi="Times New Roman" w:eastAsia="仿宋_GB2312"/>
      <w:kern w:val="2"/>
      <w:sz w:val="32"/>
      <w:szCs w:val="24"/>
    </w:rPr>
  </w:style>
  <w:style w:type="character" w:styleId="16">
    <w:name w:val="page number"/>
    <w:basedOn w:val="15"/>
    <w:qFormat/>
    <w:uiPriority w:val="0"/>
    <w:rPr>
      <w:rFonts w:ascii="Times New Roman" w:hAnsi="Times New Roman" w:eastAsia="宋体" w:cs="Times New Roman"/>
    </w:rPr>
  </w:style>
  <w:style w:type="character" w:styleId="17">
    <w:name w:val="Emphasis"/>
    <w:basedOn w:val="15"/>
    <w:qFormat/>
    <w:uiPriority w:val="0"/>
    <w:rPr>
      <w:i/>
    </w:rPr>
  </w:style>
  <w:style w:type="character" w:styleId="18">
    <w:name w:val="annotation reference"/>
    <w:basedOn w:val="15"/>
    <w:qFormat/>
    <w:uiPriority w:val="0"/>
    <w:rPr>
      <w:sz w:val="21"/>
      <w:szCs w:val="21"/>
    </w:rPr>
  </w:style>
  <w:style w:type="paragraph" w:customStyle="1" w:styleId="19">
    <w:name w:val="样式1"/>
    <w:basedOn w:val="1"/>
    <w:qFormat/>
    <w:uiPriority w:val="0"/>
  </w:style>
  <w:style w:type="paragraph" w:customStyle="1" w:styleId="20">
    <w:name w:val="Default"/>
    <w:qFormat/>
    <w:uiPriority w:val="0"/>
    <w:pPr>
      <w:widowControl w:val="0"/>
      <w:autoSpaceDE w:val="0"/>
      <w:autoSpaceDN w:val="0"/>
      <w:adjustRightInd w:val="0"/>
    </w:pPr>
    <w:rPr>
      <w:rFonts w:ascii="仿宋" w:hAnsi="仿宋" w:eastAsia="Malgun Gothic" w:cs="仿宋"/>
      <w:color w:val="000000"/>
      <w:sz w:val="24"/>
      <w:szCs w:val="24"/>
      <w:lang w:val="en-US" w:eastAsia="zh-CN" w:bidi="ar-SA"/>
    </w:rPr>
  </w:style>
  <w:style w:type="character" w:customStyle="1" w:styleId="21">
    <w:name w:val="fontstyle01"/>
    <w:qFormat/>
    <w:uiPriority w:val="0"/>
    <w:rPr>
      <w:rFonts w:hint="eastAsia" w:ascii="仿宋_GB2312" w:eastAsia="仿宋_GB2312"/>
      <w:color w:val="000000"/>
      <w:sz w:val="32"/>
      <w:szCs w:val="32"/>
    </w:rPr>
  </w:style>
  <w:style w:type="paragraph" w:customStyle="1" w:styleId="22">
    <w:name w:val="列出段落1"/>
    <w:basedOn w:val="1"/>
    <w:qFormat/>
    <w:uiPriority w:val="99"/>
    <w:pPr>
      <w:ind w:firstLine="420" w:firstLineChars="200"/>
    </w:pPr>
  </w:style>
  <w:style w:type="character" w:customStyle="1" w:styleId="23">
    <w:name w:val="批注框文本 Char"/>
    <w:basedOn w:val="15"/>
    <w:link w:val="8"/>
    <w:qFormat/>
    <w:uiPriority w:val="0"/>
    <w:rPr>
      <w:rFonts w:ascii="仿宋_GB2312" w:hAnsi="宋体" w:eastAsia="仿宋_GB2312" w:cs="Times New Roman"/>
      <w:kern w:val="2"/>
      <w:sz w:val="18"/>
      <w:szCs w:val="18"/>
    </w:rPr>
  </w:style>
  <w:style w:type="paragraph" w:customStyle="1" w:styleId="24">
    <w:name w:val="Body text|1"/>
    <w:basedOn w:val="1"/>
    <w:link w:val="27"/>
    <w:qFormat/>
    <w:uiPriority w:val="0"/>
    <w:pPr>
      <w:spacing w:line="391" w:lineRule="auto"/>
      <w:ind w:firstLine="400"/>
    </w:pPr>
    <w:rPr>
      <w:rFonts w:ascii="宋体" w:eastAsia="宋体" w:cs="宋体"/>
      <w:sz w:val="30"/>
      <w:szCs w:val="30"/>
      <w:lang w:val="zh-TW" w:eastAsia="zh-TW" w:bidi="zh-TW"/>
    </w:rPr>
  </w:style>
  <w:style w:type="paragraph" w:customStyle="1" w:styleId="25">
    <w:name w:val="Other|1"/>
    <w:basedOn w:val="1"/>
    <w:qFormat/>
    <w:uiPriority w:val="0"/>
    <w:pPr>
      <w:spacing w:line="391" w:lineRule="auto"/>
      <w:ind w:firstLine="400"/>
    </w:pPr>
    <w:rPr>
      <w:rFonts w:ascii="宋体" w:eastAsia="宋体" w:cs="宋体"/>
      <w:sz w:val="30"/>
      <w:szCs w:val="30"/>
      <w:lang w:val="zh-TW" w:eastAsia="zh-TW" w:bidi="zh-TW"/>
    </w:rPr>
  </w:style>
  <w:style w:type="paragraph" w:customStyle="1" w:styleId="26">
    <w:name w:val="Header or footer|2"/>
    <w:basedOn w:val="1"/>
    <w:qFormat/>
    <w:uiPriority w:val="0"/>
    <w:rPr>
      <w:sz w:val="20"/>
      <w:szCs w:val="20"/>
      <w:lang w:val="zh-TW" w:eastAsia="zh-TW" w:bidi="zh-TW"/>
    </w:rPr>
  </w:style>
  <w:style w:type="character" w:customStyle="1" w:styleId="27">
    <w:name w:val="Body text|1_"/>
    <w:basedOn w:val="15"/>
    <w:link w:val="24"/>
    <w:qFormat/>
    <w:uiPriority w:val="0"/>
    <w:rPr>
      <w:rFonts w:ascii="宋体" w:hAnsi="宋体" w:eastAsia="宋体" w:cs="宋体"/>
      <w:kern w:val="2"/>
      <w:sz w:val="30"/>
      <w:szCs w:val="30"/>
      <w:lang w:val="zh-TW" w:eastAsia="zh-TW" w:bidi="zh-TW"/>
    </w:rPr>
  </w:style>
  <w:style w:type="character" w:customStyle="1" w:styleId="28">
    <w:name w:val="批注文字 Char"/>
    <w:basedOn w:val="15"/>
    <w:link w:val="6"/>
    <w:qFormat/>
    <w:uiPriority w:val="0"/>
    <w:rPr>
      <w:rFonts w:ascii="仿宋_GB2312" w:hAnsi="宋体" w:eastAsia="仿宋_GB2312" w:cs="Times New Roman"/>
      <w:kern w:val="2"/>
      <w:sz w:val="32"/>
      <w:szCs w:val="32"/>
    </w:rPr>
  </w:style>
  <w:style w:type="character" w:customStyle="1" w:styleId="29">
    <w:name w:val="标题 2 Char1"/>
    <w:link w:val="4"/>
    <w:qFormat/>
    <w:uiPriority w:val="0"/>
    <w:rPr>
      <w:rFonts w:ascii="宋体" w:hAnsi="宋体" w:eastAsia="楷体_GB2312" w:cs="宋体"/>
      <w:bCs/>
      <w:kern w:val="0"/>
      <w:sz w:val="32"/>
      <w:szCs w:val="36"/>
      <w:lang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市科技局</Company>
  <Pages>28</Pages>
  <Words>9430</Words>
  <Characters>9801</Characters>
  <Lines>83</Lines>
  <Paragraphs>23</Paragraphs>
  <TotalTime>4</TotalTime>
  <ScaleCrop>false</ScaleCrop>
  <LinksUpToDate>false</LinksUpToDate>
  <CharactersWithSpaces>9917</CharactersWithSpaces>
  <Application>WPS Office_11.8.2.8593_F1E327BC-269C-435d-A152-05C5408002CA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2022-06-18T23:06:00Z</dcterms:created>
  <dc:creator>Alice Liu</dc:creator>
  <cp:lastModifiedBy>文件收发室</cp:lastModifiedBy>
  <cp:lastPrinted>2022-06-20T16:27:00Z</cp:lastPrinted>
  <dcterms:modified xsi:type="dcterms:W3CDTF">2025-04-14T02:21:19Z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2052-11.8.2.8593</vt:lpwstr>
  </property>
  <property fmtid="{D5CDD505-2E9C-101B-9397-08002B2CF9AE}" pid="3" name="KSOSaveFontToCloudKey">
    <vt:lpwstr>283662683_cloud</vt:lpwstr>
  </property>
  <property fmtid="{D5CDD505-2E9C-101B-9397-08002B2CF9AE}" pid="4" name="ICV">
    <vt:lpwstr>13FA15EF5AF64A90AE88884212452422_13</vt:lpwstr>
  </property>
  <property fmtid="{D5CDD505-2E9C-101B-9397-08002B2CF9AE}" pid="5" name="KSOTemplateDocerSaveRecord">
    <vt:lpwstr>eyJoZGlkIjoiYzM1Mzk2YTFjMDg0OWU1YTA3ZjNlMThhOGU5NDM0ZmEiLCJ1c2VySWQiOiI2NjA2NzMwMzIifQ==</vt:lpwstr>
  </property>
</Properties>
</file>