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关于《北京市西城区促进专业服务业高质量发展的若干措施》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/>
        <w:jc w:val="center"/>
        <w:textAlignment w:val="auto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区发展改革委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进一步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提升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西城区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专业服务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能级、持续发挥政策引领作用，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西城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区发改委启动了对《北京市西城区促进专业服务业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高质量发展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的若干措施》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西发改〔2023〕85号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的修订工作。经广泛征求专家、企业代表、行业主管部门意见建议后，进行多次修改完善，形成《北京市西城区促进专业服务业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高质量发展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的若干措施》（以下简称《若干措施》）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征求意见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稿。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jc w:val="both"/>
        <w:textAlignment w:val="auto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一、政策</w:t>
      </w: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起草</w:t>
      </w:r>
      <w:r>
        <w:rPr>
          <w:rFonts w:hint="eastAsia" w:ascii="黑体" w:hAnsi="黑体" w:eastAsia="黑体" w:cs="黑体"/>
          <w:sz w:val="32"/>
          <w:szCs w:val="32"/>
          <w:highlight w:val="none"/>
        </w:rPr>
        <w:t>背景情况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20" w:lineRule="exact"/>
        <w:ind w:left="0" w:leftChars="0" w:firstLine="640"/>
        <w:textAlignment w:val="auto"/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40"/>
        </w:rPr>
        <w:t>北京市西城区促进专业服务业高质量发展的若干措施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西发改〔2023〕85号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实施以来，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政策牵引带动作用明显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，进一步提升了西城区</w:t>
      </w:r>
      <w:r>
        <w:rPr>
          <w:rFonts w:hint="eastAsia" w:ascii="仿宋_GB2312" w:hAnsi="仿宋_GB2312" w:eastAsia="仿宋_GB2312" w:cs="仿宋_GB2312"/>
          <w:sz w:val="32"/>
          <w:szCs w:val="32"/>
        </w:rPr>
        <w:t>法律、咨询、会计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信用、知识产权、人力资源等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领域专业服务业能级</w:t>
      </w:r>
      <w:r>
        <w:rPr>
          <w:rFonts w:hint="eastAsia" w:ascii="仿宋_GB2312" w:hAnsi="仿宋_GB2312" w:eastAsia="仿宋_GB2312" w:cs="仿宋_GB2312"/>
          <w:sz w:val="32"/>
          <w:szCs w:val="32"/>
        </w:rPr>
        <w:t>，鼓励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专业服务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sz w:val="32"/>
          <w:szCs w:val="32"/>
        </w:rPr>
        <w:t>机构在“业务版图拓展、品牌深耕细作”等方面壮大产业规模，激发创新活力。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contextualSpacing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highlight w:val="none"/>
          <w:lang w:val="en-US" w:eastAsia="zh-CN" w:bidi="ar-SA"/>
        </w:rPr>
        <w:t>二、政策起草必要性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contextualSpacing/>
        <w:jc w:val="both"/>
        <w:textAlignment w:val="auto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.融合创新发展相匹配的高端服务体系尚未形成。与发达地区相比，法律、会计等专业服务配套不完善，具有全球影响力的国际性法律机构缺乏，国际化法律人才不足。广告、咨询、人力资源等行业品牌化程度不高，高端高附加值环节有待培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contextualSpacing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.链条式产业发展生态粘性有待进一步提高。各专业服务领域发展形态较为分散，多维度合作模式尚未形成，行业培育服务方式较单一，围绕重点产业发展以及重点项目推进的专业化支持不够，政府交流平台搭建、市场渠道拓展、多行业集成式发展尚需要提供更强劲的支持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jc w:val="both"/>
        <w:textAlignment w:val="auto"/>
        <w:rPr>
          <w:rFonts w:ascii="黑体" w:hAnsi="黑体" w:eastAsia="黑体" w:cs="黑体"/>
          <w:b w:val="0"/>
          <w:kern w:val="2"/>
          <w:sz w:val="32"/>
          <w:highlight w:val="none"/>
        </w:rPr>
      </w:pPr>
      <w:r>
        <w:rPr>
          <w:rFonts w:hint="eastAsia" w:ascii="黑体" w:hAnsi="黑体" w:eastAsia="黑体" w:cs="黑体"/>
          <w:b w:val="0"/>
          <w:kern w:val="2"/>
          <w:sz w:val="32"/>
          <w:highlight w:val="none"/>
          <w:lang w:eastAsia="zh-CN"/>
        </w:rPr>
        <w:t>三</w:t>
      </w:r>
      <w:r>
        <w:rPr>
          <w:rFonts w:hint="eastAsia" w:ascii="黑体" w:hAnsi="黑体" w:eastAsia="黑体" w:cs="黑体"/>
          <w:b w:val="0"/>
          <w:kern w:val="2"/>
          <w:sz w:val="32"/>
          <w:highlight w:val="none"/>
        </w:rPr>
        <w:t>、政策</w:t>
      </w:r>
      <w:r>
        <w:rPr>
          <w:rFonts w:hint="eastAsia" w:ascii="黑体" w:hAnsi="黑体" w:eastAsia="黑体" w:cs="黑体"/>
          <w:b w:val="0"/>
          <w:kern w:val="2"/>
          <w:sz w:val="32"/>
          <w:highlight w:val="none"/>
          <w:lang w:eastAsia="zh-CN"/>
        </w:rPr>
        <w:t>主要</w:t>
      </w:r>
      <w:r>
        <w:rPr>
          <w:rFonts w:hint="eastAsia" w:ascii="黑体" w:hAnsi="黑体" w:eastAsia="黑体" w:cs="黑体"/>
          <w:b w:val="0"/>
          <w:kern w:val="2"/>
          <w:sz w:val="32"/>
          <w:highlight w:val="none"/>
        </w:rPr>
        <w:t>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更加紧贴专业服务业发展前沿，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提升专业服务业支持政策质效。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jc w:val="both"/>
        <w:textAlignment w:val="auto"/>
        <w:rPr>
          <w:rFonts w:hAnsi="仿宋_GB2312" w:eastAsia="仿宋_GB2312" w:cs="仿宋_GB2312"/>
          <w:b w:val="0"/>
          <w:kern w:val="2"/>
          <w:sz w:val="32"/>
          <w:highlight w:val="none"/>
        </w:rPr>
      </w:pPr>
      <w:r>
        <w:rPr>
          <w:rFonts w:hint="eastAsia" w:ascii="楷体_GB2312" w:hAnsi="楷体_GB2312" w:eastAsia="楷体_GB2312" w:cs="楷体_GB2312"/>
          <w:b w:val="0"/>
          <w:kern w:val="2"/>
          <w:sz w:val="32"/>
          <w:highlight w:val="none"/>
          <w:lang w:eastAsia="zh-CN"/>
        </w:rPr>
        <w:t>第一章，</w:t>
      </w:r>
      <w:r>
        <w:rPr>
          <w:rFonts w:hint="eastAsia" w:ascii="楷体_GB2312" w:hAnsi="楷体_GB2312" w:eastAsia="楷体_GB2312" w:cs="楷体_GB2312"/>
          <w:b w:val="0"/>
          <w:kern w:val="2"/>
          <w:sz w:val="32"/>
          <w:highlight w:val="none"/>
        </w:rPr>
        <w:t>重构政策制定目标，扩大支持行业范围。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突出专业服务业在西城区产业发展体系中的定位，着力为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西城区专业服务业向高端化、数智化、品牌化、国际化方向发展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提供支持。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将“</w:t>
      </w:r>
      <w:bookmarkStart w:id="0" w:name="OLE_LINK2"/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会展</w:t>
      </w:r>
      <w:bookmarkEnd w:id="0"/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、检验检测认证”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纳入支持行业范围，增强会展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服务推动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消费、拉动产业、促进投资的重要功能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，推动检验检测认证服务提升市场效率、促进技术创新发展作用。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eastAsia="zh-CN"/>
        </w:rPr>
      </w:pPr>
      <w:r>
        <w:rPr>
          <w:rFonts w:hint="eastAsia" w:ascii="楷体_GB2312" w:hAnsi="楷体_GB2312" w:eastAsia="楷体_GB2312" w:cs="楷体_GB2312"/>
          <w:b w:val="0"/>
          <w:kern w:val="2"/>
          <w:sz w:val="32"/>
          <w:szCs w:val="32"/>
          <w:highlight w:val="none"/>
          <w:lang w:val="en-US" w:eastAsia="zh-CN" w:bidi="ar-SA"/>
        </w:rPr>
        <w:t>第二章，鼓励机构发展提升，支持机构做大做强。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促进专业服务业机构在管理模式、运营模式、商业模式方面进行重构和迭代：增加数智化提升市级支持区级配套、区级自行评审进行资金奖励</w:t>
      </w:r>
      <w:r>
        <w:rPr>
          <w:rFonts w:hint="eastAsia" w:ascii="仿宋_GB2312" w:hAnsi="仿宋_GB2312" w:eastAsia="仿宋_GB2312" w:cs="仿宋_GB2312"/>
          <w:sz w:val="32"/>
          <w:szCs w:val="40"/>
        </w:rPr>
        <w:t>。对机构为国家重大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战略部署</w:t>
      </w:r>
      <w:r>
        <w:rPr>
          <w:rFonts w:hint="eastAsia" w:ascii="仿宋_GB2312" w:hAnsi="仿宋_GB2312" w:eastAsia="仿宋_GB2312" w:cs="仿宋_GB2312"/>
          <w:sz w:val="32"/>
          <w:szCs w:val="40"/>
        </w:rPr>
        <w:t>项目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或具有重大示范效应项目</w:t>
      </w:r>
      <w:r>
        <w:rPr>
          <w:rFonts w:hint="eastAsia" w:ascii="仿宋_GB2312" w:hAnsi="仿宋_GB2312" w:eastAsia="仿宋_GB2312" w:cs="仿宋_GB2312"/>
          <w:sz w:val="32"/>
          <w:szCs w:val="40"/>
        </w:rPr>
        <w:t>提供专业服务的机构给予资金奖励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jc w:val="both"/>
        <w:textAlignment w:val="auto"/>
        <w:rPr>
          <w:rFonts w:hint="eastAsia" w:hAnsi="仿宋_GB2312" w:eastAsia="仿宋_GB2312" w:cs="仿宋_GB2312"/>
          <w:b w:val="0"/>
          <w:kern w:val="2"/>
          <w:sz w:val="32"/>
          <w:highlight w:val="none"/>
        </w:rPr>
      </w:pPr>
      <w:r>
        <w:rPr>
          <w:rFonts w:hint="eastAsia" w:ascii="楷体_GB2312" w:hAnsi="楷体_GB2312" w:eastAsia="楷体_GB2312" w:cs="楷体_GB2312"/>
          <w:b w:val="0"/>
          <w:kern w:val="2"/>
          <w:sz w:val="32"/>
          <w:highlight w:val="none"/>
          <w:lang w:eastAsia="zh-CN"/>
        </w:rPr>
        <w:t>第三章，</w:t>
      </w:r>
      <w:r>
        <w:rPr>
          <w:rFonts w:hint="eastAsia" w:ascii="楷体_GB2312" w:hAnsi="楷体_GB2312" w:eastAsia="楷体_GB2312" w:cs="楷体_GB2312"/>
          <w:b w:val="0"/>
          <w:kern w:val="2"/>
          <w:sz w:val="32"/>
          <w:highlight w:val="none"/>
        </w:rPr>
        <w:t>支持业务拓展，促进机构创新发展。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鼓励机构开展涉外业务，为符合条件的企业提供最高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val="en-US" w:eastAsia="zh-CN"/>
        </w:rPr>
        <w:t>50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万元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的资金支持，引导专业服务机构提高国际服务市场竞争力。加促进数据要素高效流通条款，对促进数据合规交易机构给予资金奖励。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40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kern w:val="2"/>
          <w:sz w:val="32"/>
          <w:highlight w:val="none"/>
          <w:lang w:eastAsia="zh-CN"/>
        </w:rPr>
        <w:t>第四章，提高专业水平，提升机构专业能级。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鼓励专业服务机构参与行业高层级权威荣誉认定，塑造具有核心竞争力的特色服务品牌，为获得荣誉认定的机构提供最高20万元的资金奖励；支持机构参与标准制定，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补齐地方标准奖励，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提升专业服务水平，为符合条件的机构提供最高30万元的资金补助。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 w:firstLine="640" w:firstLineChars="200"/>
        <w:jc w:val="both"/>
        <w:textAlignment w:val="auto"/>
        <w:rPr>
          <w:rFonts w:hAnsi="仿宋_GB2312" w:eastAsia="仿宋_GB2312" w:cs="仿宋_GB2312"/>
          <w:b w:val="0"/>
          <w:kern w:val="2"/>
          <w:sz w:val="32"/>
          <w:highlight w:val="none"/>
        </w:rPr>
      </w:pPr>
      <w:r>
        <w:rPr>
          <w:rFonts w:hint="eastAsia" w:ascii="楷体_GB2312" w:hAnsi="楷体_GB2312" w:eastAsia="楷体_GB2312" w:cs="楷体_GB2312"/>
          <w:b w:val="0"/>
          <w:kern w:val="2"/>
          <w:sz w:val="32"/>
          <w:highlight w:val="none"/>
          <w:lang w:eastAsia="zh-CN"/>
        </w:rPr>
        <w:t>第五章，</w:t>
      </w:r>
      <w:r>
        <w:rPr>
          <w:rFonts w:hint="eastAsia" w:ascii="楷体_GB2312" w:hAnsi="楷体_GB2312" w:eastAsia="楷体_GB2312" w:cs="楷体_GB2312"/>
          <w:b w:val="0"/>
          <w:kern w:val="2"/>
          <w:sz w:val="32"/>
          <w:highlight w:val="none"/>
        </w:rPr>
        <w:t>突出促进协同合作，挖潜机构服务功能。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强调充分发挥政府平台作用，鼓励组建服务联盟；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  <w:lang w:eastAsia="zh-CN"/>
        </w:rPr>
        <w:t>鼓励专业服务员机构为社会履行公益服务，西城区为其搭建平台，通过多种形式促进专业服务机构向企业提供多元化支持</w:t>
      </w:r>
      <w:r>
        <w:rPr>
          <w:rFonts w:hint="eastAsia" w:hAnsi="仿宋_GB2312" w:eastAsia="仿宋_GB2312" w:cs="仿宋_GB2312"/>
          <w:b w:val="0"/>
          <w:kern w:val="2"/>
          <w:sz w:val="32"/>
          <w:highlight w:val="none"/>
        </w:rPr>
        <w:t>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before="0" w:beforeAutospacing="0" w:line="520" w:lineRule="exact"/>
        <w:ind w:left="0" w:leftChars="0"/>
        <w:jc w:val="both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320" w:leftChars="0" w:hanging="320" w:hangingChars="1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1598" w:leftChars="304" w:hanging="960" w:hangingChars="300"/>
        <w:textAlignment w:val="auto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附件：北京市西城区促进专业服务业高质量发展的若干措施（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征求意见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稿）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beforeAutospacing="0" w:after="0" w:line="520" w:lineRule="exact"/>
        <w:ind w:left="1680" w:leftChars="0" w:hanging="1680" w:hangingChars="800"/>
        <w:textAlignment w:val="auto"/>
        <w:rPr>
          <w:rFonts w:hint="default" w:eastAsia="宋体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520" w:lineRule="exact"/>
        <w:ind w:left="0" w:leftChars="0"/>
        <w:textAlignment w:val="auto"/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850300"/>
    <w:rsid w:val="03850300"/>
    <w:rsid w:val="29F950BA"/>
    <w:rsid w:val="2EC10879"/>
    <w:rsid w:val="2F0E3561"/>
    <w:rsid w:val="39025972"/>
    <w:rsid w:val="46F037F8"/>
    <w:rsid w:val="4D020CCF"/>
    <w:rsid w:val="4D8F7761"/>
    <w:rsid w:val="50503309"/>
    <w:rsid w:val="57F96098"/>
    <w:rsid w:val="591D7A4C"/>
    <w:rsid w:val="72AD61E2"/>
    <w:rsid w:val="7E9E2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  <w:pPr>
      <w:spacing w:after="120"/>
    </w:pPr>
  </w:style>
  <w:style w:type="paragraph" w:styleId="3">
    <w:name w:val="Body Text First Indent"/>
    <w:basedOn w:val="1"/>
    <w:qFormat/>
    <w:uiPriority w:val="0"/>
    <w:pPr>
      <w:autoSpaceDE w:val="0"/>
      <w:autoSpaceDN w:val="0"/>
      <w:adjustRightInd w:val="0"/>
      <w:ind w:firstLine="420" w:firstLineChars="100"/>
      <w:jc w:val="left"/>
    </w:pPr>
    <w:rPr>
      <w:rFonts w:ascii="仿宋_GB2312"/>
      <w:b/>
      <w:kern w:val="0"/>
      <w:szCs w:val="32"/>
    </w:rPr>
  </w:style>
  <w:style w:type="paragraph" w:styleId="4">
    <w:name w:val="Plain Text"/>
    <w:basedOn w:val="1"/>
    <w:qFormat/>
    <w:uiPriority w:val="0"/>
    <w:rPr>
      <w:rFonts w:ascii="宋体" w:hAnsi="Courier New"/>
    </w:rPr>
  </w:style>
  <w:style w:type="paragraph" w:styleId="5">
    <w:name w:val="Body Text Indent 2"/>
    <w:basedOn w:val="1"/>
    <w:qFormat/>
    <w:uiPriority w:val="0"/>
    <w:pPr>
      <w:tabs>
        <w:tab w:val="left" w:pos="2250"/>
      </w:tabs>
      <w:spacing w:before="100" w:beforeAutospacing="1" w:line="400" w:lineRule="atLeast"/>
      <w:ind w:firstLine="629"/>
    </w:pPr>
    <w:rPr>
      <w:rFonts w:eastAsia="宋体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2025-04-11T05:47:00Z</dcterms:created>
  <dc:creator>NTKO</dc:creator>
  <cp:lastModifiedBy>NTKO</cp:lastModifiedBy>
  <cp:lastPrinted>2025-04-11T07:40:00Z</cp:lastPrinted>
  <dcterms:modified xsi:type="dcterms:W3CDTF">2025-04-11T08:09:46Z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