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宁波市推进“工业上楼”三年行动计划</w:t>
      </w:r>
    </w:p>
    <w:p>
      <w:pPr>
        <w:spacing w:after="0" w:line="58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（2025-2027年）</w:t>
      </w:r>
    </w:p>
    <w:p>
      <w:pPr>
        <w:spacing w:after="0" w:line="580" w:lineRule="exact"/>
        <w:ind w:firstLine="640" w:firstLineChars="200"/>
        <w:jc w:val="left"/>
        <w:rPr>
          <w:rFonts w:ascii="仿宋_GB2312" w:hAnsi="仿宋_GB2312" w:eastAsia="仿宋_GB2312"/>
          <w:color w:val="000000"/>
          <w:sz w:val="32"/>
        </w:rPr>
      </w:pPr>
    </w:p>
    <w:p>
      <w:pPr>
        <w:spacing w:after="0" w:line="580" w:lineRule="exact"/>
        <w:ind w:firstLine="640" w:firstLineChars="200"/>
        <w:rPr>
          <w:rFonts w:ascii="仿宋_GB2312" w:hAnsi="仿宋_GB2312" w:eastAsia="仿宋_GB2312"/>
          <w:color w:val="000000"/>
          <w:kern w:val="0"/>
          <w:sz w:val="32"/>
          <w:shd w:val="clear" w:color="auto" w:fill="FFFFFF"/>
        </w:rPr>
      </w:pPr>
      <w:r>
        <w:rPr>
          <w:rFonts w:hint="eastAsia" w:ascii="仿宋_GB2312" w:hAnsi="仿宋_GB2312" w:eastAsia="仿宋_GB2312"/>
          <w:color w:val="000000"/>
          <w:kern w:val="0"/>
          <w:sz w:val="32"/>
          <w:shd w:val="clear" w:color="auto" w:fill="FFFFFF"/>
        </w:rPr>
        <w:t>“工业上楼”是在工业用地或工业占主导的混合用地上，建设可承载研发设计、试验检测、生产制造及相关配套服务等功能的工业大厦或工业综合体，是创新工业发展模式，培育新兴产业的重要抓手和载体。为贯彻党的二十届三中全会精神，落实市委、市政府关于推进“工业上楼”的部署要求，以及《宁波市加快推进新型工业化行动纲要》、《宁波市低效用地再开发试点实施方案》等文件精神，适应科技创新和产业发展的新需求，打造优质空间发展新质生产力，特制定“工业上楼”三年行动计划（2025-2027年）。</w:t>
      </w:r>
    </w:p>
    <w:p>
      <w:pPr>
        <w:spacing w:after="0" w:line="580" w:lineRule="exact"/>
        <w:ind w:firstLine="640" w:firstLineChars="200"/>
        <w:rPr>
          <w:rFonts w:ascii="黑体" w:hAnsi="黑体" w:eastAsia="黑体"/>
          <w:color w:val="000000"/>
          <w:sz w:val="32"/>
        </w:rPr>
      </w:pPr>
      <w:r>
        <w:rPr>
          <w:rFonts w:hint="eastAsia" w:ascii="黑体" w:hAnsi="黑体" w:eastAsia="黑体"/>
          <w:color w:val="000000"/>
          <w:kern w:val="0"/>
          <w:sz w:val="32"/>
          <w:shd w:val="clear" w:color="auto" w:fill="FFFFFF"/>
        </w:rPr>
        <w:t>一、</w:t>
      </w:r>
      <w:r>
        <w:rPr>
          <w:rFonts w:hint="eastAsia" w:ascii="黑体" w:hAnsi="黑体" w:eastAsia="黑体"/>
          <w:color w:val="000000"/>
          <w:sz w:val="32"/>
        </w:rPr>
        <w:t>总体要求</w:t>
      </w:r>
    </w:p>
    <w:p>
      <w:pPr>
        <w:spacing w:after="0" w:line="580" w:lineRule="exact"/>
        <w:ind w:firstLine="640" w:firstLineChars="200"/>
        <w:rPr>
          <w:rFonts w:ascii="楷体_GB2312" w:hAnsi="楷体_GB2312" w:eastAsia="楷体_GB2312"/>
          <w:bCs/>
          <w:color w:val="000000"/>
          <w:kern w:val="0"/>
          <w:sz w:val="32"/>
          <w:shd w:val="clear" w:color="auto" w:fill="FFFFFF"/>
        </w:rPr>
      </w:pPr>
      <w:r>
        <w:rPr>
          <w:rFonts w:hint="eastAsia" w:ascii="楷体_GB2312" w:hAnsi="楷体_GB2312" w:eastAsia="楷体_GB2312"/>
          <w:bCs/>
          <w:color w:val="000000"/>
          <w:kern w:val="0"/>
          <w:sz w:val="32"/>
          <w:shd w:val="clear" w:color="auto" w:fill="FFFFFF"/>
        </w:rPr>
        <w:t>（一）指导思想</w:t>
      </w:r>
    </w:p>
    <w:p>
      <w:pPr>
        <w:spacing w:after="0" w:line="580" w:lineRule="exact"/>
        <w:ind w:firstLine="640" w:firstLineChars="200"/>
        <w:rPr>
          <w:rFonts w:ascii="仿宋_GB2312" w:hAnsi="仿宋_GB2312" w:eastAsia="仿宋_GB2312"/>
          <w:color w:val="000000"/>
          <w:kern w:val="0"/>
          <w:sz w:val="32"/>
          <w:shd w:val="clear" w:color="auto" w:fill="FFFFFF"/>
        </w:rPr>
      </w:pPr>
      <w:r>
        <w:rPr>
          <w:rFonts w:hint="eastAsia" w:ascii="仿宋_GB2312" w:hAnsi="仿宋_GB2312" w:eastAsia="仿宋_GB2312"/>
          <w:color w:val="000000"/>
          <w:kern w:val="0"/>
          <w:sz w:val="32"/>
          <w:shd w:val="clear" w:color="auto" w:fill="FFFFFF"/>
        </w:rPr>
        <w:t>坚持以习近平新时代中国特色社会主义思想为指导，紧紧围绕“2070”工业集聚区建设，以全域国土空间综合整治为牵引，以提升工业空间经济承载容量和产出水平为目标，以“新增供地”、“连片改造”、“单体提容”为重点，以政策制度创新突破为支撑，</w:t>
      </w:r>
      <w:r>
        <w:rPr>
          <w:rFonts w:ascii="仿宋_GB2312" w:hAnsi="仿宋_GB2312" w:eastAsia="仿宋_GB2312"/>
          <w:color w:val="000000"/>
          <w:kern w:val="0"/>
          <w:sz w:val="32"/>
          <w:shd w:val="clear" w:color="auto" w:fill="FFFFFF"/>
        </w:rPr>
        <w:t>坚持</w:t>
      </w:r>
      <w:r>
        <w:rPr>
          <w:rFonts w:hint="eastAsia" w:ascii="仿宋_GB2312" w:hAnsi="仿宋_GB2312" w:eastAsia="仿宋_GB2312"/>
          <w:color w:val="000000"/>
          <w:kern w:val="0"/>
          <w:sz w:val="32"/>
          <w:shd w:val="clear" w:color="auto" w:fill="FFFFFF"/>
        </w:rPr>
        <w:t>因地制宜、分类推进</w:t>
      </w:r>
      <w:r>
        <w:rPr>
          <w:rFonts w:ascii="仿宋_GB2312" w:hAnsi="仿宋_GB2312" w:eastAsia="仿宋_GB2312"/>
          <w:color w:val="000000"/>
          <w:kern w:val="0"/>
          <w:sz w:val="32"/>
          <w:shd w:val="clear" w:color="auto" w:fill="FFFFFF"/>
        </w:rPr>
        <w:t>，引产</w:t>
      </w:r>
      <w:r>
        <w:rPr>
          <w:rFonts w:hint="eastAsia" w:ascii="仿宋_GB2312" w:hAnsi="仿宋_GB2312" w:eastAsia="仿宋_GB2312"/>
          <w:color w:val="000000"/>
          <w:kern w:val="0"/>
          <w:sz w:val="32"/>
          <w:shd w:val="clear" w:color="auto" w:fill="FFFFFF"/>
        </w:rPr>
        <w:t>上楼</w:t>
      </w:r>
      <w:r>
        <w:rPr>
          <w:rFonts w:ascii="仿宋_GB2312" w:hAnsi="仿宋_GB2312" w:eastAsia="仿宋_GB2312"/>
          <w:color w:val="000000"/>
          <w:kern w:val="0"/>
          <w:sz w:val="32"/>
          <w:shd w:val="clear" w:color="auto" w:fill="FFFFFF"/>
        </w:rPr>
        <w:t>、</w:t>
      </w:r>
      <w:r>
        <w:rPr>
          <w:rFonts w:hint="eastAsia" w:ascii="仿宋_GB2312" w:hAnsi="仿宋_GB2312" w:eastAsia="仿宋_GB2312"/>
          <w:color w:val="000000"/>
          <w:kern w:val="0"/>
          <w:sz w:val="32"/>
          <w:shd w:val="clear" w:color="auto" w:fill="FFFFFF"/>
        </w:rPr>
        <w:t>促产</w:t>
      </w:r>
      <w:r>
        <w:rPr>
          <w:rFonts w:ascii="仿宋_GB2312" w:hAnsi="仿宋_GB2312" w:eastAsia="仿宋_GB2312"/>
          <w:color w:val="000000"/>
          <w:kern w:val="0"/>
          <w:sz w:val="32"/>
          <w:shd w:val="clear" w:color="auto" w:fill="FFFFFF"/>
        </w:rPr>
        <w:t>提质，</w:t>
      </w:r>
      <w:r>
        <w:rPr>
          <w:rFonts w:hint="eastAsia" w:ascii="仿宋_GB2312" w:hAnsi="仿宋_GB2312" w:eastAsia="仿宋_GB2312"/>
          <w:color w:val="000000"/>
          <w:kern w:val="0"/>
          <w:sz w:val="32"/>
          <w:shd w:val="clear" w:color="auto" w:fill="FFFFFF"/>
        </w:rPr>
        <w:t>集聚强链</w:t>
      </w:r>
      <w:r>
        <w:rPr>
          <w:rFonts w:ascii="仿宋_GB2312" w:hAnsi="仿宋_GB2312" w:eastAsia="仿宋_GB2312"/>
          <w:color w:val="000000"/>
          <w:kern w:val="0"/>
          <w:sz w:val="32"/>
          <w:shd w:val="clear" w:color="auto" w:fill="FFFFFF"/>
        </w:rPr>
        <w:t>、完善生态</w:t>
      </w:r>
      <w:r>
        <w:rPr>
          <w:rFonts w:hint="eastAsia" w:ascii="仿宋_GB2312" w:hAnsi="仿宋_GB2312" w:eastAsia="仿宋_GB2312"/>
          <w:color w:val="000000"/>
          <w:kern w:val="0"/>
          <w:sz w:val="32"/>
          <w:shd w:val="clear" w:color="auto" w:fill="FFFFFF"/>
        </w:rPr>
        <w:t>，积极有序打造生产、生活、生态</w:t>
      </w:r>
      <w:r>
        <w:rPr>
          <w:rFonts w:hint="eastAsia" w:ascii="仿宋_GB2312" w:hAnsi="仿宋_GB2312" w:eastAsia="仿宋_GB2312"/>
          <w:color w:val="000000"/>
          <w:spacing w:val="-6"/>
          <w:kern w:val="0"/>
          <w:sz w:val="32"/>
          <w:shd w:val="clear" w:color="auto" w:fill="FFFFFF"/>
        </w:rPr>
        <w:t>“三生融合”的高品质工业新空间，助力产业经济高质量发展。</w:t>
      </w:r>
    </w:p>
    <w:p>
      <w:pPr>
        <w:spacing w:after="0" w:line="580" w:lineRule="exact"/>
        <w:ind w:firstLine="640" w:firstLineChars="200"/>
        <w:rPr>
          <w:rFonts w:ascii="楷体_GB2312" w:hAnsi="楷体_GB2312" w:eastAsia="楷体_GB2312"/>
          <w:bCs/>
          <w:color w:val="000000"/>
          <w:kern w:val="0"/>
          <w:sz w:val="32"/>
          <w:shd w:val="clear" w:color="auto" w:fill="FFFFFF"/>
        </w:rPr>
      </w:pPr>
      <w:r>
        <w:rPr>
          <w:rFonts w:hint="eastAsia" w:ascii="楷体_GB2312" w:hAnsi="楷体_GB2312" w:eastAsia="楷体_GB2312"/>
          <w:bCs/>
          <w:color w:val="000000"/>
          <w:kern w:val="0"/>
          <w:sz w:val="32"/>
          <w:shd w:val="clear" w:color="auto" w:fill="FFFFFF"/>
        </w:rPr>
        <w:t>（二）主要目标</w:t>
      </w:r>
    </w:p>
    <w:p>
      <w:pPr>
        <w:spacing w:after="0" w:line="580" w:lineRule="exact"/>
        <w:ind w:firstLine="640" w:firstLineChars="200"/>
        <w:rPr>
          <w:rFonts w:ascii="仿宋_GB2312" w:hAnsi="仿宋_GB2312" w:eastAsia="仿宋_GB2312"/>
          <w:color w:val="000000"/>
          <w:kern w:val="0"/>
          <w:sz w:val="32"/>
          <w:shd w:val="clear" w:color="auto" w:fill="FFFFFF"/>
        </w:rPr>
      </w:pPr>
      <w:r>
        <w:rPr>
          <w:rFonts w:hint="eastAsia" w:ascii="仿宋_GB2312" w:hAnsi="仿宋_GB2312" w:eastAsia="仿宋_GB2312"/>
          <w:color w:val="000000"/>
          <w:kern w:val="0"/>
          <w:sz w:val="32"/>
          <w:shd w:val="clear" w:color="auto" w:fill="FFFFFF"/>
        </w:rPr>
        <w:t>聚焦产业高端化、绿色化、集成化，积极推进产业转型升级和制造业高质量发展，到2027年，全市推进市级“工业上楼”示范项目100个以上，支持各类经营主体建设容积率2.5以上的高品质工业空间1000万平方米，推进现代制造与生产性服务业在高效能空间载体融合共生，涌现一批科技含量高、核心竞争力强的独角兽企业和专精特新企业，成为创新创业、企业培育和产业增长的新动能、新引擎。</w:t>
      </w:r>
    </w:p>
    <w:p>
      <w:pPr>
        <w:spacing w:after="0" w:line="580" w:lineRule="exact"/>
        <w:ind w:firstLine="640" w:firstLineChars="200"/>
        <w:rPr>
          <w:rFonts w:ascii="黑体" w:hAnsi="黑体" w:eastAsia="黑体"/>
          <w:color w:val="000000"/>
          <w:kern w:val="0"/>
          <w:sz w:val="32"/>
          <w:shd w:val="clear" w:color="auto" w:fill="FFFFFF"/>
        </w:rPr>
      </w:pPr>
      <w:r>
        <w:rPr>
          <w:rFonts w:hint="eastAsia" w:ascii="黑体" w:hAnsi="黑体" w:eastAsia="黑体"/>
          <w:color w:val="000000"/>
          <w:kern w:val="0"/>
          <w:sz w:val="32"/>
          <w:shd w:val="clear" w:color="auto" w:fill="FFFFFF"/>
        </w:rPr>
        <w:t>二、重点任务</w:t>
      </w:r>
    </w:p>
    <w:p>
      <w:pPr>
        <w:spacing w:after="0" w:line="580" w:lineRule="exact"/>
        <w:ind w:firstLine="640" w:firstLineChars="200"/>
        <w:rPr>
          <w:rFonts w:ascii="楷体_GB2312" w:hAnsi="楷体_GB2312" w:eastAsia="楷体_GB2312" w:cs="楷体_GB2312"/>
          <w:bCs/>
          <w:color w:val="000000"/>
          <w:kern w:val="0"/>
          <w:sz w:val="32"/>
          <w:shd w:val="clear" w:color="auto" w:fill="FFFFFF"/>
        </w:rPr>
      </w:pPr>
      <w:r>
        <w:rPr>
          <w:rFonts w:hint="eastAsia" w:ascii="楷体_GB2312" w:hAnsi="楷体_GB2312" w:eastAsia="楷体_GB2312" w:cs="楷体_GB2312"/>
          <w:bCs/>
          <w:color w:val="000000"/>
          <w:kern w:val="0"/>
          <w:sz w:val="32"/>
          <w:shd w:val="clear" w:color="auto" w:fill="FFFFFF"/>
        </w:rPr>
        <w:t>（一）明确“上楼”推进重点</w:t>
      </w:r>
    </w:p>
    <w:p>
      <w:pPr>
        <w:spacing w:after="0" w:line="580" w:lineRule="exact"/>
        <w:ind w:firstLine="640" w:firstLineChars="200"/>
        <w:rPr>
          <w:rFonts w:ascii="楷体_GB2312" w:hAnsi="仿宋_GB2312" w:eastAsia="楷体_GB2312" w:cs="仿宋_GB2312"/>
          <w:bCs/>
          <w:color w:val="000000"/>
          <w:kern w:val="0"/>
          <w:sz w:val="32"/>
          <w:shd w:val="clear" w:color="auto" w:fill="FFFFFF"/>
        </w:rPr>
      </w:pPr>
      <w:r>
        <w:rPr>
          <w:rFonts w:hint="eastAsia" w:ascii="仿宋_GB2312" w:hAnsi="仿宋_GB2312" w:eastAsia="仿宋_GB2312" w:cs="仿宋_GB2312"/>
          <w:b/>
          <w:color w:val="000000"/>
          <w:kern w:val="0"/>
          <w:sz w:val="32"/>
          <w:shd w:val="clear" w:color="auto" w:fill="FFFFFF"/>
        </w:rPr>
        <w:t>1.统筹推进连片改造“上楼”。</w:t>
      </w:r>
      <w:r>
        <w:rPr>
          <w:rFonts w:hint="eastAsia" w:ascii="仿宋_GB2312" w:eastAsia="仿宋_GB2312" w:cs="仿宋_GB2312"/>
          <w:sz w:val="32"/>
          <w:szCs w:val="32"/>
          <w:lang w:val="en" w:bidi="ar"/>
        </w:rPr>
        <w:t>协同推进“工业上楼”与区块连片改造联动，与全域国土空间综合整治的耦合。健全“综合评价—片区策划—实施方案—推进计划”的工作机制，对“2070”集聚区内和工业控制线外零星工业用地开展以亩均产出、生态环境和安全影响等因素为主的改造潜力分析，动态形成“工业上楼”重点清单。鼓励国资平台、专业机构、村级集体、工业企业等主体探索推行联合拿地联合建设，</w:t>
      </w:r>
      <w:r>
        <w:rPr>
          <w:rFonts w:hint="eastAsia" w:ascii="仿宋_GB2312" w:hAnsi="仿宋_GB2312" w:eastAsia="仿宋_GB2312" w:cs="仿宋_GB2312"/>
          <w:bCs/>
          <w:color w:val="000000"/>
          <w:kern w:val="0"/>
          <w:sz w:val="32"/>
          <w:shd w:val="clear" w:color="auto" w:fill="FFFFFF"/>
        </w:rPr>
        <w:t>推进连片改造项目通过配建商业、居住用房等形式进行统一规划整合和改造开发，打造产业协同、空间集约的上楼片区。到2027年，全市连片改造面积超2万亩。</w:t>
      </w:r>
      <w:r>
        <w:rPr>
          <w:rFonts w:hint="eastAsia" w:ascii="楷体_GB2312" w:hAnsi="华文中宋" w:eastAsia="楷体_GB2312" w:cs="华文中宋"/>
          <w:bCs/>
          <w:color w:val="000000"/>
          <w:kern w:val="0"/>
          <w:sz w:val="32"/>
          <w:shd w:val="clear" w:color="auto" w:fill="FFFFFF"/>
        </w:rPr>
        <w:t>〔</w:t>
      </w:r>
      <w:r>
        <w:rPr>
          <w:rFonts w:hint="eastAsia" w:ascii="楷体_GB2312" w:hAnsi="华文楷体" w:eastAsia="楷体_GB2312" w:cs="华文楷体"/>
          <w:bCs/>
          <w:color w:val="000000"/>
          <w:kern w:val="0"/>
          <w:sz w:val="32"/>
          <w:szCs w:val="24"/>
          <w:shd w:val="clear" w:color="auto" w:fill="FFFFFF"/>
        </w:rPr>
        <w:t>责任单位：市数字经济局（市经信局）、市自然资源规划局、市住建局、各区（县、市）政府，高新区、前湾新区管委会，下同</w:t>
      </w:r>
      <w:r>
        <w:rPr>
          <w:rFonts w:hint="eastAsia" w:ascii="楷体_GB2312" w:hAnsi="仿宋_GB2312" w:eastAsia="楷体_GB2312" w:cs="仿宋_GB2312"/>
          <w:bCs/>
          <w:color w:val="000000"/>
          <w:kern w:val="0"/>
          <w:sz w:val="32"/>
          <w:szCs w:val="24"/>
          <w:shd w:val="clear" w:color="auto" w:fill="FFFFFF"/>
        </w:rPr>
        <w:t>。</w:t>
      </w:r>
      <w:r>
        <w:rPr>
          <w:rFonts w:hint="eastAsia" w:ascii="楷体_GB2312" w:hAnsi="华文中宋" w:eastAsia="楷体_GB2312" w:cs="华文中宋"/>
          <w:bCs/>
          <w:color w:val="000000"/>
          <w:kern w:val="0"/>
          <w:sz w:val="32"/>
          <w:shd w:val="clear" w:color="auto" w:fill="FFFFFF"/>
        </w:rPr>
        <w:t>〕</w:t>
      </w:r>
    </w:p>
    <w:p>
      <w:pPr>
        <w:adjustRightInd w:val="0"/>
        <w:snapToGrid w:val="0"/>
        <w:spacing w:after="0" w:line="580" w:lineRule="exact"/>
        <w:ind w:firstLine="640" w:firstLineChars="200"/>
        <w:rPr>
          <w:rFonts w:ascii="楷体_GB2312" w:hAnsi="华文中宋" w:eastAsia="楷体_GB2312" w:cs="华文中宋"/>
          <w:bCs/>
          <w:color w:val="000000"/>
          <w:kern w:val="0"/>
          <w:sz w:val="32"/>
          <w:shd w:val="clear" w:color="auto" w:fill="FFFFFF"/>
        </w:rPr>
      </w:pPr>
      <w:r>
        <w:rPr>
          <w:rFonts w:hint="eastAsia" w:ascii="仿宋_GB2312" w:hAnsi="仿宋_GB2312" w:eastAsia="仿宋_GB2312" w:cs="仿宋_GB2312"/>
          <w:b/>
          <w:color w:val="000000"/>
          <w:kern w:val="0"/>
          <w:sz w:val="32"/>
          <w:shd w:val="clear" w:color="auto" w:fill="FFFFFF"/>
        </w:rPr>
        <w:t>2.有序推进单体企业提容“上楼”。</w:t>
      </w:r>
      <w:r>
        <w:rPr>
          <w:rFonts w:hint="eastAsia" w:ascii="仿宋_GB2312" w:hAnsi="仿宋_GB2312" w:eastAsia="仿宋_GB2312" w:cs="仿宋_GB2312"/>
          <w:sz w:val="32"/>
          <w:szCs w:val="40"/>
        </w:rPr>
        <w:t>在符合规划、不改变土地用途，保障建筑主体和生产安全的前提下，</w:t>
      </w:r>
      <w:r>
        <w:rPr>
          <w:rFonts w:hint="eastAsia" w:ascii="仿宋_GB2312" w:eastAsia="仿宋_GB2312" w:cs="仿宋_GB2312"/>
          <w:sz w:val="32"/>
          <w:szCs w:val="32"/>
          <w:lang w:val="en" w:bidi="ar"/>
        </w:rPr>
        <w:t>鼓励结构转型快、成长潜力好、空间需求迫切、生产工艺易于“上楼”的优质制造业企业在现有用地采用新建、改建、扩建等多种形式推进旧厂区、旧厂房改造，提高容积率，推进“工业上楼”。优先支持工业区块控制线内企业提容改造；在符合相关规划，满足消防、建筑结构安全的前提下，工业区块控制线外零星工业用地“零土地”技改，</w:t>
      </w:r>
      <w:r>
        <w:rPr>
          <w:rFonts w:hint="eastAsia" w:ascii="仿宋_GB2312" w:eastAsia="仿宋_GB2312"/>
          <w:snapToGrid w:val="0"/>
          <w:color w:val="000000"/>
          <w:spacing w:val="-4"/>
          <w:kern w:val="21"/>
          <w:sz w:val="32"/>
          <w:szCs w:val="32"/>
        </w:rPr>
        <w:t>按</w:t>
      </w:r>
      <w:r>
        <w:rPr>
          <w:rFonts w:hint="eastAsia" w:ascii="仿宋_GB2312" w:eastAsia="仿宋_GB2312" w:cs="仿宋_GB2312"/>
          <w:sz w:val="32"/>
          <w:szCs w:val="32"/>
          <w:lang w:val="en" w:bidi="ar"/>
        </w:rPr>
        <w:t>工业区块</w:t>
      </w:r>
      <w:r>
        <w:rPr>
          <w:rFonts w:hint="eastAsia" w:ascii="仿宋_GB2312" w:eastAsia="仿宋_GB2312"/>
          <w:snapToGrid w:val="0"/>
          <w:color w:val="000000"/>
          <w:spacing w:val="-4"/>
          <w:kern w:val="21"/>
          <w:sz w:val="32"/>
          <w:szCs w:val="32"/>
        </w:rPr>
        <w:t>控制线管理办法执行。</w:t>
      </w:r>
      <w:r>
        <w:rPr>
          <w:rFonts w:hint="eastAsia" w:ascii="仿宋_GB2312" w:eastAsia="仿宋_GB2312" w:cs="仿宋_GB2312"/>
          <w:sz w:val="32"/>
          <w:szCs w:val="32"/>
          <w:lang w:val="en" w:bidi="ar"/>
        </w:rPr>
        <w:t>到</w:t>
      </w:r>
      <w:r>
        <w:rPr>
          <w:rFonts w:hint="eastAsia" w:ascii="仿宋_GB2312" w:eastAsia="仿宋_GB2312" w:cs="仿宋_GB2312"/>
          <w:sz w:val="32"/>
          <w:szCs w:val="32"/>
          <w:lang w:bidi="ar"/>
        </w:rPr>
        <w:t>2027年，全市单体提容项目容积率原则提升至2.0以上。</w:t>
      </w:r>
      <w:r>
        <w:rPr>
          <w:rFonts w:hint="eastAsia" w:ascii="楷体_GB2312" w:hAnsi="华文中宋" w:eastAsia="楷体_GB2312" w:cs="华文中宋"/>
          <w:bCs/>
          <w:color w:val="000000"/>
          <w:kern w:val="0"/>
          <w:sz w:val="32"/>
          <w:shd w:val="clear" w:color="auto" w:fill="FFFFFF"/>
        </w:rPr>
        <w:t>〔责任单位：市数字经济局（市经信局）、市自然资源规划局、市住建局〕</w:t>
      </w:r>
    </w:p>
    <w:p>
      <w:pPr>
        <w:spacing w:after="0" w:line="580" w:lineRule="exact"/>
        <w:ind w:firstLine="640" w:firstLineChars="200"/>
        <w:rPr>
          <w:rFonts w:ascii="宋体" w:hAnsi="宋体"/>
          <w:sz w:val="30"/>
          <w:szCs w:val="24"/>
        </w:rPr>
      </w:pPr>
      <w:r>
        <w:rPr>
          <w:rFonts w:hint="eastAsia" w:ascii="仿宋_GB2312" w:hAnsi="仿宋_GB2312" w:eastAsia="仿宋_GB2312" w:cs="仿宋_GB2312"/>
          <w:b/>
          <w:color w:val="000000"/>
          <w:kern w:val="0"/>
          <w:sz w:val="32"/>
          <w:szCs w:val="24"/>
          <w:shd w:val="clear" w:color="auto" w:fill="FFFFFF"/>
        </w:rPr>
        <w:t>3.推动新增供地项目高标准“上楼”。</w:t>
      </w:r>
      <w:r>
        <w:rPr>
          <w:rFonts w:hint="eastAsia" w:ascii="仿宋_GB2312" w:hAnsi="仿宋_GB2312" w:eastAsia="仿宋_GB2312" w:cs="仿宋_GB2312"/>
          <w:bCs/>
          <w:color w:val="000000"/>
          <w:kern w:val="0"/>
          <w:sz w:val="32"/>
          <w:szCs w:val="24"/>
          <w:shd w:val="clear" w:color="auto" w:fill="FFFFFF"/>
        </w:rPr>
        <w:t>引导新供地项目围绕新一代信息技术、数字经济等新兴产业积极打造高品质、高标准“工业上楼”，鼓励装备制造等传统产业有条件“上楼”，实现项目与产业发展高度适配。除符合《“工业上楼”产业引导》指南规定的“不建议上楼项目”外，</w:t>
      </w:r>
      <w:r>
        <w:rPr>
          <w:rFonts w:hint="eastAsia" w:ascii="仿宋_GB2312" w:hAnsi="仿宋_GB2312" w:eastAsia="仿宋_GB2312"/>
          <w:color w:val="000000"/>
          <w:sz w:val="32"/>
          <w:szCs w:val="24"/>
        </w:rPr>
        <w:t>全市按产业导向目录实施容积率准入。</w:t>
      </w:r>
      <w:r>
        <w:rPr>
          <w:rFonts w:hint="eastAsia" w:ascii="仿宋_GB2312" w:hAnsi="仿宋_GB2312" w:eastAsia="仿宋_GB2312" w:cs="仿宋_GB2312"/>
          <w:bCs/>
          <w:color w:val="000000"/>
          <w:kern w:val="0"/>
          <w:sz w:val="32"/>
          <w:szCs w:val="24"/>
          <w:shd w:val="clear" w:color="auto" w:fill="FFFFFF"/>
        </w:rPr>
        <w:t>新增供地项目容积率一般不设上限，市区范围内原则上不低于2.0，其中M0用地容积率一般不低于2.5。</w:t>
      </w:r>
      <w:r>
        <w:rPr>
          <w:rFonts w:hint="eastAsia" w:ascii="仿宋_GB2312" w:hAnsi="仿宋_GB2312" w:eastAsia="仿宋_GB2312"/>
          <w:color w:val="000000"/>
          <w:sz w:val="32"/>
          <w:szCs w:val="24"/>
        </w:rPr>
        <w:t>余姚、慈溪、宁海、象山参照市六区标准，宜高则高。</w:t>
      </w:r>
      <w:r>
        <w:rPr>
          <w:rFonts w:hint="eastAsia" w:ascii="仿宋_GB2312" w:hAnsi="仿宋_GB2312" w:eastAsia="仿宋_GB2312" w:cs="仿宋_GB2312"/>
          <w:bCs/>
          <w:color w:val="000000"/>
          <w:kern w:val="0"/>
          <w:sz w:val="32"/>
          <w:szCs w:val="24"/>
          <w:shd w:val="clear" w:color="auto" w:fill="FFFFFF"/>
        </w:rPr>
        <w:t>严格落实《宁波市工业集聚区专项规划》，新供地项目原则上统筹布局在工业区块控制线内。</w:t>
      </w:r>
      <w:r>
        <w:rPr>
          <w:rFonts w:hint="eastAsia" w:ascii="楷体_GB2312" w:hAnsi="华文中宋" w:eastAsia="楷体_GB2312" w:cs="华文中宋"/>
          <w:bCs/>
          <w:color w:val="000000"/>
          <w:kern w:val="0"/>
          <w:sz w:val="32"/>
          <w:shd w:val="clear" w:color="auto" w:fill="FFFFFF"/>
        </w:rPr>
        <w:t>〔责任单位：市数字经济局（市经信局）、市自然资源规划局、市住建局〕</w:t>
      </w:r>
    </w:p>
    <w:p>
      <w:pPr>
        <w:spacing w:after="0" w:line="580" w:lineRule="exact"/>
        <w:ind w:firstLine="640" w:firstLineChars="200"/>
        <w:rPr>
          <w:rFonts w:ascii="楷体_GB2312" w:hAnsi="楷体_GB2312" w:eastAsia="楷体_GB2312" w:cs="楷体_GB2312"/>
          <w:bCs/>
          <w:color w:val="000000"/>
          <w:kern w:val="0"/>
          <w:sz w:val="32"/>
          <w:shd w:val="clear" w:color="auto" w:fill="FFFFFF"/>
        </w:rPr>
      </w:pPr>
      <w:r>
        <w:rPr>
          <w:rFonts w:hint="eastAsia" w:ascii="楷体_GB2312" w:hAnsi="楷体_GB2312" w:eastAsia="楷体_GB2312" w:cs="楷体_GB2312"/>
          <w:bCs/>
          <w:color w:val="000000"/>
          <w:kern w:val="0"/>
          <w:sz w:val="32"/>
          <w:shd w:val="clear" w:color="auto" w:fill="FFFFFF"/>
        </w:rPr>
        <w:t>（二）推动产业向“新”发展</w:t>
      </w:r>
    </w:p>
    <w:p>
      <w:pPr>
        <w:spacing w:after="0" w:line="580" w:lineRule="exact"/>
        <w:ind w:firstLine="640" w:firstLineChars="200"/>
        <w:rPr>
          <w:rFonts w:ascii="华文中宋" w:hAnsi="华文中宋" w:eastAsia="华文中宋" w:cs="华文中宋"/>
          <w:bCs/>
          <w:color w:val="000000"/>
          <w:kern w:val="0"/>
          <w:sz w:val="32"/>
          <w:shd w:val="clear" w:color="auto" w:fill="FFFFFF"/>
        </w:rPr>
      </w:pPr>
      <w:r>
        <w:rPr>
          <w:rFonts w:hint="eastAsia" w:ascii="仿宋_GB2312" w:hAnsi="仿宋_GB2312" w:eastAsia="仿宋_GB2312" w:cs="仿宋_GB2312"/>
          <w:b/>
          <w:color w:val="000000"/>
          <w:kern w:val="0"/>
          <w:sz w:val="32"/>
          <w:shd w:val="clear" w:color="auto" w:fill="FFFFFF"/>
        </w:rPr>
        <w:t>4.以“上楼”带动产业创新。</w:t>
      </w:r>
      <w:r>
        <w:rPr>
          <w:rFonts w:hint="eastAsia" w:ascii="仿宋_GB2312" w:hAnsi="仿宋_GB2312" w:eastAsia="仿宋_GB2312" w:cs="仿宋_GB2312"/>
          <w:bCs/>
          <w:color w:val="000000"/>
          <w:kern w:val="0"/>
          <w:sz w:val="32"/>
          <w:szCs w:val="24"/>
          <w:shd w:val="clear" w:color="auto" w:fill="FFFFFF"/>
        </w:rPr>
        <w:t>深入贯彻“上下楼就是上下游、产业园就是产业链”发展理念，</w:t>
      </w:r>
      <w:r>
        <w:rPr>
          <w:rFonts w:hint="eastAsia" w:ascii="仿宋_GB2312" w:hAnsi="仿宋_GB2312" w:eastAsia="仿宋_GB2312" w:cs="仿宋_GB2312"/>
          <w:bCs/>
          <w:color w:val="000000"/>
          <w:kern w:val="0"/>
          <w:sz w:val="32"/>
          <w:shd w:val="clear" w:color="auto" w:fill="FFFFFF"/>
        </w:rPr>
        <w:t>以“工业上楼”带动产业创新，积极推进“先进制造+研发办公+总部大厦”</w:t>
      </w:r>
      <w:r>
        <w:rPr>
          <w:rFonts w:hint="eastAsia" w:ascii="仿宋_GB2312" w:hAnsi="仿宋_GB2312" w:eastAsia="仿宋_GB2312" w:cs="仿宋_GB2312"/>
          <w:bCs/>
          <w:kern w:val="0"/>
          <w:sz w:val="32"/>
          <w:shd w:val="clear" w:color="auto" w:fill="FFFFFF"/>
        </w:rPr>
        <w:t>的模式。</w:t>
      </w:r>
      <w:r>
        <w:rPr>
          <w:rFonts w:hint="eastAsia" w:ascii="仿宋_GB2312" w:hAnsi="仿宋_GB2312" w:eastAsia="仿宋_GB2312" w:cs="仿宋_GB2312"/>
          <w:bCs/>
          <w:color w:val="000000"/>
          <w:kern w:val="0"/>
          <w:sz w:val="32"/>
          <w:shd w:val="clear" w:color="auto" w:fill="FFFFFF"/>
        </w:rPr>
        <w:t>聚焦重点“上楼”项目，打造智造空间，积极培育先进制造、智能制造、服务型制造等新兴模式和智能传感、人工智能、人形机器人、量子信息等新兴产业，以及与工业生产配套的软件信息、科技服务等现代生产性服务业。推进一批优势明显、成长性好的优秀企业加快培育成有竞争力的创新型龙头企业，引领工业楼宇创新发展。</w:t>
      </w:r>
      <w:r>
        <w:rPr>
          <w:rFonts w:hint="eastAsia" w:ascii="楷体_GB2312" w:hAnsi="华文中宋" w:eastAsia="楷体_GB2312" w:cs="华文中宋"/>
          <w:bCs/>
          <w:color w:val="000000"/>
          <w:kern w:val="0"/>
          <w:sz w:val="32"/>
          <w:shd w:val="clear" w:color="auto" w:fill="FFFFFF"/>
        </w:rPr>
        <w:t>〔责任单位：市数字经济局（市经信局）、市发改委、市科技局〕</w:t>
      </w:r>
    </w:p>
    <w:p>
      <w:pPr>
        <w:spacing w:after="0" w:line="580" w:lineRule="exact"/>
        <w:ind w:firstLine="640" w:firstLineChars="200"/>
        <w:rPr>
          <w:rFonts w:ascii="华文中宋" w:hAnsi="华文中宋" w:eastAsia="华文中宋" w:cs="华文中宋"/>
          <w:bCs/>
          <w:color w:val="000000"/>
          <w:kern w:val="0"/>
          <w:sz w:val="32"/>
          <w:shd w:val="clear" w:color="auto" w:fill="FFFFFF"/>
        </w:rPr>
      </w:pPr>
      <w:r>
        <w:rPr>
          <w:rFonts w:hint="eastAsia" w:ascii="仿宋_GB2312" w:hAnsi="仿宋_GB2312" w:eastAsia="仿宋_GB2312" w:cs="仿宋_GB2312"/>
          <w:b/>
          <w:color w:val="000000"/>
          <w:kern w:val="0"/>
          <w:sz w:val="32"/>
          <w:shd w:val="clear" w:color="auto" w:fill="FFFFFF"/>
        </w:rPr>
        <w:t>5.以“上楼”引导产业转型。</w:t>
      </w:r>
      <w:r>
        <w:rPr>
          <w:rFonts w:hint="eastAsia" w:ascii="仿宋_GB2312" w:hAnsi="仿宋_GB2312" w:eastAsia="仿宋_GB2312" w:cs="仿宋_GB2312"/>
          <w:bCs/>
          <w:color w:val="000000"/>
          <w:kern w:val="0"/>
          <w:sz w:val="32"/>
          <w:shd w:val="clear" w:color="auto" w:fill="FFFFFF"/>
        </w:rPr>
        <w:t>鼓励传统工业企业按照“能上则上”原则，通过优化工艺流程、调整空间布局、实施分层荷载、集成物流运输等途径“上楼”。支持传统企业围绕智能化生产、促进技术装备和产品更新换代、改善生产环境等方面加大转型投入，采用工业大厦或</w:t>
      </w:r>
      <w:r>
        <w:rPr>
          <w:rFonts w:hint="eastAsia" w:ascii="仿宋_GB2312" w:hAnsi="仿宋_GB2312" w:eastAsia="仿宋_GB2312"/>
          <w:color w:val="000000"/>
          <w:kern w:val="0"/>
          <w:sz w:val="32"/>
          <w:shd w:val="clear" w:color="auto" w:fill="FFFFFF"/>
        </w:rPr>
        <w:t>工业综合体</w:t>
      </w:r>
      <w:r>
        <w:rPr>
          <w:rFonts w:hint="eastAsia" w:ascii="仿宋_GB2312" w:hAnsi="仿宋_GB2312" w:eastAsia="仿宋_GB2312" w:cs="仿宋_GB2312"/>
          <w:bCs/>
          <w:color w:val="000000"/>
          <w:kern w:val="0"/>
          <w:sz w:val="32"/>
          <w:shd w:val="clear" w:color="auto" w:fill="FFFFFF"/>
        </w:rPr>
        <w:t>等模式，推动生产、管理等重点环节集成互通和协同管控，通过“上楼”向先进级智能工厂升级，推进企业向高端化、智能化方向转型,壮大数字经济企业队伍。</w:t>
      </w:r>
      <w:r>
        <w:rPr>
          <w:rFonts w:hint="eastAsia" w:ascii="楷体_GB2312" w:hAnsi="华文中宋" w:eastAsia="楷体_GB2312" w:cs="华文中宋"/>
          <w:bCs/>
          <w:color w:val="000000"/>
          <w:kern w:val="0"/>
          <w:sz w:val="32"/>
          <w:shd w:val="clear" w:color="auto" w:fill="FFFFFF"/>
        </w:rPr>
        <w:t>〔责任单位：市数字经济局（市经信局）、市住建局、市科技局〕</w:t>
      </w:r>
    </w:p>
    <w:p>
      <w:pPr>
        <w:spacing w:after="0" w:line="580" w:lineRule="exact"/>
        <w:ind w:firstLine="640" w:firstLineChars="200"/>
      </w:pPr>
      <w:r>
        <w:rPr>
          <w:rFonts w:hint="eastAsia" w:ascii="仿宋_GB2312" w:hAnsi="仿宋_GB2312" w:eastAsia="仿宋_GB2312" w:cs="仿宋_GB2312"/>
          <w:b/>
          <w:kern w:val="0"/>
          <w:sz w:val="32"/>
          <w:shd w:val="clear" w:color="auto" w:fill="FFFFFF"/>
        </w:rPr>
        <w:t>6.以“上楼”培育创新载体。</w:t>
      </w:r>
      <w:r>
        <w:rPr>
          <w:rFonts w:hint="eastAsia" w:ascii="仿宋_GB2312" w:hAnsi="仿宋_GB2312" w:eastAsia="仿宋_GB2312" w:cs="仿宋_GB2312"/>
          <w:bCs/>
          <w:kern w:val="0"/>
          <w:sz w:val="32"/>
          <w:shd w:val="clear" w:color="auto" w:fill="FFFFFF"/>
        </w:rPr>
        <w:t>聚焦高精尖产业领域和未来产业方向，以甬江科创区为重点，打造一批科技孵化服务能力强的“工业上楼”项目，培育一批孵化器、创新中心、研发机构、检测试验等创新（服务）平台。鼓励龙头企业依托自身资源在“上楼”空间建设专业化孵化载体，推动“龙头企业+孵化赋能”模式，促进资源聚集与开放共享。完善楼宇综合服务功能，集成技术研发、成果转化、企业孵化等创新要素，构建“上楼”空间全链条创新生态。</w:t>
      </w:r>
      <w:r>
        <w:rPr>
          <w:rFonts w:hint="eastAsia" w:ascii="楷体_GB2312" w:hAnsi="华文中宋" w:eastAsia="楷体_GB2312" w:cs="华文中宋"/>
          <w:bCs/>
          <w:color w:val="000000"/>
          <w:kern w:val="0"/>
          <w:sz w:val="32"/>
          <w:shd w:val="clear" w:color="auto" w:fill="FFFFFF"/>
        </w:rPr>
        <w:t>〔责任单位：市科技局、市市场监管局、市发改委、市数字经济局（市经信局）〕</w:t>
      </w:r>
    </w:p>
    <w:p>
      <w:pPr>
        <w:spacing w:after="0" w:line="580" w:lineRule="exact"/>
        <w:ind w:firstLine="640" w:firstLineChars="200"/>
        <w:rPr>
          <w:rFonts w:ascii="楷体_GB2312" w:hAnsi="楷体_GB2312" w:eastAsia="楷体_GB2312" w:cs="楷体_GB2312"/>
          <w:bCs/>
          <w:color w:val="000000"/>
          <w:kern w:val="0"/>
          <w:sz w:val="32"/>
          <w:szCs w:val="24"/>
          <w:shd w:val="clear" w:color="auto" w:fill="FFFFFF"/>
        </w:rPr>
      </w:pPr>
      <w:r>
        <w:rPr>
          <w:rFonts w:hint="eastAsia" w:ascii="仿宋_GB2312" w:hAnsi="仿宋_GB2312" w:eastAsia="仿宋_GB2312" w:cs="仿宋_GB2312"/>
          <w:b/>
          <w:color w:val="000000"/>
          <w:kern w:val="0"/>
          <w:sz w:val="32"/>
          <w:szCs w:val="24"/>
          <w:shd w:val="clear" w:color="auto" w:fill="FFFFFF"/>
        </w:rPr>
        <w:t>7.以“上楼”推动精准招引。</w:t>
      </w:r>
      <w:r>
        <w:rPr>
          <w:rFonts w:hint="eastAsia" w:ascii="仿宋_GB2312" w:hAnsi="仿宋_GB2312" w:eastAsia="仿宋_GB2312" w:cs="仿宋_GB2312"/>
          <w:bCs/>
          <w:color w:val="000000"/>
          <w:kern w:val="0"/>
          <w:sz w:val="32"/>
          <w:shd w:val="clear" w:color="auto" w:fill="FFFFFF"/>
        </w:rPr>
        <w:t>瞄准数字经济等高度依赖创新的新经济形态，强化新领域新赛道制度供给，支持新产业新业态新模式在工业楼宇落地。</w:t>
      </w:r>
      <w:r>
        <w:rPr>
          <w:rFonts w:hint="eastAsia" w:ascii="仿宋_GB2312" w:hAnsi="仿宋_GB2312" w:eastAsia="仿宋_GB2312" w:cs="仿宋_GB2312"/>
          <w:bCs/>
          <w:color w:val="000000"/>
          <w:kern w:val="0"/>
          <w:sz w:val="32"/>
          <w:szCs w:val="24"/>
          <w:shd w:val="clear" w:color="auto" w:fill="FFFFFF"/>
        </w:rPr>
        <w:t>建立完善“工业上楼”项目招商体系,开展跨区域、跨行业、跨园区联合招商，突出以商招商、链主招商、产业链供应链招商、基金券商招商等，推动优质项目“上楼”集聚。迭代升级“甬招商”数字化管理服务平台，归集“工业上楼”载体企业名录、项目基本信息、产业定位、招商方向、产业配套等关键招商信息，细化产业招商目标企业清单，实施精准招商。到2027年，全市招引1亿以上“工业上楼”项目50个。</w:t>
      </w:r>
      <w:r>
        <w:rPr>
          <w:rFonts w:hint="eastAsia" w:ascii="楷体_GB2312" w:hAnsi="华文中宋" w:eastAsia="楷体_GB2312" w:cs="华文中宋"/>
          <w:bCs/>
          <w:color w:val="000000"/>
          <w:kern w:val="0"/>
          <w:sz w:val="32"/>
          <w:shd w:val="clear" w:color="auto" w:fill="FFFFFF"/>
        </w:rPr>
        <w:t>〔责任单位：市投资促进局、市数字经济局（市经信局）、市发改委〕</w:t>
      </w:r>
    </w:p>
    <w:p>
      <w:pPr>
        <w:spacing w:after="0" w:line="580" w:lineRule="exact"/>
        <w:ind w:firstLine="640" w:firstLineChars="200"/>
        <w:rPr>
          <w:rFonts w:ascii="楷体_GB2312" w:hAnsi="楷体_GB2312" w:eastAsia="楷体_GB2312" w:cs="楷体_GB2312"/>
          <w:bCs/>
          <w:color w:val="000000"/>
          <w:kern w:val="0"/>
          <w:sz w:val="32"/>
          <w:shd w:val="clear" w:color="auto" w:fill="FFFFFF"/>
        </w:rPr>
      </w:pPr>
      <w:r>
        <w:rPr>
          <w:rFonts w:hint="eastAsia" w:ascii="楷体_GB2312" w:hAnsi="楷体_GB2312" w:eastAsia="楷体_GB2312" w:cs="楷体_GB2312"/>
          <w:bCs/>
          <w:color w:val="000000"/>
          <w:kern w:val="0"/>
          <w:sz w:val="32"/>
          <w:shd w:val="clear" w:color="auto" w:fill="FFFFFF"/>
        </w:rPr>
        <w:t>（三）探索多元开发路径</w:t>
      </w:r>
    </w:p>
    <w:p>
      <w:pPr>
        <w:spacing w:after="0" w:line="580" w:lineRule="exact"/>
        <w:ind w:firstLine="640" w:firstLineChars="200"/>
        <w:rPr>
          <w:rFonts w:ascii="华文楷体" w:hAnsi="华文楷体" w:eastAsia="华文楷体" w:cs="华文楷体"/>
          <w:bCs/>
          <w:color w:val="000000"/>
          <w:kern w:val="0"/>
          <w:sz w:val="32"/>
          <w:szCs w:val="24"/>
          <w:shd w:val="clear" w:color="auto" w:fill="FFFFFF"/>
        </w:rPr>
      </w:pPr>
      <w:r>
        <w:rPr>
          <w:rFonts w:hint="eastAsia" w:ascii="仿宋_GB2312" w:hAnsi="仿宋_GB2312" w:eastAsia="仿宋_GB2312" w:cs="仿宋_GB2312"/>
          <w:b/>
          <w:color w:val="000000"/>
          <w:kern w:val="0"/>
          <w:sz w:val="32"/>
          <w:szCs w:val="24"/>
          <w:shd w:val="clear" w:color="auto" w:fill="FFFFFF"/>
        </w:rPr>
        <w:t>8.</w:t>
      </w:r>
      <w:r>
        <w:rPr>
          <w:rFonts w:hint="eastAsia" w:ascii="仿宋_GB2312" w:hAnsi="仿宋_GB2312" w:eastAsia="仿宋_GB2312" w:cs="仿宋_GB2312"/>
          <w:b/>
          <w:bCs/>
          <w:color w:val="000000"/>
          <w:sz w:val="32"/>
          <w:szCs w:val="32"/>
        </w:rPr>
        <w:t>鼓励多元主体开发。</w:t>
      </w:r>
      <w:r>
        <w:rPr>
          <w:rFonts w:hint="eastAsia" w:ascii="仿宋_GB2312" w:hAnsi="仿宋_GB2312" w:eastAsia="仿宋_GB2312" w:cs="仿宋_GB2312"/>
          <w:bCs/>
          <w:color w:val="000000"/>
          <w:kern w:val="0"/>
          <w:sz w:val="32"/>
          <w:szCs w:val="24"/>
          <w:shd w:val="clear" w:color="auto" w:fill="FFFFFF"/>
        </w:rPr>
        <w:t>支持“链主”企业、优质产业园区运营商、原建设用地使用权人以及各类投资开发公司、国资平台、民间资本等多元化主体参与“工业上楼”项目投资建设及运营管理，鼓励更多社会资本和民营企业参与“工业上楼”项目。以“保本微利”的原则，支持各类企业通过一级市场拿地或二级市场收购等方式参与“工业上楼”项目建设。</w:t>
      </w:r>
      <w:r>
        <w:rPr>
          <w:rFonts w:hint="eastAsia" w:ascii="楷体_GB2312" w:hAnsi="华文中宋" w:eastAsia="楷体_GB2312" w:cs="华文中宋"/>
          <w:bCs/>
          <w:color w:val="000000"/>
          <w:kern w:val="0"/>
          <w:sz w:val="32"/>
          <w:shd w:val="clear" w:color="auto" w:fill="FFFFFF"/>
        </w:rPr>
        <w:t>〔责任单位：市数字经济局（市经信局）、市自然资源规划局、市国资委、市住建局、市发改委〕</w:t>
      </w:r>
    </w:p>
    <w:p>
      <w:pPr>
        <w:spacing w:after="0" w:line="580" w:lineRule="exact"/>
        <w:ind w:firstLine="640" w:firstLineChars="200"/>
      </w:pPr>
      <w:r>
        <w:rPr>
          <w:rFonts w:hint="eastAsia" w:ascii="仿宋_GB2312" w:hAnsi="仿宋_GB2312" w:eastAsia="仿宋_GB2312" w:cs="仿宋_GB2312"/>
          <w:b/>
          <w:color w:val="000000"/>
          <w:kern w:val="0"/>
          <w:sz w:val="32"/>
          <w:shd w:val="clear" w:color="auto" w:fill="FFFFFF"/>
        </w:rPr>
        <w:t>9.推动数绿融合开发。</w:t>
      </w:r>
      <w:r>
        <w:rPr>
          <w:rFonts w:hint="eastAsia" w:ascii="仿宋_GB2312" w:hAnsi="仿宋_GB2312" w:eastAsia="仿宋_GB2312" w:cs="仿宋_GB2312"/>
          <w:bCs/>
          <w:kern w:val="0"/>
          <w:sz w:val="32"/>
          <w:shd w:val="clear" w:color="auto" w:fill="FFFFFF"/>
        </w:rPr>
        <w:t>鼓励实施智慧楼宇建设，通过5G、云计算、物联网、大数据、人工智能、移动互联网、万兆光网等新一代信息技术和先进管理模式，推动园区和楼宇数字化转型。</w:t>
      </w:r>
      <w:r>
        <w:rPr>
          <w:rFonts w:hint="eastAsia" w:ascii="仿宋_GB2312" w:hAnsi="仿宋_GB2312" w:eastAsia="仿宋_GB2312" w:cs="仿宋_GB2312"/>
          <w:bCs/>
          <w:color w:val="000000"/>
          <w:kern w:val="0"/>
          <w:sz w:val="32"/>
          <w:shd w:val="clear" w:color="auto" w:fill="FFFFFF"/>
        </w:rPr>
        <w:t>鼓励按照“安全可行、绿色低碳、美观实用”设计原则进行第五立面设计，推进分布式光伏系统建设，提升新能源使用比例。鼓励布局一批独立储能电站，推动“光伏+储能”“新能源+储能”应用。鼓励园区合理规划充电站数量，优先部署超充设备，支持将独立储能设备占地面积纳入计容建筑面积。积极推进绿色低碳供应链升级，支持建设零碳楼宇、零碳园区。全市“工业上楼”项目分布式光伏实现“应装尽装”。</w:t>
      </w:r>
      <w:r>
        <w:rPr>
          <w:rFonts w:hint="eastAsia" w:ascii="楷体_GB2312" w:hAnsi="华文中宋" w:eastAsia="楷体_GB2312" w:cs="华文中宋"/>
          <w:bCs/>
          <w:color w:val="000000"/>
          <w:kern w:val="0"/>
          <w:sz w:val="32"/>
          <w:shd w:val="clear" w:color="auto" w:fill="FFFFFF"/>
        </w:rPr>
        <w:t>〔责任单位：市住建局、市能源局、市自然资源规划局、市数字经济局（市经信局）、市发改委〕</w:t>
      </w:r>
    </w:p>
    <w:p>
      <w:pPr>
        <w:spacing w:after="0" w:line="580" w:lineRule="exact"/>
        <w:ind w:firstLine="640" w:firstLineChars="200"/>
        <w:rPr>
          <w:rFonts w:ascii="华文中宋" w:hAnsi="华文中宋" w:eastAsia="华文中宋" w:cs="华文中宋"/>
          <w:bCs/>
          <w:kern w:val="0"/>
          <w:sz w:val="32"/>
          <w:shd w:val="clear" w:color="auto" w:fill="FFFFFF"/>
        </w:rPr>
      </w:pPr>
      <w:r>
        <w:rPr>
          <w:rFonts w:hint="eastAsia" w:ascii="仿宋_GB2312" w:hAnsi="仿宋_GB2312" w:eastAsia="仿宋_GB2312" w:cs="仿宋_GB2312"/>
          <w:b/>
          <w:kern w:val="0"/>
          <w:sz w:val="32"/>
          <w:shd w:val="clear" w:color="auto" w:fill="FFFFFF"/>
        </w:rPr>
        <w:t>10.加强园区风貌开发。</w:t>
      </w:r>
      <w:r>
        <w:rPr>
          <w:rFonts w:hint="eastAsia" w:ascii="仿宋_GB2312" w:hAnsi="仿宋_GB2312" w:eastAsia="仿宋_GB2312" w:cs="仿宋_GB2312"/>
          <w:bCs/>
          <w:color w:val="000000"/>
          <w:kern w:val="0"/>
          <w:sz w:val="32"/>
          <w:shd w:val="clear" w:color="auto" w:fill="FFFFFF"/>
        </w:rPr>
        <w:t>围绕“工业上楼”的产业类型及细分领域，按照工业厂房建筑设计技术标准，对工业建筑柱距、楼面荷载、垂直交通、消防安全等相关标准进行引导约束，科学设置园区建筑密度、行政办公及生活服务设施配套用地比例等规划技术指标，保证工业楼宇安全性、经济性、适用性，满足不同生产工艺个性化生产需求。</w:t>
      </w:r>
      <w:r>
        <w:rPr>
          <w:rFonts w:hint="eastAsia" w:ascii="仿宋_GB2312" w:hAnsi="仿宋_GB2312" w:eastAsia="仿宋_GB2312" w:cs="仿宋_GB2312"/>
          <w:bCs/>
          <w:kern w:val="0"/>
          <w:sz w:val="32"/>
          <w:shd w:val="clear" w:color="auto" w:fill="FFFFFF"/>
        </w:rPr>
        <w:t>“工业上楼”项目建筑形态应具备工业建筑或公共建筑的外立面特点，避免采用住宅化的外观形态，宜采用简洁、明快的建筑风格，打造统一的立面效果，形成宁波市“工业上楼”和“2070”工业集聚区统一标识。“工业上楼”项目应体现企业文化或产业特色</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kern w:val="0"/>
          <w:sz w:val="32"/>
          <w:shd w:val="clear" w:color="auto" w:fill="FFFFFF"/>
        </w:rPr>
        <w:t>与周围整体城市风貌相协调园区立面效果。</w:t>
      </w:r>
      <w:r>
        <w:rPr>
          <w:rFonts w:hint="eastAsia" w:ascii="楷体_GB2312" w:hAnsi="华文中宋" w:eastAsia="楷体_GB2312" w:cs="华文中宋"/>
          <w:bCs/>
          <w:color w:val="000000"/>
          <w:kern w:val="0"/>
          <w:sz w:val="32"/>
          <w:shd w:val="clear" w:color="auto" w:fill="FFFFFF"/>
        </w:rPr>
        <w:t>〔责任单位：市住建局、市自然资源规划局、市数字经济局（市经信局）〕</w:t>
      </w:r>
    </w:p>
    <w:p>
      <w:pPr>
        <w:widowControl/>
        <w:spacing w:after="0" w:line="580" w:lineRule="exact"/>
        <w:ind w:firstLine="640" w:firstLineChars="200"/>
        <w:rPr>
          <w:rFonts w:ascii="黑体" w:hAnsi="黑体" w:eastAsia="黑体"/>
          <w:color w:val="000000"/>
          <w:sz w:val="32"/>
        </w:rPr>
      </w:pPr>
      <w:r>
        <w:rPr>
          <w:rFonts w:hint="eastAsia" w:ascii="黑体" w:hAnsi="黑体" w:eastAsia="黑体"/>
          <w:color w:val="000000"/>
          <w:sz w:val="32"/>
        </w:rPr>
        <w:t>三、支持政策</w:t>
      </w:r>
    </w:p>
    <w:p>
      <w:pPr>
        <w:spacing w:after="0" w:line="580" w:lineRule="exact"/>
        <w:ind w:firstLine="640" w:firstLineChars="200"/>
        <w:rPr>
          <w:rFonts w:ascii="仿宋_GB2312" w:hAnsi="仿宋_GB2312" w:eastAsia="仿宋_GB2312"/>
          <w:color w:val="000000"/>
          <w:sz w:val="32"/>
        </w:rPr>
      </w:pPr>
      <w:r>
        <w:rPr>
          <w:rFonts w:hint="eastAsia" w:ascii="楷体_GB2312" w:hAnsi="楷体_GB2312" w:eastAsia="楷体_GB2312"/>
          <w:bCs/>
          <w:color w:val="000000"/>
          <w:sz w:val="32"/>
        </w:rPr>
        <w:t>（一）加强用地保障。</w:t>
      </w:r>
      <w:r>
        <w:rPr>
          <w:rFonts w:ascii="Times New Roman" w:eastAsia="仿宋_GB2312"/>
          <w:color w:val="000000"/>
          <w:sz w:val="32"/>
          <w:szCs w:val="32"/>
        </w:rPr>
        <w:t>每年</w:t>
      </w:r>
      <w:r>
        <w:rPr>
          <w:rFonts w:ascii="Times New Roman" w:eastAsia="仿宋_GB2312"/>
          <w:sz w:val="32"/>
          <w:szCs w:val="32"/>
        </w:rPr>
        <w:t>工业用地用于保障民间投资项目比重不低于</w:t>
      </w:r>
      <w:r>
        <w:rPr>
          <w:rFonts w:ascii="仿宋_GB2312" w:hAnsi="仿宋_GB2312" w:eastAsia="仿宋_GB2312" w:cs="仿宋_GB2312"/>
          <w:sz w:val="32"/>
          <w:szCs w:val="32"/>
        </w:rPr>
        <w:t>80%。</w:t>
      </w:r>
      <w:r>
        <w:rPr>
          <w:rFonts w:hint="eastAsia" w:ascii="仿宋_GB2312" w:hAnsi="仿宋_GB2312" w:eastAsia="仿宋_GB2312"/>
          <w:color w:val="000000"/>
          <w:sz w:val="32"/>
        </w:rPr>
        <w:t>城镇低效用地再开发涉及企业实施“工业上楼”项目的，经批准可将与企业现状用地相连的、单宗面积不超过3亩且累计面积不超过再开发项目用地总面积10%的边角地、插花地、夹心地一并集中再开发，并按照再开发地块的供地方式办理供地手续。</w:t>
      </w:r>
      <w:r>
        <w:rPr>
          <w:rFonts w:ascii="Times New Roman" w:eastAsia="仿宋_GB2312" w:cs="Times New Roman"/>
          <w:sz w:val="32"/>
          <w:szCs w:val="32"/>
        </w:rPr>
        <w:t>推进工业用地长期租赁、先租后让、弹性年期出让等供应方式。</w:t>
      </w:r>
      <w:r>
        <w:rPr>
          <w:rFonts w:hint="eastAsia" w:ascii="仿宋_GB2312" w:hAnsi="仿宋_GB2312" w:eastAsia="仿宋_GB2312"/>
          <w:color w:val="000000"/>
          <w:sz w:val="32"/>
        </w:rPr>
        <w:t>探索实行产业链供地，对产业链关联项目涉及的多宗土地实行整体供应。</w:t>
      </w:r>
      <w:r>
        <w:rPr>
          <w:rFonts w:hint="eastAsia" w:ascii="仿宋_GB2312" w:hAnsi="华文中宋" w:eastAsia="仿宋_GB2312" w:cs="华文中宋"/>
          <w:bCs/>
          <w:color w:val="000000"/>
          <w:kern w:val="0"/>
          <w:sz w:val="32"/>
          <w:shd w:val="clear" w:color="auto" w:fill="FFFFFF"/>
        </w:rPr>
        <w:t>〔</w:t>
      </w:r>
      <w:r>
        <w:rPr>
          <w:rFonts w:hint="eastAsia" w:ascii="楷体_GB2312" w:hAnsi="华文中宋" w:eastAsia="楷体_GB2312" w:cs="华文中宋"/>
          <w:bCs/>
          <w:color w:val="000000"/>
          <w:kern w:val="0"/>
          <w:sz w:val="32"/>
          <w:shd w:val="clear" w:color="auto" w:fill="FFFFFF"/>
        </w:rPr>
        <w:t>责任单位：市自然资源规划局、市发改委、市数字经济局（市经信局）、市投资促进局</w:t>
      </w:r>
      <w:r>
        <w:rPr>
          <w:rFonts w:hint="eastAsia" w:ascii="仿宋_GB2312" w:hAnsi="华文中宋" w:eastAsia="仿宋_GB2312" w:cs="华文中宋"/>
          <w:bCs/>
          <w:color w:val="000000"/>
          <w:kern w:val="0"/>
          <w:sz w:val="32"/>
          <w:shd w:val="clear" w:color="auto" w:fill="FFFFFF"/>
        </w:rPr>
        <w:t>〕</w:t>
      </w:r>
    </w:p>
    <w:p>
      <w:pPr>
        <w:spacing w:after="0" w:line="580" w:lineRule="exact"/>
        <w:ind w:firstLine="640" w:firstLineChars="200"/>
        <w:rPr>
          <w:rFonts w:ascii="仿宋_GB2312" w:hAnsi="仿宋_GB2312" w:eastAsia="仿宋_GB2312"/>
          <w:color w:val="000000"/>
          <w:sz w:val="32"/>
        </w:rPr>
      </w:pPr>
      <w:r>
        <w:rPr>
          <w:rFonts w:hint="eastAsia" w:ascii="楷体_GB2312" w:hAnsi="楷体_GB2312" w:eastAsia="楷体_GB2312"/>
          <w:bCs/>
          <w:color w:val="000000"/>
          <w:sz w:val="32"/>
        </w:rPr>
        <w:t>（二）鼓励连片开发。</w:t>
      </w:r>
      <w:r>
        <w:rPr>
          <w:rFonts w:hint="eastAsia" w:ascii="仿宋_GB2312" w:hAnsi="仿宋_GB2312" w:eastAsia="仿宋_GB2312"/>
          <w:color w:val="000000"/>
          <w:sz w:val="32"/>
        </w:rPr>
        <w:t>支持相邻地域的企业进行联合再开发，涉及宗地出让终止期限不一致的，可按土地面积进行加权平均明确统一剩余出让年限，也可通过补交差额年限出让价款后按出让终止期最迟一宗土地重新确定出让终止期。探索联合投标或竞买工业用地，按照土地出让合同和投资建设协议的约定，对联合体各成员的除公共配套设施外的建筑物产权分配比例、类型等办理分证；公共配套设施由中标或竞得联合体共同共有，首次登记后不得分割。</w:t>
      </w:r>
      <w:r>
        <w:rPr>
          <w:rFonts w:hint="eastAsia" w:ascii="楷体_GB2312" w:hAnsi="华文中宋" w:eastAsia="楷体_GB2312" w:cs="华文中宋"/>
          <w:bCs/>
          <w:color w:val="000000"/>
          <w:kern w:val="0"/>
          <w:sz w:val="32"/>
          <w:shd w:val="clear" w:color="auto" w:fill="FFFFFF"/>
        </w:rPr>
        <w:t>（责任单位：市自然资源规划局、市税务局、市发改委）</w:t>
      </w:r>
    </w:p>
    <w:p>
      <w:pPr>
        <w:spacing w:after="0" w:line="580" w:lineRule="exact"/>
        <w:ind w:firstLine="640" w:firstLineChars="200"/>
        <w:rPr>
          <w:rFonts w:ascii="仿宋_GB2312" w:hAnsi="仿宋_GB2312" w:eastAsia="仿宋_GB2312"/>
          <w:color w:val="000000"/>
          <w:sz w:val="32"/>
        </w:rPr>
      </w:pPr>
      <w:r>
        <w:rPr>
          <w:rFonts w:hint="eastAsia" w:ascii="楷体_GB2312" w:hAnsi="楷体_GB2312" w:eastAsia="楷体_GB2312"/>
          <w:bCs/>
          <w:color w:val="000000"/>
          <w:sz w:val="32"/>
        </w:rPr>
        <w:t>（三）提升配套比例。</w:t>
      </w:r>
      <w:r>
        <w:rPr>
          <w:rFonts w:hint="eastAsia" w:ascii="仿宋_GB2312" w:eastAsia="仿宋_GB2312"/>
          <w:snapToGrid w:val="0"/>
          <w:color w:val="000000"/>
          <w:spacing w:val="-4"/>
          <w:kern w:val="21"/>
          <w:sz w:val="32"/>
          <w:szCs w:val="32"/>
        </w:rPr>
        <w:t>制造业企业建造</w:t>
      </w:r>
      <w:r>
        <w:rPr>
          <w:rFonts w:hint="eastAsia" w:ascii="仿宋_GB2312" w:hAnsi="仿宋_GB2312" w:eastAsia="仿宋_GB2312"/>
          <w:color w:val="000000"/>
          <w:sz w:val="32"/>
        </w:rPr>
        <w:t>工业生产必需的研发、设计、检测、中试设施建筑面积的占比，可在配套建设的行政办公及生活服务设施之外计算，且建筑面积最高可达工业项目总建筑面积的15%，并要符合相关工业建筑设计规范要求。</w:t>
      </w:r>
      <w:r>
        <w:rPr>
          <w:rFonts w:hint="eastAsia" w:ascii="仿宋_GB2312" w:hAnsi="仿宋_GB2312" w:eastAsia="仿宋_GB2312"/>
          <w:sz w:val="32"/>
        </w:rPr>
        <w:t>对符合规定的“工业上楼”项目的研发、设计、检测、中试设施的用地面积占项目总用地面积的比例达7%以上的企业，在亩均效益综合评价时超出7%部分不计入评价用地面积。</w:t>
      </w:r>
      <w:r>
        <w:rPr>
          <w:rFonts w:hint="eastAsia" w:ascii="楷体_GB2312" w:hAnsi="华文中宋" w:eastAsia="楷体_GB2312" w:cs="华文中宋"/>
          <w:bCs/>
          <w:color w:val="000000"/>
          <w:kern w:val="0"/>
          <w:sz w:val="32"/>
          <w:shd w:val="clear" w:color="auto" w:fill="FFFFFF"/>
        </w:rPr>
        <w:t>〔责任单位：市自然资源规划局、市数字经济局（市经信局）〕</w:t>
      </w:r>
    </w:p>
    <w:p>
      <w:pPr>
        <w:spacing w:after="0" w:line="580" w:lineRule="exact"/>
        <w:ind w:firstLine="640" w:firstLineChars="200"/>
        <w:rPr>
          <w:rFonts w:ascii="华文楷体" w:hAnsi="华文楷体" w:eastAsia="华文楷体" w:cs="华文楷体"/>
          <w:bCs/>
          <w:color w:val="000000"/>
          <w:kern w:val="0"/>
          <w:sz w:val="32"/>
          <w:szCs w:val="24"/>
          <w:shd w:val="clear" w:color="auto" w:fill="FFFFFF"/>
        </w:rPr>
      </w:pPr>
      <w:r>
        <w:rPr>
          <w:rFonts w:hint="eastAsia" w:ascii="楷体_GB2312" w:hAnsi="楷体_GB2312" w:eastAsia="楷体_GB2312"/>
          <w:bCs/>
          <w:color w:val="000000"/>
          <w:sz w:val="32"/>
        </w:rPr>
        <w:t>（四）降低开发成本。</w:t>
      </w:r>
      <w:r>
        <w:rPr>
          <w:rFonts w:ascii="仿宋_GB2312" w:hAnsi="仿宋_GB2312" w:eastAsia="仿宋_GB2312"/>
          <w:color w:val="000000"/>
          <w:sz w:val="32"/>
        </w:rPr>
        <w:t>“361”万千亿级产业强链补链延链项目、链主型企业融通发展项目、单项冠军和专精特新“小巨人”企业项目用地，可按不低于基准地价的80%确定土地出让底价。</w:t>
      </w:r>
      <w:r>
        <w:rPr>
          <w:rFonts w:hint="eastAsia" w:ascii="仿宋_GB2312" w:eastAsia="仿宋_GB2312"/>
          <w:snapToGrid w:val="0"/>
          <w:color w:val="000000"/>
          <w:spacing w:val="-4"/>
          <w:kern w:val="21"/>
          <w:sz w:val="32"/>
          <w:szCs w:val="32"/>
        </w:rPr>
        <w:t>允许新出让的工业用地可按规定分期缴纳土地出让价款。</w:t>
      </w:r>
      <w:r>
        <w:rPr>
          <w:rFonts w:hint="eastAsia" w:ascii="仿宋_GB2312" w:hAnsi="仿宋_GB2312" w:eastAsia="仿宋_GB2312"/>
          <w:color w:val="000000"/>
          <w:sz w:val="32"/>
        </w:rPr>
        <w:t>对现有工业、仓储用地经批准实施拆建、改扩建等提高容积率或建设配套停车楼（库）的，在符合相关法律法规的前提下，不再增收土地价款。对企业利用地下空间建设仓储、停车等设施的，鼓励属地对地下建筑面积按照一定标准给予补助。</w:t>
      </w:r>
      <w:r>
        <w:rPr>
          <w:rFonts w:hint="eastAsia" w:ascii="楷体_GB2312" w:hAnsi="华文中宋" w:eastAsia="楷体_GB2312" w:cs="华文中宋"/>
          <w:bCs/>
          <w:color w:val="000000"/>
          <w:kern w:val="0"/>
          <w:sz w:val="32"/>
          <w:shd w:val="clear" w:color="auto" w:fill="FFFFFF"/>
        </w:rPr>
        <w:t>〔责任单位：市自然资源规划局、市财政局、市数字经济局（市经信局）〕</w:t>
      </w:r>
    </w:p>
    <w:p>
      <w:pPr>
        <w:spacing w:after="0" w:line="580" w:lineRule="exact"/>
        <w:ind w:firstLine="640" w:firstLineChars="200"/>
        <w:rPr>
          <w:rFonts w:ascii="华文中宋" w:hAnsi="华文中宋" w:eastAsia="华文中宋" w:cs="华文中宋"/>
          <w:bCs/>
          <w:color w:val="000000"/>
          <w:kern w:val="0"/>
          <w:sz w:val="32"/>
          <w:szCs w:val="24"/>
          <w:shd w:val="clear" w:color="auto" w:fill="FFFFFF"/>
        </w:rPr>
      </w:pPr>
      <w:r>
        <w:rPr>
          <w:rFonts w:hint="eastAsia" w:ascii="楷体_GB2312" w:hAnsi="楷体_GB2312" w:eastAsia="楷体_GB2312" w:cs="楷体_GB2312"/>
          <w:bCs/>
          <w:color w:val="000000"/>
          <w:sz w:val="32"/>
          <w:szCs w:val="24"/>
        </w:rPr>
        <w:t>（五）加强金融保障。</w:t>
      </w:r>
      <w:r>
        <w:rPr>
          <w:rFonts w:hint="eastAsia" w:ascii="仿宋_GB2312" w:hAnsi="仿宋_GB2312" w:eastAsia="仿宋_GB2312"/>
          <w:color w:val="000000"/>
          <w:sz w:val="32"/>
          <w:szCs w:val="24"/>
        </w:rPr>
        <w:t>发挥政策性金融中长期投融资优势，对“工业上楼”项目提供低成本资金支持。鼓励商业银行设立“工业上楼”项目专项贷款品种，在贷款利率、期限、担保等方面提供优惠贷款条件。积极引入保险、信托等资金，支持优质“工业上楼”项目发行企业债券。</w:t>
      </w:r>
      <w:r>
        <w:rPr>
          <w:rFonts w:ascii="仿宋_GB2312" w:hAnsi="仿宋_GB2312" w:eastAsia="仿宋_GB2312"/>
          <w:color w:val="000000"/>
          <w:sz w:val="32"/>
          <w:szCs w:val="24"/>
        </w:rPr>
        <w:t>鼓励产业基金采取“拨改投”方式支持“工业上楼”，</w:t>
      </w:r>
      <w:r>
        <w:rPr>
          <w:rFonts w:hint="eastAsia" w:ascii="仿宋_GB2312" w:hAnsi="仿宋_GB2312" w:eastAsia="仿宋_GB2312"/>
          <w:color w:val="000000"/>
          <w:sz w:val="32"/>
          <w:szCs w:val="24"/>
        </w:rPr>
        <w:t>国有企业通过新建、收购、租赁等方式参与“工业上楼”项目建设。</w:t>
      </w:r>
      <w:r>
        <w:rPr>
          <w:rFonts w:hint="eastAsia" w:ascii="楷体_GB2312" w:hAnsi="华文中宋" w:eastAsia="楷体_GB2312" w:cs="华文中宋"/>
          <w:bCs/>
          <w:color w:val="000000"/>
          <w:kern w:val="0"/>
          <w:sz w:val="32"/>
          <w:shd w:val="clear" w:color="auto" w:fill="FFFFFF"/>
        </w:rPr>
        <w:t>（责任单位：市国资委、市委金融办）</w:t>
      </w:r>
    </w:p>
    <w:p>
      <w:pPr>
        <w:spacing w:after="0" w:line="580" w:lineRule="exact"/>
        <w:ind w:firstLine="640" w:firstLineChars="200"/>
        <w:rPr>
          <w:rFonts w:ascii="宋体" w:hAnsi="宋体"/>
          <w:sz w:val="30"/>
          <w:szCs w:val="24"/>
        </w:rPr>
      </w:pPr>
      <w:r>
        <w:rPr>
          <w:rFonts w:hint="eastAsia" w:ascii="楷体_GB2312" w:hAnsi="楷体_GB2312" w:eastAsia="楷体_GB2312" w:cs="楷体_GB2312"/>
          <w:bCs/>
          <w:sz w:val="32"/>
          <w:szCs w:val="24"/>
        </w:rPr>
        <w:t>（六）推广示范标杆。</w:t>
      </w:r>
      <w:r>
        <w:rPr>
          <w:rFonts w:hint="eastAsia" w:ascii="仿宋_GB2312" w:hAnsi="仿宋_GB2312" w:eastAsia="仿宋_GB2312"/>
          <w:sz w:val="32"/>
          <w:szCs w:val="24"/>
        </w:rPr>
        <w:t>支持从“腾笼换鸟”专项经费、工业和信息化专项资金中安排资金，用于推进“工业上楼”项目的试点示范。每年择优遴选一批高端化、绿色化、智能化协同发展，主导产业特色明显、功能配套齐全的“宁波市智造示范空间”精品项目，由市级部门统一授牌。支持区（县、市）每年认定一批“工业上楼”优质项目，并按照一定标准给予奖励。</w:t>
      </w:r>
      <w:r>
        <w:rPr>
          <w:rFonts w:hint="eastAsia" w:ascii="楷体_GB2312" w:hAnsi="华文中宋" w:eastAsia="楷体_GB2312" w:cs="华文中宋"/>
          <w:bCs/>
          <w:color w:val="000000"/>
          <w:kern w:val="0"/>
          <w:sz w:val="32"/>
          <w:shd w:val="clear" w:color="auto" w:fill="FFFFFF"/>
        </w:rPr>
        <w:t>〔责任单位：市数字经济局（市经信局）、市财政局〕</w:t>
      </w:r>
    </w:p>
    <w:p>
      <w:pPr>
        <w:spacing w:after="0" w:line="580" w:lineRule="exact"/>
        <w:ind w:firstLine="640" w:firstLineChars="200"/>
        <w:rPr>
          <w:rFonts w:ascii="黑体" w:hAnsi="Calibri" w:eastAsia="黑体" w:cs="Times New Roman"/>
          <w:sz w:val="32"/>
        </w:rPr>
      </w:pPr>
      <w:r>
        <w:rPr>
          <w:rFonts w:hint="eastAsia" w:ascii="黑体" w:hAnsi="Calibri" w:eastAsia="黑体" w:cs="Times New Roman"/>
          <w:sz w:val="32"/>
        </w:rPr>
        <w:t>四、保障措施</w:t>
      </w:r>
    </w:p>
    <w:p>
      <w:pPr>
        <w:spacing w:after="0" w:line="580" w:lineRule="exact"/>
        <w:ind w:firstLine="640" w:firstLineChars="200"/>
        <w:rPr>
          <w:rFonts w:ascii="仿宋_GB2312" w:hAnsi="仿宋_GB2312" w:eastAsia="仿宋_GB2312"/>
          <w:sz w:val="32"/>
          <w:lang w:val="en"/>
        </w:rPr>
      </w:pPr>
      <w:r>
        <w:rPr>
          <w:rFonts w:hint="eastAsia" w:ascii="楷体_GB2312" w:hAnsi="楷体_GB2312" w:eastAsia="楷体_GB2312"/>
          <w:bCs/>
          <w:color w:val="000000"/>
          <w:sz w:val="32"/>
          <w:lang w:val="en"/>
        </w:rPr>
        <w:t>（一）强化组织推动。</w:t>
      </w:r>
      <w:r>
        <w:rPr>
          <w:rFonts w:hint="eastAsia" w:ascii="仿宋_GB2312" w:hAnsi="仿宋_GB2312" w:eastAsia="仿宋_GB2312"/>
          <w:color w:val="000000"/>
          <w:sz w:val="32"/>
          <w:lang w:val="en"/>
        </w:rPr>
        <w:t>各级党委政府负总责，建立条线指导、整体协同联动的责任体系和工作机制。推进</w:t>
      </w:r>
      <w:r>
        <w:rPr>
          <w:rFonts w:hint="eastAsia" w:ascii="仿宋_GB2312" w:hAnsi="仿宋_GB2312" w:eastAsia="仿宋_GB2312"/>
          <w:color w:val="000000"/>
          <w:sz w:val="32"/>
        </w:rPr>
        <w:t>各区（县、市）</w:t>
      </w:r>
      <w:r>
        <w:rPr>
          <w:rFonts w:hint="eastAsia" w:ascii="仿宋_GB2312" w:hAnsi="仿宋_GB2312" w:eastAsia="仿宋_GB2312"/>
          <w:color w:val="000000"/>
          <w:sz w:val="32"/>
          <w:lang w:val="en"/>
        </w:rPr>
        <w:t>建立“工业上楼”项目清单库，并</w:t>
      </w:r>
      <w:r>
        <w:rPr>
          <w:rFonts w:hint="eastAsia" w:ascii="仿宋_GB2312" w:hAnsi="仿宋_GB2312" w:eastAsia="仿宋_GB2312"/>
          <w:color w:val="000000"/>
          <w:sz w:val="32"/>
        </w:rPr>
        <w:t>纳入全市工业用地土地储备三年滚动计划，予以重点保障。</w:t>
      </w:r>
      <w:r>
        <w:rPr>
          <w:rFonts w:hint="eastAsia" w:ascii="仿宋_GB2312" w:hAnsi="仿宋_GB2312" w:eastAsia="仿宋_GB2312"/>
          <w:sz w:val="32"/>
          <w:lang w:val="en"/>
        </w:rPr>
        <w:t>各部门根据本行动计划，加强对区（县、市）部门的指导，协力推进“工业上楼”项目建设。</w:t>
      </w:r>
    </w:p>
    <w:p>
      <w:pPr>
        <w:spacing w:after="0" w:line="580" w:lineRule="exact"/>
        <w:ind w:firstLine="640" w:firstLineChars="200"/>
        <w:rPr>
          <w:rFonts w:ascii="仿宋_GB2312" w:hAnsi="仿宋_GB2312" w:eastAsia="仿宋_GB2312"/>
          <w:color w:val="000000"/>
          <w:sz w:val="32"/>
        </w:rPr>
      </w:pPr>
      <w:r>
        <w:rPr>
          <w:rFonts w:hint="eastAsia" w:ascii="楷体_GB2312" w:hAnsi="楷体_GB2312" w:eastAsia="楷体_GB2312" w:cs="楷体_GB2312"/>
          <w:bCs/>
          <w:color w:val="000000"/>
          <w:sz w:val="32"/>
        </w:rPr>
        <w:t>（二）优化审批程序。</w:t>
      </w:r>
      <w:r>
        <w:rPr>
          <w:rFonts w:hint="eastAsia" w:ascii="仿宋_GB2312" w:hAnsi="仿宋_GB2312" w:eastAsia="仿宋_GB2312"/>
          <w:color w:val="000000"/>
          <w:sz w:val="32"/>
        </w:rPr>
        <w:t>“工业上楼”项目规划调整、用地许可、方案批复、施工许可等审批事项由各地自行实施，涉及市级审批权限的，由市相关部门依法给予支持，鼓励实行“多证齐发”、拿地即开工。各地应细化“工业上楼”项目审批流程，加</w:t>
      </w:r>
      <w:r>
        <w:rPr>
          <w:rFonts w:hint="eastAsia" w:ascii="仿宋_GB2312" w:hAnsi="仿宋_GB2312" w:eastAsia="仿宋_GB2312"/>
          <w:sz w:val="32"/>
        </w:rPr>
        <w:t>强日常监</w:t>
      </w:r>
      <w:r>
        <w:rPr>
          <w:rFonts w:hint="eastAsia" w:ascii="仿宋_GB2312" w:hAnsi="仿宋_GB2312" w:eastAsia="仿宋_GB2312"/>
          <w:color w:val="000000"/>
          <w:sz w:val="32"/>
        </w:rPr>
        <w:t>管，明确监管责任部门。</w:t>
      </w:r>
    </w:p>
    <w:p>
      <w:pPr>
        <w:spacing w:after="0" w:line="580" w:lineRule="exact"/>
        <w:ind w:firstLine="640" w:firstLineChars="200"/>
        <w:rPr>
          <w:rFonts w:ascii="宋体" w:hAnsi="宋体"/>
          <w:sz w:val="30"/>
          <w:szCs w:val="24"/>
        </w:rPr>
      </w:pPr>
      <w:r>
        <w:rPr>
          <w:rFonts w:hint="eastAsia" w:ascii="楷体_GB2312" w:hAnsi="华文中宋" w:eastAsia="楷体_GB2312" w:cs="华文中宋"/>
          <w:bCs/>
          <w:color w:val="000000"/>
          <w:kern w:val="0"/>
          <w:sz w:val="32"/>
          <w:shd w:val="clear" w:color="auto" w:fill="FFFFFF"/>
        </w:rPr>
        <w:t>（三）加强管理运营。</w:t>
      </w:r>
      <w:r>
        <w:rPr>
          <w:rFonts w:hint="eastAsia" w:ascii="仿宋_GB2312" w:hAnsi="仿宋_GB2312" w:eastAsia="仿宋_GB2312"/>
          <w:color w:val="000000"/>
          <w:sz w:val="32"/>
          <w:szCs w:val="24"/>
        </w:rPr>
        <w:t>“工业上楼”项目应纳入工业用地全生命周期管理，全面推行“方案模拟审查”，定期开展“工业上楼”项目成效评估，严防后续用途转变，确保“工业上楼”的工业属性。合理确定“工业上楼”项目设定条件，建立健全属地履约监管机制，推广履约保函制度，确保新增空间用于发展工业和促进产业升级。</w:t>
      </w:r>
    </w:p>
    <w:p>
      <w:pPr>
        <w:widowControl/>
        <w:spacing w:after="0" w:line="580" w:lineRule="exact"/>
        <w:ind w:firstLine="640" w:firstLineChars="200"/>
        <w:rPr>
          <w:rFonts w:ascii="仿宋_GB2312" w:hAnsi="仿宋_GB2312" w:eastAsia="仿宋_GB2312"/>
          <w:color w:val="000000"/>
          <w:sz w:val="32"/>
          <w:szCs w:val="24"/>
        </w:rPr>
      </w:pPr>
      <w:r>
        <w:rPr>
          <w:rFonts w:hint="eastAsia" w:ascii="楷体_GB2312" w:hAnsi="楷体_GB2312" w:eastAsia="楷体_GB2312" w:cs="楷体_GB2312"/>
          <w:bCs/>
          <w:sz w:val="32"/>
        </w:rPr>
        <w:t>（四）守牢安全底线。</w:t>
      </w:r>
      <w:r>
        <w:rPr>
          <w:rFonts w:hint="eastAsia" w:ascii="仿宋_GB2312" w:hAnsi="仿宋_GB2312" w:eastAsia="仿宋_GB2312"/>
          <w:color w:val="000000"/>
          <w:sz w:val="32"/>
          <w:szCs w:val="24"/>
        </w:rPr>
        <w:t>按照“谁投资、谁负责”、“谁审批、谁负责”的原则，压实所有权人、招商单位首要责任和业务（行业）主管部门安全监管责任。属地政府应当组织发改、经信、资规、住建、应急、生态环境、能源、消防等部门，加强对入驻企业审查把关，围绕着建筑结构和消防安全、生态环境等重点要素，进行可行性论证和安全评估，筑牢安全底线。</w:t>
      </w:r>
    </w:p>
    <w:p>
      <w:pPr>
        <w:widowControl/>
        <w:spacing w:after="0" w:line="580" w:lineRule="exact"/>
        <w:ind w:firstLine="640" w:firstLineChars="200"/>
        <w:jc w:val="left"/>
        <w:outlineLvl w:val="1"/>
        <w:rPr>
          <w:rFonts w:ascii="仿宋_GB2312" w:hAnsi="仿宋_GB2312" w:eastAsia="仿宋_GB2312"/>
          <w:sz w:val="32"/>
        </w:rPr>
      </w:pPr>
    </w:p>
    <w:p>
      <w:pPr>
        <w:pStyle w:val="2"/>
        <w:ind w:left="420" w:firstLine="420"/>
      </w:pPr>
    </w:p>
    <w:p>
      <w:pPr>
        <w:spacing w:after="0" w:line="580" w:lineRule="exact"/>
        <w:jc w:val="left"/>
        <w:rPr>
          <w:rFonts w:ascii="Calibri" w:hAnsi="Calibri" w:eastAsia="宋体" w:cs="Times New Roman"/>
          <w:sz w:val="32"/>
          <w:szCs w:val="32"/>
        </w:rPr>
      </w:pPr>
    </w:p>
    <w:p>
      <w:pPr>
        <w:pStyle w:val="2"/>
        <w:ind w:left="420" w:firstLine="420"/>
      </w:pPr>
    </w:p>
    <w:p>
      <w:pPr>
        <w:spacing w:after="156" w:afterLines="50" w:line="560" w:lineRule="exact"/>
        <w:ind w:firstLine="320" w:firstLineChars="100"/>
        <w:jc w:val="left"/>
        <w:outlineLvl w:val="0"/>
        <w:rPr>
          <w:rFonts w:ascii="黑体" w:hAnsi="黑体" w:eastAsia="黑体" w:cs="黑体"/>
          <w:color w:val="000000"/>
          <w:kern w:val="0"/>
          <w:sz w:val="32"/>
          <w:szCs w:val="24"/>
        </w:rPr>
      </w:pPr>
      <w:r>
        <w:rPr>
          <w:rFonts w:hint="eastAsia" w:ascii="黑体" w:hAnsi="黑体" w:eastAsia="黑体" w:cs="黑体"/>
          <w:color w:val="000000"/>
          <w:kern w:val="0"/>
          <w:sz w:val="32"/>
          <w:szCs w:val="24"/>
        </w:rPr>
        <w:t>附件</w:t>
      </w:r>
    </w:p>
    <w:p>
      <w:pPr>
        <w:spacing w:line="520" w:lineRule="exact"/>
        <w:jc w:val="center"/>
        <w:outlineLvl w:val="0"/>
        <w:rPr>
          <w:rFonts w:ascii="方正小标宋简体" w:hAnsi="创艺简标宋" w:eastAsia="方正小标宋简体" w:cs="创艺简标宋"/>
          <w:color w:val="000000"/>
          <w:sz w:val="40"/>
          <w:szCs w:val="40"/>
        </w:rPr>
      </w:pPr>
      <w:r>
        <w:rPr>
          <w:rFonts w:hint="eastAsia" w:ascii="方正小标宋简体" w:hAnsi="创艺简标宋" w:eastAsia="方正小标宋简体" w:cs="创艺简标宋"/>
          <w:color w:val="000000"/>
          <w:sz w:val="40"/>
          <w:szCs w:val="40"/>
        </w:rPr>
        <w:t>2025-2027年全市重点“工业上楼”任务清单</w:t>
      </w:r>
    </w:p>
    <w:tbl>
      <w:tblPr>
        <w:tblStyle w:val="20"/>
        <w:tblpPr w:leftFromText="180" w:rightFromText="180" w:vertAnchor="text" w:horzAnchor="page" w:tblpX="2076" w:tblpY="272"/>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191"/>
        <w:gridCol w:w="4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黑体" w:hAnsi="黑体" w:eastAsia="黑体" w:cs="黑体"/>
                <w:sz w:val="28"/>
                <w:szCs w:val="28"/>
              </w:rPr>
            </w:pPr>
            <w:r>
              <w:rPr>
                <w:rFonts w:hint="eastAsia" w:ascii="黑体" w:hAnsi="黑体" w:eastAsia="黑体" w:cs="黑体"/>
                <w:sz w:val="28"/>
                <w:szCs w:val="28"/>
              </w:rPr>
              <w:t>区域</w:t>
            </w:r>
          </w:p>
        </w:tc>
        <w:tc>
          <w:tcPr>
            <w:tcW w:w="2191" w:type="dxa"/>
            <w:vAlign w:val="center"/>
          </w:tcPr>
          <w:p>
            <w:pPr>
              <w:spacing w:after="0" w:line="320" w:lineRule="exact"/>
              <w:jc w:val="center"/>
              <w:rPr>
                <w:rFonts w:ascii="黑体" w:hAnsi="黑体" w:eastAsia="黑体" w:cs="黑体"/>
                <w:sz w:val="28"/>
                <w:szCs w:val="28"/>
              </w:rPr>
            </w:pPr>
            <w:r>
              <w:rPr>
                <w:rFonts w:hint="eastAsia" w:ascii="黑体" w:hAnsi="黑体" w:eastAsia="黑体" w:cs="黑体"/>
                <w:sz w:val="28"/>
                <w:szCs w:val="28"/>
              </w:rPr>
              <w:t>项目个数</w:t>
            </w:r>
          </w:p>
        </w:tc>
        <w:tc>
          <w:tcPr>
            <w:tcW w:w="4398" w:type="dxa"/>
            <w:vAlign w:val="center"/>
          </w:tcPr>
          <w:p>
            <w:pPr>
              <w:spacing w:after="0" w:line="320" w:lineRule="exact"/>
              <w:jc w:val="center"/>
              <w:rPr>
                <w:rFonts w:ascii="黑体" w:hAnsi="黑体" w:eastAsia="黑体" w:cs="黑体"/>
                <w:sz w:val="28"/>
                <w:szCs w:val="28"/>
              </w:rPr>
            </w:pPr>
            <w:r>
              <w:rPr>
                <w:rFonts w:hint="eastAsia" w:ascii="黑体" w:hAnsi="黑体" w:eastAsia="黑体" w:cs="黑体"/>
                <w:sz w:val="28"/>
                <w:szCs w:val="28"/>
              </w:rPr>
              <w:t>新增建筑面积（万平方米）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海曙区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江北区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镇海区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北仑区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鄞州区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奉化区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余姚市</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慈溪市</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宁海县</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象山县</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前湾新区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6"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高新区</w:t>
            </w:r>
          </w:p>
        </w:tc>
        <w:tc>
          <w:tcPr>
            <w:tcW w:w="2191"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398" w:type="dxa"/>
            <w:vAlign w:val="center"/>
          </w:tcPr>
          <w:p>
            <w:pPr>
              <w:spacing w:after="0"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pPr>
        <w:spacing w:line="540" w:lineRule="exact"/>
        <w:rPr>
          <w:sz w:val="32"/>
          <w:szCs w:val="32"/>
        </w:rPr>
      </w:pPr>
    </w:p>
    <w:p>
      <w:pPr>
        <w:pStyle w:val="2"/>
        <w:ind w:left="420" w:firstLine="420"/>
      </w:pPr>
    </w:p>
    <w:p>
      <w:pPr>
        <w:pStyle w:val="6"/>
        <w:ind w:left="5250"/>
      </w:pPr>
    </w:p>
    <w:p>
      <w:bookmarkStart w:id="0" w:name="_GoBack"/>
      <w:bookmarkEnd w:id="0"/>
    </w:p>
    <w:sectPr>
      <w:footerReference r:id="rId7" w:type="first"/>
      <w:footerReference r:id="rId5" w:type="default"/>
      <w:footerReference r:id="rId6" w:type="even"/>
      <w:pgSz w:w="11906" w:h="16838"/>
      <w:pgMar w:top="2098" w:right="1474" w:bottom="1814" w:left="1587" w:header="851" w:footer="1020"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0000000000000000000"/>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741269"/>
      <w:docPartObj>
        <w:docPartGallery w:val="AutoText"/>
      </w:docPartObj>
    </w:sdtPr>
    <w:sdtEndPr>
      <w:rPr>
        <w:rFonts w:asciiTheme="minorEastAsia" w:hAnsiTheme="minorEastAsia" w:eastAsiaTheme="minorEastAsia"/>
      </w:rPr>
    </w:sdtEndPr>
    <w:sdtContent>
      <w:p>
        <w:pPr>
          <w:pStyle w:val="15"/>
          <w:wordWrap w:val="0"/>
          <w:ind w:left="420" w:firstLine="180" w:firstLineChars="100"/>
          <w:jc w:val="right"/>
          <w:rPr>
            <w:rFonts w:asciiTheme="minorEastAsia" w:hAnsiTheme="minorEastAsia" w:eastAsiaTheme="minorEastAsia"/>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cs="Times New Roman" w:asciiTheme="majorEastAsia" w:hAnsiTheme="majorEastAsia" w:eastAsiaTheme="majorEastAsia"/>
      </w:rPr>
    </w:sdtEndPr>
    <w:sdtContent>
      <w:p>
        <w:pPr>
          <w:pStyle w:val="15"/>
          <w:rPr>
            <w:rFonts w:cs="Times New Roman" w:asciiTheme="majorEastAsia" w:hAnsiTheme="majorEastAsia" w:eastAsiaTheme="majorEastAsia"/>
          </w:rPr>
        </w:pPr>
        <w:r>
          <w:rPr>
            <w:rFonts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PAGE   \* MERGEFORMAT</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lang w:val="zh-CN"/>
          </w:rPr>
          <w:t>2</w:t>
        </w:r>
        <w:r>
          <w:rPr>
            <w:rFonts w:cs="Times New Roman" w:asciiTheme="majorEastAsia" w:hAnsiTheme="majorEastAsia" w:eastAsiaTheme="majorEastAsia"/>
            <w:sz w:val="28"/>
            <w:szCs w:val="28"/>
          </w:rPr>
          <w:fldChar w:fldCharType="end"/>
        </w:r>
        <w:r>
          <w:rPr>
            <w:rFonts w:cs="Times New Roman"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780"/>
      <w:docPartObj>
        <w:docPartGallery w:val="AutoText"/>
      </w:docPartObj>
    </w:sdtPr>
    <w:sdtEndPr>
      <w:rPr>
        <w:rFonts w:cs="Times New Roman" w:asciiTheme="majorEastAsia" w:hAnsiTheme="majorEastAsia" w:eastAsiaTheme="majorEastAsia"/>
      </w:rPr>
    </w:sdtEndPr>
    <w:sdtContent>
      <w:p>
        <w:pPr>
          <w:pStyle w:val="15"/>
          <w:wordWrap w:val="0"/>
          <w:ind w:left="420" w:firstLine="180" w:firstLineChars="100"/>
          <w:jc w:val="right"/>
          <w:rPr>
            <w:rFonts w:cs="Times New Roman" w:asciiTheme="majorEastAsia" w:hAnsiTheme="majorEastAsia" w:eastAsiaTheme="majorEastAsia"/>
          </w:rPr>
        </w:pPr>
        <w:r>
          <w:rPr>
            <w:rFonts w:cs="Times New Roman" w:asciiTheme="majorEastAsia" w:hAnsiTheme="majorEastAsia" w:eastAsiaTheme="majorEastAsia"/>
            <w:sz w:val="28"/>
            <w:szCs w:val="28"/>
          </w:rPr>
          <w:t xml:space="preserve">— </w:t>
        </w:r>
        <w:r>
          <w:rPr>
            <w:rFonts w:cs="Times New Roman" w:asciiTheme="majorEastAsia" w:hAnsiTheme="majorEastAsia" w:eastAsiaTheme="majorEastAsia"/>
            <w:sz w:val="28"/>
            <w:szCs w:val="28"/>
          </w:rPr>
          <w:fldChar w:fldCharType="begin"/>
        </w:r>
        <w:r>
          <w:rPr>
            <w:rFonts w:cs="Times New Roman" w:asciiTheme="majorEastAsia" w:hAnsiTheme="majorEastAsia" w:eastAsiaTheme="majorEastAsia"/>
            <w:sz w:val="28"/>
            <w:szCs w:val="28"/>
          </w:rPr>
          <w:instrText xml:space="preserve">PAGE   \* MERGEFORMAT</w:instrText>
        </w:r>
        <w:r>
          <w:rPr>
            <w:rFonts w:cs="Times New Roman" w:asciiTheme="majorEastAsia" w:hAnsiTheme="majorEastAsia" w:eastAsiaTheme="majorEastAsia"/>
            <w:sz w:val="28"/>
            <w:szCs w:val="28"/>
          </w:rPr>
          <w:fldChar w:fldCharType="separate"/>
        </w:r>
        <w:r>
          <w:rPr>
            <w:rFonts w:cs="Times New Roman" w:asciiTheme="majorEastAsia" w:hAnsiTheme="majorEastAsia" w:eastAsiaTheme="majorEastAsia"/>
            <w:sz w:val="28"/>
            <w:szCs w:val="28"/>
            <w:lang w:val="zh-CN"/>
          </w:rPr>
          <w:t>1</w:t>
        </w:r>
        <w:r>
          <w:rPr>
            <w:rFonts w:cs="Times New Roman" w:asciiTheme="majorEastAsia" w:hAnsiTheme="majorEastAsia" w:eastAsiaTheme="majorEastAsia"/>
            <w:sz w:val="28"/>
            <w:szCs w:val="28"/>
          </w:rPr>
          <w:fldChar w:fldCharType="end"/>
        </w:r>
        <w:r>
          <w:rPr>
            <w:rFonts w:cs="Times New Roman" w:asciiTheme="majorEastAsia" w:hAnsiTheme="majorEastAsia" w:eastAsiaTheme="maj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2"/>
  <w:displayVerticalDrawingGridEvery w:val="2"/>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Tc3M2Y5NzIzMDFlZjAyY2Q4Njk5ODkyYjFjNzBiNTQifQ=="/>
  </w:docVars>
  <w:rsids>
    <w:rsidRoot w:val="00172A27"/>
    <w:rsid w:val="00000EC5"/>
    <w:rsid w:val="00066DF1"/>
    <w:rsid w:val="00086843"/>
    <w:rsid w:val="000B4B8A"/>
    <w:rsid w:val="000F069A"/>
    <w:rsid w:val="00141294"/>
    <w:rsid w:val="00147D5E"/>
    <w:rsid w:val="00167344"/>
    <w:rsid w:val="00172A27"/>
    <w:rsid w:val="001979F3"/>
    <w:rsid w:val="00215AA4"/>
    <w:rsid w:val="0024439D"/>
    <w:rsid w:val="00280E5F"/>
    <w:rsid w:val="002C3FD8"/>
    <w:rsid w:val="002F1BC5"/>
    <w:rsid w:val="0034402A"/>
    <w:rsid w:val="003A6BE5"/>
    <w:rsid w:val="00423FAA"/>
    <w:rsid w:val="00493717"/>
    <w:rsid w:val="004B313E"/>
    <w:rsid w:val="004F284E"/>
    <w:rsid w:val="00510600"/>
    <w:rsid w:val="0051119C"/>
    <w:rsid w:val="00533FBC"/>
    <w:rsid w:val="005C77A3"/>
    <w:rsid w:val="006A6066"/>
    <w:rsid w:val="006C008D"/>
    <w:rsid w:val="006D6395"/>
    <w:rsid w:val="007021AD"/>
    <w:rsid w:val="0079792C"/>
    <w:rsid w:val="00805312"/>
    <w:rsid w:val="008118F2"/>
    <w:rsid w:val="00835D72"/>
    <w:rsid w:val="008B71D6"/>
    <w:rsid w:val="008D6753"/>
    <w:rsid w:val="008E07EB"/>
    <w:rsid w:val="008F228B"/>
    <w:rsid w:val="009041F8"/>
    <w:rsid w:val="00945DB8"/>
    <w:rsid w:val="00982D0A"/>
    <w:rsid w:val="009D369F"/>
    <w:rsid w:val="009E0754"/>
    <w:rsid w:val="00A32B2F"/>
    <w:rsid w:val="00A73BC4"/>
    <w:rsid w:val="00AF4431"/>
    <w:rsid w:val="00AF67A6"/>
    <w:rsid w:val="00B113D6"/>
    <w:rsid w:val="00B45F68"/>
    <w:rsid w:val="00BC6570"/>
    <w:rsid w:val="00C12928"/>
    <w:rsid w:val="00C20BE6"/>
    <w:rsid w:val="00C53B7C"/>
    <w:rsid w:val="00CB63D1"/>
    <w:rsid w:val="00D51638"/>
    <w:rsid w:val="00E01B8C"/>
    <w:rsid w:val="00E75F3A"/>
    <w:rsid w:val="00E800DF"/>
    <w:rsid w:val="00ED07EC"/>
    <w:rsid w:val="00EE0093"/>
    <w:rsid w:val="00F21DB4"/>
    <w:rsid w:val="00F80AF9"/>
    <w:rsid w:val="00F860C3"/>
    <w:rsid w:val="00F944F5"/>
    <w:rsid w:val="01EA00CB"/>
    <w:rsid w:val="03BC021E"/>
    <w:rsid w:val="04373D7E"/>
    <w:rsid w:val="04C17856"/>
    <w:rsid w:val="04D330E5"/>
    <w:rsid w:val="04FBDA97"/>
    <w:rsid w:val="06B83CEE"/>
    <w:rsid w:val="06DFE6D3"/>
    <w:rsid w:val="06FF968D"/>
    <w:rsid w:val="077F426E"/>
    <w:rsid w:val="08694136"/>
    <w:rsid w:val="09B2776D"/>
    <w:rsid w:val="0ADF6B25"/>
    <w:rsid w:val="0CC05DCE"/>
    <w:rsid w:val="0CFD02BB"/>
    <w:rsid w:val="0D5796C5"/>
    <w:rsid w:val="0D6332EB"/>
    <w:rsid w:val="0DFF319D"/>
    <w:rsid w:val="0E110936"/>
    <w:rsid w:val="0E3100BC"/>
    <w:rsid w:val="0E494989"/>
    <w:rsid w:val="0EEF2E81"/>
    <w:rsid w:val="0F334EAC"/>
    <w:rsid w:val="0FE7729B"/>
    <w:rsid w:val="10097792"/>
    <w:rsid w:val="10E741A0"/>
    <w:rsid w:val="13337F29"/>
    <w:rsid w:val="15FD01A4"/>
    <w:rsid w:val="16895CFA"/>
    <w:rsid w:val="16FBB7FF"/>
    <w:rsid w:val="19706CFD"/>
    <w:rsid w:val="198729C4"/>
    <w:rsid w:val="1B300E3A"/>
    <w:rsid w:val="1B745A5E"/>
    <w:rsid w:val="1BBBA3D8"/>
    <w:rsid w:val="1BBF26FC"/>
    <w:rsid w:val="1BBFABB5"/>
    <w:rsid w:val="1BCFFD80"/>
    <w:rsid w:val="1C1C36D2"/>
    <w:rsid w:val="1CAC629E"/>
    <w:rsid w:val="1CD6AC7A"/>
    <w:rsid w:val="1CEE9A02"/>
    <w:rsid w:val="1CFD0086"/>
    <w:rsid w:val="1DB762E3"/>
    <w:rsid w:val="1DF9FE91"/>
    <w:rsid w:val="1E5305ED"/>
    <w:rsid w:val="1EF772F5"/>
    <w:rsid w:val="1F903C55"/>
    <w:rsid w:val="1FAA285D"/>
    <w:rsid w:val="1FB7C218"/>
    <w:rsid w:val="1FBF51E4"/>
    <w:rsid w:val="1FD5FDDD"/>
    <w:rsid w:val="1FDE65AE"/>
    <w:rsid w:val="1FEA6B4D"/>
    <w:rsid w:val="1FF7044D"/>
    <w:rsid w:val="203D6131"/>
    <w:rsid w:val="217F9C9D"/>
    <w:rsid w:val="236005FF"/>
    <w:rsid w:val="23A79242"/>
    <w:rsid w:val="24A41B3F"/>
    <w:rsid w:val="25FADDF4"/>
    <w:rsid w:val="26B26BA7"/>
    <w:rsid w:val="271138CD"/>
    <w:rsid w:val="27181100"/>
    <w:rsid w:val="27706DA7"/>
    <w:rsid w:val="27985D9D"/>
    <w:rsid w:val="27A21845"/>
    <w:rsid w:val="285840D7"/>
    <w:rsid w:val="28D9666D"/>
    <w:rsid w:val="29DB5AAA"/>
    <w:rsid w:val="29FF801D"/>
    <w:rsid w:val="2A4D6E86"/>
    <w:rsid w:val="2AA6391C"/>
    <w:rsid w:val="2ADE0984"/>
    <w:rsid w:val="2B77340E"/>
    <w:rsid w:val="2BC74169"/>
    <w:rsid w:val="2BDF257B"/>
    <w:rsid w:val="2CCF4C2C"/>
    <w:rsid w:val="2CFF49F8"/>
    <w:rsid w:val="2D1C1073"/>
    <w:rsid w:val="2D69EDC9"/>
    <w:rsid w:val="2DA532B1"/>
    <w:rsid w:val="2DC58450"/>
    <w:rsid w:val="2ECB0A24"/>
    <w:rsid w:val="2F3928BE"/>
    <w:rsid w:val="2F4FC2DF"/>
    <w:rsid w:val="2F57D63D"/>
    <w:rsid w:val="2FBF77DA"/>
    <w:rsid w:val="2FDDBA9D"/>
    <w:rsid w:val="2FDF2A45"/>
    <w:rsid w:val="2FDFFE51"/>
    <w:rsid w:val="2FE815C9"/>
    <w:rsid w:val="2FF4AAB3"/>
    <w:rsid w:val="2FFF28BF"/>
    <w:rsid w:val="30344E34"/>
    <w:rsid w:val="31FEB28E"/>
    <w:rsid w:val="330D7EB9"/>
    <w:rsid w:val="33CC574C"/>
    <w:rsid w:val="33D65C4B"/>
    <w:rsid w:val="33F735A6"/>
    <w:rsid w:val="33FF106E"/>
    <w:rsid w:val="3412548E"/>
    <w:rsid w:val="347704C3"/>
    <w:rsid w:val="349C35B5"/>
    <w:rsid w:val="34CFF1AC"/>
    <w:rsid w:val="361C228F"/>
    <w:rsid w:val="3675749D"/>
    <w:rsid w:val="36F92D0E"/>
    <w:rsid w:val="36FE9C94"/>
    <w:rsid w:val="376E68B2"/>
    <w:rsid w:val="377F2968"/>
    <w:rsid w:val="37BD0D9F"/>
    <w:rsid w:val="37BF1EBD"/>
    <w:rsid w:val="37BFB4A9"/>
    <w:rsid w:val="37CAC447"/>
    <w:rsid w:val="37CE7D7B"/>
    <w:rsid w:val="37FD12D1"/>
    <w:rsid w:val="383B2EA0"/>
    <w:rsid w:val="38A91D3A"/>
    <w:rsid w:val="3A7FDB5F"/>
    <w:rsid w:val="3B7A36D5"/>
    <w:rsid w:val="3B9385EB"/>
    <w:rsid w:val="3BDA1F3A"/>
    <w:rsid w:val="3BDFAEC4"/>
    <w:rsid w:val="3BFF9554"/>
    <w:rsid w:val="3CF3AC03"/>
    <w:rsid w:val="3D4B45E9"/>
    <w:rsid w:val="3D4C5207"/>
    <w:rsid w:val="3DB78752"/>
    <w:rsid w:val="3DBDB6A8"/>
    <w:rsid w:val="3DDE1897"/>
    <w:rsid w:val="3DDEA712"/>
    <w:rsid w:val="3DF7B071"/>
    <w:rsid w:val="3E516F22"/>
    <w:rsid w:val="3E6F5E3B"/>
    <w:rsid w:val="3E73E453"/>
    <w:rsid w:val="3E7E6A02"/>
    <w:rsid w:val="3EBBEA78"/>
    <w:rsid w:val="3EBF5F5A"/>
    <w:rsid w:val="3EFB70A2"/>
    <w:rsid w:val="3F35929E"/>
    <w:rsid w:val="3F49F545"/>
    <w:rsid w:val="3F732C94"/>
    <w:rsid w:val="3F8AF365"/>
    <w:rsid w:val="3F99DCA0"/>
    <w:rsid w:val="3F9A276E"/>
    <w:rsid w:val="3F9E5AF5"/>
    <w:rsid w:val="3FAF5628"/>
    <w:rsid w:val="3FB9E302"/>
    <w:rsid w:val="3FBE4308"/>
    <w:rsid w:val="3FBE9B54"/>
    <w:rsid w:val="3FBF434D"/>
    <w:rsid w:val="3FBFBBF4"/>
    <w:rsid w:val="3FE7C7F2"/>
    <w:rsid w:val="3FF3D0E1"/>
    <w:rsid w:val="3FF73F21"/>
    <w:rsid w:val="3FFE4C2C"/>
    <w:rsid w:val="3FFE78E4"/>
    <w:rsid w:val="3FFF3945"/>
    <w:rsid w:val="3FFF6327"/>
    <w:rsid w:val="407D1813"/>
    <w:rsid w:val="41944E3E"/>
    <w:rsid w:val="4295273B"/>
    <w:rsid w:val="46DAD998"/>
    <w:rsid w:val="46F7B93D"/>
    <w:rsid w:val="47551900"/>
    <w:rsid w:val="49050213"/>
    <w:rsid w:val="49891591"/>
    <w:rsid w:val="4A357AE2"/>
    <w:rsid w:val="4ADE5503"/>
    <w:rsid w:val="4BB63010"/>
    <w:rsid w:val="4BD91283"/>
    <w:rsid w:val="4D1B24E7"/>
    <w:rsid w:val="4D9E6A06"/>
    <w:rsid w:val="4DA60964"/>
    <w:rsid w:val="4DEF7B81"/>
    <w:rsid w:val="4DF7CED2"/>
    <w:rsid w:val="4E72AD74"/>
    <w:rsid w:val="4F5E1495"/>
    <w:rsid w:val="4F944CD3"/>
    <w:rsid w:val="4FCF51BF"/>
    <w:rsid w:val="4FDBEFF0"/>
    <w:rsid w:val="4FDBFD14"/>
    <w:rsid w:val="4FFF6DA6"/>
    <w:rsid w:val="50460A22"/>
    <w:rsid w:val="506D6C17"/>
    <w:rsid w:val="51FF59D4"/>
    <w:rsid w:val="523F45B1"/>
    <w:rsid w:val="527F2B34"/>
    <w:rsid w:val="5343196D"/>
    <w:rsid w:val="53BF890F"/>
    <w:rsid w:val="54290857"/>
    <w:rsid w:val="54371A66"/>
    <w:rsid w:val="54716B45"/>
    <w:rsid w:val="547F9870"/>
    <w:rsid w:val="55863ACB"/>
    <w:rsid w:val="55AFD11A"/>
    <w:rsid w:val="55BB3881"/>
    <w:rsid w:val="55BF02DD"/>
    <w:rsid w:val="55FF9B2D"/>
    <w:rsid w:val="567FD0B1"/>
    <w:rsid w:val="56CE6A14"/>
    <w:rsid w:val="56DB9E0D"/>
    <w:rsid w:val="576D317C"/>
    <w:rsid w:val="5775DB7F"/>
    <w:rsid w:val="57877A64"/>
    <w:rsid w:val="57CDA85A"/>
    <w:rsid w:val="57CE0F24"/>
    <w:rsid w:val="57EDD5D9"/>
    <w:rsid w:val="57FBA8C9"/>
    <w:rsid w:val="584D5AEA"/>
    <w:rsid w:val="587BA78F"/>
    <w:rsid w:val="589F9F30"/>
    <w:rsid w:val="58FC596B"/>
    <w:rsid w:val="5AB70DF2"/>
    <w:rsid w:val="5AD12F65"/>
    <w:rsid w:val="5ADBF252"/>
    <w:rsid w:val="5AF7ACF0"/>
    <w:rsid w:val="5AFD9E59"/>
    <w:rsid w:val="5B3DEF93"/>
    <w:rsid w:val="5B6FA40F"/>
    <w:rsid w:val="5BAF65B7"/>
    <w:rsid w:val="5BD60DAB"/>
    <w:rsid w:val="5BEE9CBD"/>
    <w:rsid w:val="5BFB64AF"/>
    <w:rsid w:val="5BFE422D"/>
    <w:rsid w:val="5CF05758"/>
    <w:rsid w:val="5DDB94A4"/>
    <w:rsid w:val="5DEF6B04"/>
    <w:rsid w:val="5DF5AC3E"/>
    <w:rsid w:val="5DF65893"/>
    <w:rsid w:val="5DFE2298"/>
    <w:rsid w:val="5E2DA64F"/>
    <w:rsid w:val="5E522661"/>
    <w:rsid w:val="5E5AD164"/>
    <w:rsid w:val="5E624433"/>
    <w:rsid w:val="5E6F14D8"/>
    <w:rsid w:val="5EEE196F"/>
    <w:rsid w:val="5EF37781"/>
    <w:rsid w:val="5EFB2DF5"/>
    <w:rsid w:val="5EFEB187"/>
    <w:rsid w:val="5EFFEB64"/>
    <w:rsid w:val="5F232410"/>
    <w:rsid w:val="5F3F7EAC"/>
    <w:rsid w:val="5F5DF953"/>
    <w:rsid w:val="5F6B5569"/>
    <w:rsid w:val="5F7F2A8F"/>
    <w:rsid w:val="5F8741C7"/>
    <w:rsid w:val="5F97D4FE"/>
    <w:rsid w:val="5FB74DE7"/>
    <w:rsid w:val="5FB78049"/>
    <w:rsid w:val="5FB78436"/>
    <w:rsid w:val="5FBF07EE"/>
    <w:rsid w:val="5FD6BBD6"/>
    <w:rsid w:val="5FDFA0B3"/>
    <w:rsid w:val="5FE6D635"/>
    <w:rsid w:val="5FEEFA8F"/>
    <w:rsid w:val="5FEFDCA2"/>
    <w:rsid w:val="5FF3E4B4"/>
    <w:rsid w:val="5FF53C4B"/>
    <w:rsid w:val="5FFBE78F"/>
    <w:rsid w:val="5FFD539A"/>
    <w:rsid w:val="5FFDF7B5"/>
    <w:rsid w:val="5FFE0EF4"/>
    <w:rsid w:val="5FFE43D9"/>
    <w:rsid w:val="5FFEC377"/>
    <w:rsid w:val="5FFF2C26"/>
    <w:rsid w:val="61E133B6"/>
    <w:rsid w:val="61F555BE"/>
    <w:rsid w:val="637F837D"/>
    <w:rsid w:val="63D0C324"/>
    <w:rsid w:val="63EF16F6"/>
    <w:rsid w:val="6556DBA9"/>
    <w:rsid w:val="65C70D58"/>
    <w:rsid w:val="66AB5985"/>
    <w:rsid w:val="66FFADB6"/>
    <w:rsid w:val="67317C91"/>
    <w:rsid w:val="673B10B0"/>
    <w:rsid w:val="677D0818"/>
    <w:rsid w:val="677FBADF"/>
    <w:rsid w:val="67DCD896"/>
    <w:rsid w:val="67DE48CC"/>
    <w:rsid w:val="67EE867F"/>
    <w:rsid w:val="69CE6848"/>
    <w:rsid w:val="69CF535A"/>
    <w:rsid w:val="69D1246D"/>
    <w:rsid w:val="6A7C5D52"/>
    <w:rsid w:val="6A96B3EA"/>
    <w:rsid w:val="6B2D4607"/>
    <w:rsid w:val="6B4F89D1"/>
    <w:rsid w:val="6B5F349C"/>
    <w:rsid w:val="6BBCCA97"/>
    <w:rsid w:val="6BF647C2"/>
    <w:rsid w:val="6BF7001A"/>
    <w:rsid w:val="6BF72E19"/>
    <w:rsid w:val="6BFE277E"/>
    <w:rsid w:val="6BFE9D81"/>
    <w:rsid w:val="6C7F93EE"/>
    <w:rsid w:val="6CFE4154"/>
    <w:rsid w:val="6DBF0BCB"/>
    <w:rsid w:val="6DBF83E0"/>
    <w:rsid w:val="6DBF910E"/>
    <w:rsid w:val="6DD541EA"/>
    <w:rsid w:val="6DDEEE21"/>
    <w:rsid w:val="6DDF6508"/>
    <w:rsid w:val="6DED9CC0"/>
    <w:rsid w:val="6DF31A10"/>
    <w:rsid w:val="6DFD9066"/>
    <w:rsid w:val="6E17F5E4"/>
    <w:rsid w:val="6E556257"/>
    <w:rsid w:val="6EFB9586"/>
    <w:rsid w:val="6EFDCCB0"/>
    <w:rsid w:val="6EFFD993"/>
    <w:rsid w:val="6EFFE42E"/>
    <w:rsid w:val="6F6CE46B"/>
    <w:rsid w:val="6F7E002D"/>
    <w:rsid w:val="6F9F7B3E"/>
    <w:rsid w:val="6FAB03C5"/>
    <w:rsid w:val="6FAB56FC"/>
    <w:rsid w:val="6FAD2CF6"/>
    <w:rsid w:val="6FB10B38"/>
    <w:rsid w:val="6FDB76D7"/>
    <w:rsid w:val="6FDBD358"/>
    <w:rsid w:val="6FDCC254"/>
    <w:rsid w:val="6FE89F9A"/>
    <w:rsid w:val="6FF32132"/>
    <w:rsid w:val="6FFEDD84"/>
    <w:rsid w:val="6FFF6614"/>
    <w:rsid w:val="700F8FCA"/>
    <w:rsid w:val="707FD544"/>
    <w:rsid w:val="70EB5497"/>
    <w:rsid w:val="70F72646"/>
    <w:rsid w:val="70FE6930"/>
    <w:rsid w:val="71EFBB5D"/>
    <w:rsid w:val="72370025"/>
    <w:rsid w:val="72DF860F"/>
    <w:rsid w:val="73C22783"/>
    <w:rsid w:val="73E90741"/>
    <w:rsid w:val="73F6153C"/>
    <w:rsid w:val="73FF1AEE"/>
    <w:rsid w:val="74376248"/>
    <w:rsid w:val="7479C985"/>
    <w:rsid w:val="74EB2545"/>
    <w:rsid w:val="74FE8D41"/>
    <w:rsid w:val="756D266F"/>
    <w:rsid w:val="75B37BC4"/>
    <w:rsid w:val="75BE8C29"/>
    <w:rsid w:val="75F9E2CD"/>
    <w:rsid w:val="762D24C3"/>
    <w:rsid w:val="76B76F80"/>
    <w:rsid w:val="76BF021D"/>
    <w:rsid w:val="76CC1C53"/>
    <w:rsid w:val="76CD5AEF"/>
    <w:rsid w:val="76F1070D"/>
    <w:rsid w:val="76F920BB"/>
    <w:rsid w:val="76FF1A53"/>
    <w:rsid w:val="76FFEDF7"/>
    <w:rsid w:val="773F5743"/>
    <w:rsid w:val="776FC799"/>
    <w:rsid w:val="777AC56C"/>
    <w:rsid w:val="7786EBB7"/>
    <w:rsid w:val="7794FEA5"/>
    <w:rsid w:val="77BB89D5"/>
    <w:rsid w:val="77CFB077"/>
    <w:rsid w:val="77D6C026"/>
    <w:rsid w:val="77D720B7"/>
    <w:rsid w:val="77D73344"/>
    <w:rsid w:val="77DA8B19"/>
    <w:rsid w:val="77DB6CA5"/>
    <w:rsid w:val="77E397B3"/>
    <w:rsid w:val="77EA9189"/>
    <w:rsid w:val="77EE4882"/>
    <w:rsid w:val="77EF4645"/>
    <w:rsid w:val="77FAB21C"/>
    <w:rsid w:val="77FB608A"/>
    <w:rsid w:val="77FEDE29"/>
    <w:rsid w:val="77FF6AE8"/>
    <w:rsid w:val="77FF8EB0"/>
    <w:rsid w:val="77FF9FCE"/>
    <w:rsid w:val="77FFEFCE"/>
    <w:rsid w:val="7886A9F9"/>
    <w:rsid w:val="78B95140"/>
    <w:rsid w:val="78CD36C0"/>
    <w:rsid w:val="797DA628"/>
    <w:rsid w:val="7997EA46"/>
    <w:rsid w:val="79B62AF2"/>
    <w:rsid w:val="79DA48C1"/>
    <w:rsid w:val="79EB067E"/>
    <w:rsid w:val="79FC0A2C"/>
    <w:rsid w:val="7A0B7812"/>
    <w:rsid w:val="7A765096"/>
    <w:rsid w:val="7A79CD3C"/>
    <w:rsid w:val="7A880787"/>
    <w:rsid w:val="7AC5753E"/>
    <w:rsid w:val="7AD371A4"/>
    <w:rsid w:val="7ADF6AE7"/>
    <w:rsid w:val="7ADF8968"/>
    <w:rsid w:val="7AED674E"/>
    <w:rsid w:val="7AEECDBD"/>
    <w:rsid w:val="7AF6A784"/>
    <w:rsid w:val="7B5BE47C"/>
    <w:rsid w:val="7B79A6FF"/>
    <w:rsid w:val="7B7DFBBD"/>
    <w:rsid w:val="7B7FBF80"/>
    <w:rsid w:val="7BAFAA94"/>
    <w:rsid w:val="7BE1CAAD"/>
    <w:rsid w:val="7BEC30A2"/>
    <w:rsid w:val="7BF9BF86"/>
    <w:rsid w:val="7BFF3F0C"/>
    <w:rsid w:val="7BFF46EF"/>
    <w:rsid w:val="7BFF5471"/>
    <w:rsid w:val="7C6B806C"/>
    <w:rsid w:val="7C6FD2A5"/>
    <w:rsid w:val="7CAE78EB"/>
    <w:rsid w:val="7CB3B9DA"/>
    <w:rsid w:val="7CBFDE26"/>
    <w:rsid w:val="7CCF1D1D"/>
    <w:rsid w:val="7CEE468D"/>
    <w:rsid w:val="7CEF1130"/>
    <w:rsid w:val="7D3C1898"/>
    <w:rsid w:val="7D3F6F9F"/>
    <w:rsid w:val="7D5BC22F"/>
    <w:rsid w:val="7D6CDBFB"/>
    <w:rsid w:val="7D6E4B61"/>
    <w:rsid w:val="7D79729C"/>
    <w:rsid w:val="7D7AD6DA"/>
    <w:rsid w:val="7D7F92A3"/>
    <w:rsid w:val="7D7FB453"/>
    <w:rsid w:val="7DB7E46C"/>
    <w:rsid w:val="7DC51CA3"/>
    <w:rsid w:val="7DF772E6"/>
    <w:rsid w:val="7DFBEC1E"/>
    <w:rsid w:val="7DFDEE8F"/>
    <w:rsid w:val="7DFE14F4"/>
    <w:rsid w:val="7DFEBEC7"/>
    <w:rsid w:val="7DFF396D"/>
    <w:rsid w:val="7DFF94C7"/>
    <w:rsid w:val="7DFFF016"/>
    <w:rsid w:val="7DFFFAA3"/>
    <w:rsid w:val="7E5FAAE2"/>
    <w:rsid w:val="7E75C737"/>
    <w:rsid w:val="7E761375"/>
    <w:rsid w:val="7E7B6BEE"/>
    <w:rsid w:val="7E7F48A8"/>
    <w:rsid w:val="7E970297"/>
    <w:rsid w:val="7E9D1898"/>
    <w:rsid w:val="7EA9541F"/>
    <w:rsid w:val="7EB7862A"/>
    <w:rsid w:val="7EBD3808"/>
    <w:rsid w:val="7EBFCF05"/>
    <w:rsid w:val="7EBFD14F"/>
    <w:rsid w:val="7EDE5320"/>
    <w:rsid w:val="7EDF90EB"/>
    <w:rsid w:val="7EEBDFDD"/>
    <w:rsid w:val="7EEE8D3D"/>
    <w:rsid w:val="7EF1B905"/>
    <w:rsid w:val="7EF6D0B0"/>
    <w:rsid w:val="7EFA52BC"/>
    <w:rsid w:val="7EFB3E1C"/>
    <w:rsid w:val="7EFDF5F8"/>
    <w:rsid w:val="7EFE6339"/>
    <w:rsid w:val="7F07C001"/>
    <w:rsid w:val="7F1AF50B"/>
    <w:rsid w:val="7F1C2152"/>
    <w:rsid w:val="7F1F7C22"/>
    <w:rsid w:val="7F27031D"/>
    <w:rsid w:val="7F4B2BCE"/>
    <w:rsid w:val="7F599574"/>
    <w:rsid w:val="7F6318BB"/>
    <w:rsid w:val="7F757EBD"/>
    <w:rsid w:val="7F77EF84"/>
    <w:rsid w:val="7F7DD354"/>
    <w:rsid w:val="7F7F3D58"/>
    <w:rsid w:val="7F7FA5D2"/>
    <w:rsid w:val="7F7FA87F"/>
    <w:rsid w:val="7F9DCEB0"/>
    <w:rsid w:val="7FB755A8"/>
    <w:rsid w:val="7FBBA089"/>
    <w:rsid w:val="7FBC3AA5"/>
    <w:rsid w:val="7FC6195D"/>
    <w:rsid w:val="7FCB464D"/>
    <w:rsid w:val="7FCFA8E2"/>
    <w:rsid w:val="7FD5B31A"/>
    <w:rsid w:val="7FD69329"/>
    <w:rsid w:val="7FD7CFD7"/>
    <w:rsid w:val="7FDB6D3A"/>
    <w:rsid w:val="7FDCC96E"/>
    <w:rsid w:val="7FDE7A73"/>
    <w:rsid w:val="7FDF73CF"/>
    <w:rsid w:val="7FDFB51F"/>
    <w:rsid w:val="7FDFFB06"/>
    <w:rsid w:val="7FEAC815"/>
    <w:rsid w:val="7FEB25E6"/>
    <w:rsid w:val="7FEEDA43"/>
    <w:rsid w:val="7FEF2BBF"/>
    <w:rsid w:val="7FF1335A"/>
    <w:rsid w:val="7FF4C308"/>
    <w:rsid w:val="7FF70CFF"/>
    <w:rsid w:val="7FF72824"/>
    <w:rsid w:val="7FF78944"/>
    <w:rsid w:val="7FF7B0FA"/>
    <w:rsid w:val="7FF7F6C7"/>
    <w:rsid w:val="7FFA1DD7"/>
    <w:rsid w:val="7FFA451D"/>
    <w:rsid w:val="7FFB0262"/>
    <w:rsid w:val="7FFB40FD"/>
    <w:rsid w:val="7FFB66BA"/>
    <w:rsid w:val="7FFB9E98"/>
    <w:rsid w:val="7FFBB918"/>
    <w:rsid w:val="7FFCC3FE"/>
    <w:rsid w:val="7FFD8C46"/>
    <w:rsid w:val="7FFEDFED"/>
    <w:rsid w:val="7FFEFDFD"/>
    <w:rsid w:val="7FFF6C19"/>
    <w:rsid w:val="7FFF850F"/>
    <w:rsid w:val="7FFF93C0"/>
    <w:rsid w:val="7FFFA246"/>
    <w:rsid w:val="7FFFB5BF"/>
    <w:rsid w:val="7FFFD8BA"/>
    <w:rsid w:val="7FFFE40A"/>
    <w:rsid w:val="85BF695C"/>
    <w:rsid w:val="8BF3383B"/>
    <w:rsid w:val="8E55DA56"/>
    <w:rsid w:val="8EFF7F9E"/>
    <w:rsid w:val="8FBBDF81"/>
    <w:rsid w:val="8FBFF43C"/>
    <w:rsid w:val="95BBE829"/>
    <w:rsid w:val="97FB0439"/>
    <w:rsid w:val="99DBECF3"/>
    <w:rsid w:val="9B3D7D9A"/>
    <w:rsid w:val="9B979994"/>
    <w:rsid w:val="9DF5079C"/>
    <w:rsid w:val="9E1E65B2"/>
    <w:rsid w:val="9EAC7CCE"/>
    <w:rsid w:val="9F74108E"/>
    <w:rsid w:val="9F756DCE"/>
    <w:rsid w:val="9F7F1614"/>
    <w:rsid w:val="9F955992"/>
    <w:rsid w:val="9FB75D4C"/>
    <w:rsid w:val="9FBA26E6"/>
    <w:rsid w:val="9FEDFA54"/>
    <w:rsid w:val="9FF72500"/>
    <w:rsid w:val="A551790A"/>
    <w:rsid w:val="A65E89F8"/>
    <w:rsid w:val="A7C3654D"/>
    <w:rsid w:val="A7F32C5E"/>
    <w:rsid w:val="A7FF103A"/>
    <w:rsid w:val="A9CCCAAA"/>
    <w:rsid w:val="ABD6946D"/>
    <w:rsid w:val="AC674EDB"/>
    <w:rsid w:val="ACDA12A0"/>
    <w:rsid w:val="AD6DC351"/>
    <w:rsid w:val="AED7C691"/>
    <w:rsid w:val="AEFB5CA3"/>
    <w:rsid w:val="AF244446"/>
    <w:rsid w:val="AF77D676"/>
    <w:rsid w:val="AFBF91A5"/>
    <w:rsid w:val="AFF377E7"/>
    <w:rsid w:val="AFFF6E11"/>
    <w:rsid w:val="AFFFA3CC"/>
    <w:rsid w:val="B36DBF64"/>
    <w:rsid w:val="B3CF19E1"/>
    <w:rsid w:val="B3FDD866"/>
    <w:rsid w:val="B4DA4742"/>
    <w:rsid w:val="B5619D0A"/>
    <w:rsid w:val="B5FC9447"/>
    <w:rsid w:val="B79E5776"/>
    <w:rsid w:val="B7B7F615"/>
    <w:rsid w:val="B7CF2D1D"/>
    <w:rsid w:val="B7F787C5"/>
    <w:rsid w:val="B7F7AE87"/>
    <w:rsid w:val="B7FD47B2"/>
    <w:rsid w:val="B8BDADC3"/>
    <w:rsid w:val="B9CFB4BA"/>
    <w:rsid w:val="B9EBDFDB"/>
    <w:rsid w:val="B9EF4604"/>
    <w:rsid w:val="B9FDE52E"/>
    <w:rsid w:val="BA5FD23B"/>
    <w:rsid w:val="BB575880"/>
    <w:rsid w:val="BBBF3839"/>
    <w:rsid w:val="BBEFB0AB"/>
    <w:rsid w:val="BBF11B5C"/>
    <w:rsid w:val="BBFB4453"/>
    <w:rsid w:val="BBFB5ED3"/>
    <w:rsid w:val="BBFF9555"/>
    <w:rsid w:val="BBFFAD34"/>
    <w:rsid w:val="BD7F503D"/>
    <w:rsid w:val="BDD73E15"/>
    <w:rsid w:val="BDD86F2F"/>
    <w:rsid w:val="BDFEBA6B"/>
    <w:rsid w:val="BEAF5160"/>
    <w:rsid w:val="BEEDD00D"/>
    <w:rsid w:val="BEEF4001"/>
    <w:rsid w:val="BEF78A83"/>
    <w:rsid w:val="BF3C44F9"/>
    <w:rsid w:val="BF894066"/>
    <w:rsid w:val="BFAED7F6"/>
    <w:rsid w:val="BFAF762D"/>
    <w:rsid w:val="BFB5736B"/>
    <w:rsid w:val="BFB600D4"/>
    <w:rsid w:val="BFB68948"/>
    <w:rsid w:val="BFB7FF9B"/>
    <w:rsid w:val="BFBDFE5F"/>
    <w:rsid w:val="BFF7AF5F"/>
    <w:rsid w:val="BFF963C7"/>
    <w:rsid w:val="BFFB88C6"/>
    <w:rsid w:val="BFFE1795"/>
    <w:rsid w:val="BFFFDD1E"/>
    <w:rsid w:val="C3FCB537"/>
    <w:rsid w:val="C59FBD07"/>
    <w:rsid w:val="C5BF644A"/>
    <w:rsid w:val="C6BB3D05"/>
    <w:rsid w:val="CA71D63B"/>
    <w:rsid w:val="CAFCEE08"/>
    <w:rsid w:val="CBBB8364"/>
    <w:rsid w:val="CDA72D00"/>
    <w:rsid w:val="CDFEC19C"/>
    <w:rsid w:val="CDFFF314"/>
    <w:rsid w:val="CE56E42B"/>
    <w:rsid w:val="CEEA7708"/>
    <w:rsid w:val="CEFF36AA"/>
    <w:rsid w:val="CF77EEB9"/>
    <w:rsid w:val="CFEF2B39"/>
    <w:rsid w:val="CFEFB86D"/>
    <w:rsid w:val="CFF6D1A3"/>
    <w:rsid w:val="CFFF49D9"/>
    <w:rsid w:val="D05F960D"/>
    <w:rsid w:val="D4FF0D02"/>
    <w:rsid w:val="D5FD90C2"/>
    <w:rsid w:val="D6AA3170"/>
    <w:rsid w:val="D76E3792"/>
    <w:rsid w:val="D7DE1580"/>
    <w:rsid w:val="D7E7BC8A"/>
    <w:rsid w:val="D7FB1972"/>
    <w:rsid w:val="D7FFC808"/>
    <w:rsid w:val="D97F952A"/>
    <w:rsid w:val="DA7F8F9D"/>
    <w:rsid w:val="DB2F56E8"/>
    <w:rsid w:val="DBB565BF"/>
    <w:rsid w:val="DBEFE071"/>
    <w:rsid w:val="DBF0A932"/>
    <w:rsid w:val="DBFD1D86"/>
    <w:rsid w:val="DCE3F732"/>
    <w:rsid w:val="DD1F3235"/>
    <w:rsid w:val="DD3CDCD7"/>
    <w:rsid w:val="DD7682CC"/>
    <w:rsid w:val="DDE513C5"/>
    <w:rsid w:val="DDEF8217"/>
    <w:rsid w:val="DE5F4105"/>
    <w:rsid w:val="DEB54EE1"/>
    <w:rsid w:val="DEE63E14"/>
    <w:rsid w:val="DEEB1DEA"/>
    <w:rsid w:val="DEEDB1D1"/>
    <w:rsid w:val="DEEFA60A"/>
    <w:rsid w:val="DEFF29E6"/>
    <w:rsid w:val="DF3639D8"/>
    <w:rsid w:val="DF576304"/>
    <w:rsid w:val="DF5F0F01"/>
    <w:rsid w:val="DF67FAF7"/>
    <w:rsid w:val="DF7E1327"/>
    <w:rsid w:val="DF7E288F"/>
    <w:rsid w:val="DFA3E90C"/>
    <w:rsid w:val="DFB100C4"/>
    <w:rsid w:val="DFB7F7EA"/>
    <w:rsid w:val="DFB96CE4"/>
    <w:rsid w:val="DFBED266"/>
    <w:rsid w:val="DFBFC906"/>
    <w:rsid w:val="DFDEB65C"/>
    <w:rsid w:val="DFDF0332"/>
    <w:rsid w:val="DFE76BFA"/>
    <w:rsid w:val="DFFC0994"/>
    <w:rsid w:val="DFFFA2B0"/>
    <w:rsid w:val="DFFFA5AD"/>
    <w:rsid w:val="DFFFC428"/>
    <w:rsid w:val="E3FFF6F2"/>
    <w:rsid w:val="E3FFF964"/>
    <w:rsid w:val="E5AE963D"/>
    <w:rsid w:val="E65B8108"/>
    <w:rsid w:val="E73F31F3"/>
    <w:rsid w:val="E76D6F7B"/>
    <w:rsid w:val="E7B34B65"/>
    <w:rsid w:val="E7BE332E"/>
    <w:rsid w:val="E7EF0415"/>
    <w:rsid w:val="E7F76B63"/>
    <w:rsid w:val="E9BFB830"/>
    <w:rsid w:val="E9DF4548"/>
    <w:rsid w:val="E9EF2460"/>
    <w:rsid w:val="E9EF8290"/>
    <w:rsid w:val="E9F36FE3"/>
    <w:rsid w:val="E9F735D0"/>
    <w:rsid w:val="EA35EEF3"/>
    <w:rsid w:val="EA687956"/>
    <w:rsid w:val="EA7E118E"/>
    <w:rsid w:val="EBF3F921"/>
    <w:rsid w:val="EBFBC8F9"/>
    <w:rsid w:val="EBFD2036"/>
    <w:rsid w:val="EC4D963D"/>
    <w:rsid w:val="ECBF5577"/>
    <w:rsid w:val="ECFF0945"/>
    <w:rsid w:val="ECFFE040"/>
    <w:rsid w:val="ED6FF1AF"/>
    <w:rsid w:val="ED754F1C"/>
    <w:rsid w:val="EDFFA729"/>
    <w:rsid w:val="EE6F38D7"/>
    <w:rsid w:val="EE7741FE"/>
    <w:rsid w:val="EE9EEDF8"/>
    <w:rsid w:val="EEBB3099"/>
    <w:rsid w:val="EEC74B0B"/>
    <w:rsid w:val="EEDD8340"/>
    <w:rsid w:val="EEE7C8AA"/>
    <w:rsid w:val="EEEFFCC0"/>
    <w:rsid w:val="EF6B1AB7"/>
    <w:rsid w:val="EF6F9673"/>
    <w:rsid w:val="EF7B3CE6"/>
    <w:rsid w:val="EF7F7ECE"/>
    <w:rsid w:val="EF7FB561"/>
    <w:rsid w:val="EFA3D3BE"/>
    <w:rsid w:val="EFAFD4DC"/>
    <w:rsid w:val="EFB2641B"/>
    <w:rsid w:val="EFBDEC0B"/>
    <w:rsid w:val="EFBF7B94"/>
    <w:rsid w:val="EFD1452E"/>
    <w:rsid w:val="EFD7E2F4"/>
    <w:rsid w:val="EFDD3889"/>
    <w:rsid w:val="EFDF7EAF"/>
    <w:rsid w:val="EFDFFE24"/>
    <w:rsid w:val="EFE7D65E"/>
    <w:rsid w:val="EFED0FAD"/>
    <w:rsid w:val="EFF3E741"/>
    <w:rsid w:val="EFF4417E"/>
    <w:rsid w:val="EFF7E49C"/>
    <w:rsid w:val="EFF81A01"/>
    <w:rsid w:val="EFFEAA28"/>
    <w:rsid w:val="EFFEEFB1"/>
    <w:rsid w:val="EFFF12C5"/>
    <w:rsid w:val="EFFF48BB"/>
    <w:rsid w:val="F31EF586"/>
    <w:rsid w:val="F36DE66A"/>
    <w:rsid w:val="F5AE7DC8"/>
    <w:rsid w:val="F5DE0EE3"/>
    <w:rsid w:val="F5F4BEC6"/>
    <w:rsid w:val="F5FC7A72"/>
    <w:rsid w:val="F5FF20A7"/>
    <w:rsid w:val="F5FF6E50"/>
    <w:rsid w:val="F6BFB142"/>
    <w:rsid w:val="F6C7EB05"/>
    <w:rsid w:val="F6CA3FDB"/>
    <w:rsid w:val="F6CC900A"/>
    <w:rsid w:val="F6DB3C47"/>
    <w:rsid w:val="F6EE4321"/>
    <w:rsid w:val="F6F63EE3"/>
    <w:rsid w:val="F6FBC013"/>
    <w:rsid w:val="F6FD00D4"/>
    <w:rsid w:val="F6FE7410"/>
    <w:rsid w:val="F6FF9A64"/>
    <w:rsid w:val="F743147A"/>
    <w:rsid w:val="F74EBAD3"/>
    <w:rsid w:val="F773B361"/>
    <w:rsid w:val="F77D17DC"/>
    <w:rsid w:val="F77E71C7"/>
    <w:rsid w:val="F79DE0AE"/>
    <w:rsid w:val="F79F0B13"/>
    <w:rsid w:val="F79F285E"/>
    <w:rsid w:val="F79F51A1"/>
    <w:rsid w:val="F79FF9C1"/>
    <w:rsid w:val="F7AD8CE0"/>
    <w:rsid w:val="F7B7EDE6"/>
    <w:rsid w:val="F7BDCF98"/>
    <w:rsid w:val="F7BFA57E"/>
    <w:rsid w:val="F7DF483C"/>
    <w:rsid w:val="F7EFC83D"/>
    <w:rsid w:val="F7FAE932"/>
    <w:rsid w:val="F7FB77A7"/>
    <w:rsid w:val="F7FDF29C"/>
    <w:rsid w:val="F7FE9F96"/>
    <w:rsid w:val="F7FEA843"/>
    <w:rsid w:val="F8DFDFF3"/>
    <w:rsid w:val="F9970A35"/>
    <w:rsid w:val="F9AFED56"/>
    <w:rsid w:val="F9EFE14D"/>
    <w:rsid w:val="F9F753FF"/>
    <w:rsid w:val="FA7DE57B"/>
    <w:rsid w:val="FA7F76A5"/>
    <w:rsid w:val="FAED2149"/>
    <w:rsid w:val="FAFB317F"/>
    <w:rsid w:val="FAFD38DF"/>
    <w:rsid w:val="FAFF569D"/>
    <w:rsid w:val="FB37F309"/>
    <w:rsid w:val="FB3BB9D9"/>
    <w:rsid w:val="FB757847"/>
    <w:rsid w:val="FB778959"/>
    <w:rsid w:val="FB7FCB46"/>
    <w:rsid w:val="FBA2FF7E"/>
    <w:rsid w:val="FBAAB446"/>
    <w:rsid w:val="FBBE9E88"/>
    <w:rsid w:val="FBBED675"/>
    <w:rsid w:val="FBCB1C89"/>
    <w:rsid w:val="FBCF4B3D"/>
    <w:rsid w:val="FBD21A48"/>
    <w:rsid w:val="FBF165AC"/>
    <w:rsid w:val="FBFD4683"/>
    <w:rsid w:val="FBFE5E54"/>
    <w:rsid w:val="FBFF7E0F"/>
    <w:rsid w:val="FBFF82C2"/>
    <w:rsid w:val="FCBD624C"/>
    <w:rsid w:val="FCD7AC47"/>
    <w:rsid w:val="FCFBE614"/>
    <w:rsid w:val="FD6F5136"/>
    <w:rsid w:val="FD747CFC"/>
    <w:rsid w:val="FD79F6D8"/>
    <w:rsid w:val="FD7B1A43"/>
    <w:rsid w:val="FD7F5883"/>
    <w:rsid w:val="FD9A27CA"/>
    <w:rsid w:val="FDADA224"/>
    <w:rsid w:val="FDAFE752"/>
    <w:rsid w:val="FDB51B59"/>
    <w:rsid w:val="FDBA5E20"/>
    <w:rsid w:val="FDC63B68"/>
    <w:rsid w:val="FDDBF5DB"/>
    <w:rsid w:val="FDE67E81"/>
    <w:rsid w:val="FDEE1A61"/>
    <w:rsid w:val="FDEFF45F"/>
    <w:rsid w:val="FDF12AEE"/>
    <w:rsid w:val="FDF710AE"/>
    <w:rsid w:val="FDF752D9"/>
    <w:rsid w:val="FDF79575"/>
    <w:rsid w:val="FDF7CD28"/>
    <w:rsid w:val="FDFB0916"/>
    <w:rsid w:val="FDFD1DD5"/>
    <w:rsid w:val="FDFE97AB"/>
    <w:rsid w:val="FDFF0AFC"/>
    <w:rsid w:val="FDFF1299"/>
    <w:rsid w:val="FDFF7C5E"/>
    <w:rsid w:val="FE592AAC"/>
    <w:rsid w:val="FE5BFF05"/>
    <w:rsid w:val="FE5D578F"/>
    <w:rsid w:val="FE75AA4E"/>
    <w:rsid w:val="FE7E3A5B"/>
    <w:rsid w:val="FE7FBAF0"/>
    <w:rsid w:val="FE7FDA69"/>
    <w:rsid w:val="FE879635"/>
    <w:rsid w:val="FE9A51CD"/>
    <w:rsid w:val="FEAAA4BF"/>
    <w:rsid w:val="FEBD0C4F"/>
    <w:rsid w:val="FEC9C5EB"/>
    <w:rsid w:val="FEEF051C"/>
    <w:rsid w:val="FEF7BE57"/>
    <w:rsid w:val="FEFEF172"/>
    <w:rsid w:val="FF36E549"/>
    <w:rsid w:val="FF3DA58F"/>
    <w:rsid w:val="FF5F3FF4"/>
    <w:rsid w:val="FF5FD8D0"/>
    <w:rsid w:val="FF6DCB2E"/>
    <w:rsid w:val="FF6EC0DA"/>
    <w:rsid w:val="FF6FAD9D"/>
    <w:rsid w:val="FF758518"/>
    <w:rsid w:val="FF78A95A"/>
    <w:rsid w:val="FF79451B"/>
    <w:rsid w:val="FF7B46D8"/>
    <w:rsid w:val="FF7B66EA"/>
    <w:rsid w:val="FF7B8E4D"/>
    <w:rsid w:val="FF7DCB66"/>
    <w:rsid w:val="FF7F3CAD"/>
    <w:rsid w:val="FF7F869A"/>
    <w:rsid w:val="FF9C236F"/>
    <w:rsid w:val="FFAF9014"/>
    <w:rsid w:val="FFB83420"/>
    <w:rsid w:val="FFB96493"/>
    <w:rsid w:val="FFBBD9BB"/>
    <w:rsid w:val="FFBDEB7D"/>
    <w:rsid w:val="FFCFC6F4"/>
    <w:rsid w:val="FFD2A080"/>
    <w:rsid w:val="FFD90E4A"/>
    <w:rsid w:val="FFDCB5E2"/>
    <w:rsid w:val="FFDDD7D2"/>
    <w:rsid w:val="FFDF0D0E"/>
    <w:rsid w:val="FFDF8C08"/>
    <w:rsid w:val="FFE2D4A1"/>
    <w:rsid w:val="FFE7FF22"/>
    <w:rsid w:val="FFEF1648"/>
    <w:rsid w:val="FFEF32CF"/>
    <w:rsid w:val="FFF2150B"/>
    <w:rsid w:val="FFF585CC"/>
    <w:rsid w:val="FFF7AC10"/>
    <w:rsid w:val="FFF7BBFD"/>
    <w:rsid w:val="FFFA9654"/>
    <w:rsid w:val="FFFAF0AB"/>
    <w:rsid w:val="FFFB2693"/>
    <w:rsid w:val="FFFBAB82"/>
    <w:rsid w:val="FFFC5DA0"/>
    <w:rsid w:val="FFFDE8CE"/>
    <w:rsid w:val="FFFE1235"/>
    <w:rsid w:val="FFFE203F"/>
    <w:rsid w:val="FFFF793F"/>
    <w:rsid w:val="FFFF7BC7"/>
    <w:rsid w:val="FFFFB9FA"/>
    <w:rsid w:val="FFFFF4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等线" w:hAnsi="Times New Roman" w:eastAsia="等线" w:cs="Arial"/>
      <w:kern w:val="2"/>
      <w:sz w:val="21"/>
      <w:szCs w:val="22"/>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5" w:lineRule="auto"/>
      <w:outlineLvl w:val="1"/>
    </w:pPr>
    <w:rPr>
      <w:rFonts w:ascii="Times New Roman" w:eastAsia="黑体"/>
      <w:b/>
      <w:bCs/>
      <w:sz w:val="32"/>
      <w:szCs w:val="32"/>
    </w:rPr>
  </w:style>
  <w:style w:type="paragraph" w:styleId="9">
    <w:name w:val="heading 3"/>
    <w:basedOn w:val="1"/>
    <w:next w:val="1"/>
    <w:qFormat/>
    <w:uiPriority w:val="0"/>
    <w:pPr>
      <w:keepNext/>
      <w:keepLines/>
      <w:spacing w:before="260" w:after="260" w:line="415"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before="100" w:beforeAutospacing="1" w:line="276" w:lineRule="auto"/>
      <w:ind w:firstLine="200" w:firstLineChars="200"/>
    </w:pPr>
    <w:rPr>
      <w:rFonts w:ascii="Calibri" w:hAnsi="Calibri" w:eastAsia="宋体" w:cs="Times New Roman"/>
      <w:szCs w:val="21"/>
    </w:rPr>
  </w:style>
  <w:style w:type="paragraph" w:styleId="3">
    <w:name w:val="Body Text Indent"/>
    <w:basedOn w:val="1"/>
    <w:next w:val="4"/>
    <w:qFormat/>
    <w:uiPriority w:val="0"/>
    <w:pPr>
      <w:spacing w:after="120"/>
      <w:ind w:left="200" w:leftChars="200"/>
    </w:pPr>
  </w:style>
  <w:style w:type="paragraph" w:styleId="4">
    <w:name w:val="Normal Indent"/>
    <w:basedOn w:val="1"/>
    <w:next w:val="5"/>
    <w:qFormat/>
    <w:uiPriority w:val="0"/>
    <w:pPr>
      <w:widowControl/>
      <w:ind w:firstLine="420"/>
      <w:jc w:val="left"/>
    </w:pPr>
    <w:rPr>
      <w:kern w:val="0"/>
      <w:szCs w:val="20"/>
    </w:rPr>
  </w:style>
  <w:style w:type="paragraph" w:styleId="5">
    <w:name w:val="toc 4"/>
    <w:basedOn w:val="1"/>
    <w:next w:val="1"/>
    <w:qFormat/>
    <w:uiPriority w:val="0"/>
    <w:pPr>
      <w:wordWrap w:val="0"/>
      <w:ind w:left="850"/>
    </w:pPr>
    <w:rPr>
      <w:rFonts w:cs="黑体"/>
    </w:rPr>
  </w:style>
  <w:style w:type="paragraph" w:styleId="6">
    <w:name w:val="Date"/>
    <w:basedOn w:val="1"/>
    <w:next w:val="1"/>
    <w:qFormat/>
    <w:uiPriority w:val="0"/>
    <w:pPr>
      <w:ind w:left="2500" w:leftChars="2500"/>
    </w:pPr>
  </w:style>
  <w:style w:type="paragraph" w:styleId="10">
    <w:name w:val="index 5"/>
    <w:basedOn w:val="1"/>
    <w:next w:val="1"/>
    <w:unhideWhenUsed/>
    <w:qFormat/>
    <w:uiPriority w:val="0"/>
    <w:pPr>
      <w:ind w:left="1680"/>
    </w:pPr>
    <w:rPr>
      <w:rFonts w:hint="eastAsia" w:ascii="方正小标宋简体" w:eastAsia="方正小标宋简体"/>
      <w:sz w:val="24"/>
      <w:szCs w:val="24"/>
    </w:rPr>
  </w:style>
  <w:style w:type="paragraph" w:styleId="11">
    <w:name w:val="index 6"/>
    <w:basedOn w:val="1"/>
    <w:next w:val="1"/>
    <w:qFormat/>
    <w:uiPriority w:val="0"/>
    <w:pPr>
      <w:spacing w:before="100" w:beforeAutospacing="1" w:line="276" w:lineRule="auto"/>
      <w:ind w:left="1000" w:leftChars="1000"/>
    </w:pPr>
    <w:rPr>
      <w:szCs w:val="21"/>
    </w:rPr>
  </w:style>
  <w:style w:type="paragraph" w:styleId="12">
    <w:name w:val="Body Text"/>
    <w:basedOn w:val="1"/>
    <w:next w:val="13"/>
    <w:qFormat/>
    <w:uiPriority w:val="0"/>
    <w:pPr>
      <w:spacing w:after="120"/>
    </w:pPr>
  </w:style>
  <w:style w:type="paragraph" w:styleId="13">
    <w:name w:val="index 7"/>
    <w:basedOn w:val="1"/>
    <w:next w:val="1"/>
    <w:semiHidden/>
    <w:qFormat/>
    <w:uiPriority w:val="99"/>
    <w:pPr>
      <w:ind w:left="1200" w:leftChars="1200"/>
    </w:pPr>
    <w:rPr>
      <w:rFonts w:ascii="Calibri" w:hAnsi="Calibri" w:eastAsia="宋体" w:cs="Times New Roman"/>
      <w:szCs w:val="24"/>
    </w:rPr>
  </w:style>
  <w:style w:type="paragraph" w:styleId="14">
    <w:name w:val="Balloon Text"/>
    <w:basedOn w:val="1"/>
    <w:link w:val="26"/>
    <w:qFormat/>
    <w:uiPriority w:val="0"/>
    <w:pPr>
      <w:spacing w:after="0" w:line="240" w:lineRule="auto"/>
    </w:pPr>
    <w:rPr>
      <w:sz w:val="18"/>
      <w:szCs w:val="18"/>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Normal (Web)"/>
    <w:basedOn w:val="1"/>
    <w:qFormat/>
    <w:uiPriority w:val="0"/>
    <w:pPr>
      <w:spacing w:beforeAutospacing="1" w:after="0" w:afterAutospacing="1"/>
      <w:jc w:val="left"/>
    </w:pPr>
    <w:rPr>
      <w:rFonts w:cs="Times New Roman"/>
      <w:kern w:val="0"/>
      <w:sz w:val="24"/>
    </w:rPr>
  </w:style>
  <w:style w:type="paragraph" w:styleId="18">
    <w:name w:val="Body Text First Indent"/>
    <w:basedOn w:val="12"/>
    <w:next w:val="1"/>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paragraph" w:customStyle="1" w:styleId="23">
    <w:name w:val="Char1"/>
    <w:basedOn w:val="1"/>
    <w:unhideWhenUsed/>
    <w:qFormat/>
    <w:uiPriority w:val="99"/>
    <w:pPr>
      <w:spacing w:line="360" w:lineRule="auto"/>
      <w:ind w:firstLine="420"/>
    </w:pPr>
    <w:rPr>
      <w:rFonts w:ascii="宋体" w:hAnsi="宋体"/>
      <w:sz w:val="30"/>
      <w:szCs w:val="24"/>
    </w:rPr>
  </w:style>
  <w:style w:type="paragraph" w:styleId="24">
    <w:name w:val="List Paragraph"/>
    <w:basedOn w:val="1"/>
    <w:qFormat/>
    <w:uiPriority w:val="0"/>
    <w:pPr>
      <w:ind w:firstLine="200" w:firstLineChars="200"/>
    </w:pPr>
  </w:style>
  <w:style w:type="paragraph" w:customStyle="1" w:styleId="25">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6">
    <w:name w:val="批注框文本 Char"/>
    <w:basedOn w:val="21"/>
    <w:link w:val="14"/>
    <w:uiPriority w:val="0"/>
    <w:rPr>
      <w:rFonts w:ascii="等线" w:eastAsia="等线" w:cs="Arial"/>
      <w:kern w:val="2"/>
      <w:sz w:val="18"/>
      <w:szCs w:val="18"/>
    </w:rPr>
  </w:style>
  <w:style w:type="character" w:customStyle="1" w:styleId="27">
    <w:name w:val="页脚 Char"/>
    <w:basedOn w:val="21"/>
    <w:link w:val="15"/>
    <w:uiPriority w:val="99"/>
    <w:rPr>
      <w:rFonts w:ascii="等线" w:eastAsia="等线"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907</Words>
  <Characters>5170</Characters>
  <Lines>43</Lines>
  <Paragraphs>12</Paragraphs>
  <TotalTime>40</TotalTime>
  <ScaleCrop>false</ScaleCrop>
  <LinksUpToDate>false</LinksUpToDate>
  <CharactersWithSpaces>6065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2024-09-26T14:55:00Z</dcterms:created>
  <dc:creator>yongpin ni</dc:creator>
  <cp:lastModifiedBy>huawei</cp:lastModifiedBy>
  <cp:lastPrinted>2025-04-04T05:09:00Z</cp:lastPrinted>
  <dcterms:modified xsi:type="dcterms:W3CDTF">2025-04-10T17:45:58Z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7CBA6768D9DA40168E9EE2B3BE8F9635_12</vt:lpwstr>
  </property>
  <property fmtid="{D5CDD505-2E9C-101B-9397-08002B2CF9AE}" pid="4" name="KSOTemplateDocerSaveRecord">
    <vt:lpwstr>eyJoZGlkIjoiYTcyNDYzOWM3Y2M4ZGVhNjNjZjk2OTdmYzBkYzg0OTIiLCJ1c2VySWQiOiIyMzg0NTI5MzkifQ==</vt:lpwstr>
  </property>
</Properties>
</file>