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343017">
      <w:pPr>
        <w:rPr>
          <w:rFonts w:ascii="Times New Roman" w:hAnsi="Times New Roman" w:eastAsia="黑体" w:cs="Times New Roman"/>
          <w:bCs/>
          <w:color w:val="auto"/>
          <w:sz w:val="24"/>
          <w:highlight w:val="none"/>
        </w:rPr>
      </w:pPr>
      <w:r>
        <w:rPr>
          <w:rFonts w:ascii="Times New Roman" w:hAnsi="Times New Roman" w:eastAsia="黑体" w:cs="Times New Roman"/>
          <w:bCs/>
          <w:color w:val="auto"/>
          <w:sz w:val="24"/>
          <w:highlight w:val="none"/>
        </w:rPr>
        <w:t xml:space="preserve">ICS   </w:t>
      </w:r>
      <w:r>
        <w:rPr>
          <w:rFonts w:hint="eastAsia" w:ascii="Times New Roman" w:hAnsi="Times New Roman" w:eastAsia="黑体" w:cs="Times New Roman"/>
          <w:bCs/>
          <w:color w:val="auto"/>
          <w:sz w:val="24"/>
          <w:highlight w:val="none"/>
        </w:rPr>
        <w:t>xxxxxx</w:t>
      </w:r>
      <w:r>
        <w:rPr>
          <w:rFonts w:ascii="Times New Roman" w:hAnsi="Times New Roman" w:eastAsia="黑体" w:cs="Times New Roman"/>
          <w:bCs/>
          <w:color w:val="auto"/>
          <w:sz w:val="24"/>
          <w:highlight w:val="none"/>
        </w:rPr>
        <w:t xml:space="preserve"> </w:t>
      </w:r>
    </w:p>
    <w:p w14:paraId="739EC46D">
      <w:pPr>
        <w:rPr>
          <w:rFonts w:ascii="Times New Roman" w:hAnsi="Times New Roman" w:eastAsia="黑体" w:cs="Times New Roman"/>
          <w:bCs/>
          <w:color w:val="auto"/>
          <w:sz w:val="24"/>
          <w:highlight w:val="none"/>
        </w:rPr>
      </w:pPr>
      <w:r>
        <w:rPr>
          <w:rFonts w:ascii="Times New Roman" w:hAnsi="Times New Roman" w:eastAsia="黑体" w:cs="Times New Roman"/>
          <w:bCs/>
          <w:color w:val="auto"/>
          <w:sz w:val="24"/>
          <w:highlight w:val="none"/>
        </w:rPr>
        <w:t xml:space="preserve">CCS    </w:t>
      </w:r>
      <w:r>
        <w:rPr>
          <w:rFonts w:hint="eastAsia" w:ascii="Times New Roman" w:hAnsi="Times New Roman" w:eastAsia="黑体" w:cs="Times New Roman"/>
          <w:bCs/>
          <w:color w:val="auto"/>
          <w:sz w:val="24"/>
          <w:highlight w:val="none"/>
        </w:rPr>
        <w:t>xxx</w:t>
      </w:r>
      <w:r>
        <w:rPr>
          <w:rFonts w:ascii="Times New Roman" w:hAnsi="Times New Roman" w:eastAsia="黑体" w:cs="Times New Roman"/>
          <w:bCs/>
          <w:color w:val="auto"/>
          <w:sz w:val="24"/>
          <w:highlight w:val="none"/>
        </w:rPr>
        <w:t xml:space="preserve"> </w:t>
      </w:r>
    </w:p>
    <w:p w14:paraId="4B8BBCAE">
      <w:pPr>
        <w:spacing w:line="360" w:lineRule="auto"/>
        <w:jc w:val="right"/>
        <w:rPr>
          <w:rFonts w:ascii="Times New Roman" w:hAnsi="Times New Roman" w:eastAsia="黑体" w:cs="Times New Roman"/>
          <w:b/>
          <w:color w:val="auto"/>
          <w:sz w:val="44"/>
          <w:szCs w:val="44"/>
          <w:highlight w:val="none"/>
        </w:rPr>
      </w:pPr>
      <w:r>
        <w:rPr>
          <w:rFonts w:ascii="Times New Roman" w:hAnsi="Times New Roman" w:eastAsia="黑体" w:cs="Times New Roman"/>
          <w:b/>
          <w:color w:val="auto"/>
          <w:sz w:val="44"/>
          <w:szCs w:val="44"/>
          <w:highlight w:val="none"/>
        </w:rPr>
        <w:t xml:space="preserve"> </w:t>
      </w:r>
      <w:r>
        <w:rPr>
          <w:rFonts w:ascii="Times New Roman" w:hAnsi="Times New Roman" w:eastAsia="黑体" w:cs="Times New Roman"/>
          <w:b/>
          <w:color w:val="auto"/>
          <w:sz w:val="96"/>
          <w:szCs w:val="96"/>
          <w:highlight w:val="none"/>
        </w:rPr>
        <w:t xml:space="preserve"> DB </w:t>
      </w:r>
      <w:r>
        <w:rPr>
          <w:rFonts w:hint="eastAsia" w:ascii="Times New Roman" w:hAnsi="Times New Roman" w:eastAsia="黑体" w:cs="Times New Roman"/>
          <w:b/>
          <w:color w:val="auto"/>
          <w:sz w:val="96"/>
          <w:szCs w:val="96"/>
          <w:highlight w:val="none"/>
        </w:rPr>
        <w:t>xx</w:t>
      </w:r>
    </w:p>
    <w:p w14:paraId="6E423CA0">
      <w:pPr>
        <w:spacing w:line="360" w:lineRule="auto"/>
        <w:rPr>
          <w:rFonts w:ascii="Times New Roman" w:hAnsi="Times New Roman" w:eastAsia="黑体" w:cs="Times New Roman"/>
          <w:b/>
          <w:color w:val="auto"/>
          <w:sz w:val="44"/>
          <w:szCs w:val="44"/>
          <w:highlight w:val="none"/>
        </w:rPr>
      </w:pPr>
      <w:r>
        <w:rPr>
          <w:rFonts w:hint="eastAsia" w:ascii="Times New Roman" w:hAnsi="Times New Roman" w:eastAsia="黑体" w:cs="Times New Roman"/>
          <w:b/>
          <w:color w:val="auto"/>
          <w:spacing w:val="133"/>
          <w:kern w:val="0"/>
          <w:sz w:val="52"/>
          <w:szCs w:val="52"/>
          <w:highlight w:val="none"/>
          <w:fitText w:val="8398" w:id="-1283143423"/>
        </w:rPr>
        <w:t xml:space="preserve">河 北 省 地 方 标 </w:t>
      </w:r>
      <w:r>
        <w:rPr>
          <w:rFonts w:hint="eastAsia" w:ascii="Times New Roman" w:hAnsi="Times New Roman" w:eastAsia="黑体" w:cs="Times New Roman"/>
          <w:b/>
          <w:color w:val="auto"/>
          <w:spacing w:val="3"/>
          <w:kern w:val="0"/>
          <w:sz w:val="52"/>
          <w:szCs w:val="52"/>
          <w:highlight w:val="none"/>
          <w:fitText w:val="8398" w:id="-1283143423"/>
        </w:rPr>
        <w:t>准</w:t>
      </w:r>
    </w:p>
    <w:p w14:paraId="43A182A6">
      <w:pPr>
        <w:spacing w:line="360" w:lineRule="auto"/>
        <w:jc w:val="right"/>
        <w:rPr>
          <w:rFonts w:ascii="Times New Roman" w:hAnsi="Times New Roman" w:eastAsia="黑体" w:cs="Times New Roman"/>
          <w:bCs/>
          <w:color w:val="auto"/>
          <w:sz w:val="28"/>
          <w:szCs w:val="28"/>
          <w:highlight w:val="none"/>
        </w:rPr>
      </w:pPr>
      <w:r>
        <w:rPr>
          <w:rFonts w:ascii="Times New Roman" w:hAnsi="Times New Roman" w:eastAsia="黑体" w:cs="Times New Roman"/>
          <w:bCs/>
          <w:color w:val="auto"/>
          <w:sz w:val="28"/>
          <w:szCs w:val="28"/>
          <w:highlight w:val="none"/>
        </w:rPr>
        <w:t xml:space="preserve">DB </w:t>
      </w:r>
      <w:r>
        <w:rPr>
          <w:rFonts w:hint="eastAsia" w:ascii="Times New Roman" w:hAnsi="Times New Roman" w:eastAsia="黑体" w:cs="Times New Roman"/>
          <w:bCs/>
          <w:color w:val="auto"/>
          <w:sz w:val="28"/>
          <w:szCs w:val="28"/>
          <w:highlight w:val="none"/>
        </w:rPr>
        <w:t>xx</w:t>
      </w:r>
      <w:r>
        <w:rPr>
          <w:rFonts w:ascii="Times New Roman" w:hAnsi="Times New Roman" w:eastAsia="黑体" w:cs="Times New Roman"/>
          <w:bCs/>
          <w:color w:val="auto"/>
          <w:sz w:val="28"/>
          <w:szCs w:val="28"/>
          <w:highlight w:val="none"/>
        </w:rPr>
        <w:t>/</w:t>
      </w:r>
      <w:r>
        <w:rPr>
          <w:rFonts w:hint="eastAsia" w:ascii="Times New Roman" w:hAnsi="Times New Roman" w:eastAsia="黑体" w:cs="Times New Roman"/>
          <w:bCs/>
          <w:color w:val="auto"/>
          <w:sz w:val="28"/>
          <w:szCs w:val="28"/>
          <w:highlight w:val="none"/>
        </w:rPr>
        <w:t>xx—xxx</w:t>
      </w:r>
    </w:p>
    <w:p w14:paraId="49B88EE4">
      <w:pPr>
        <w:spacing w:line="360" w:lineRule="auto"/>
        <w:jc w:val="center"/>
        <w:rPr>
          <w:rFonts w:ascii="Times New Roman" w:hAnsi="Times New Roman" w:eastAsia="黑体" w:cs="Times New Roman"/>
          <w:b/>
          <w:color w:val="auto"/>
          <w:sz w:val="44"/>
          <w:szCs w:val="44"/>
          <w:highlight w:val="none"/>
        </w:rPr>
      </w:pPr>
      <w:r>
        <w:rPr>
          <w:rFonts w:ascii="Times New Roman" w:hAnsi="Times New Roman" w:eastAsia="黑体" w:cs="Times New Roman"/>
          <w:b/>
          <w:color w:val="auto"/>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73025</wp:posOffset>
                </wp:positionH>
                <wp:positionV relativeFrom="paragraph">
                  <wp:posOffset>145415</wp:posOffset>
                </wp:positionV>
                <wp:extent cx="5176520" cy="0"/>
                <wp:effectExtent l="0" t="0" r="0" b="0"/>
                <wp:wrapNone/>
                <wp:docPr id="31" name="直接连接符 31"/>
                <wp:cNvGraphicFramePr/>
                <a:graphic xmlns:a="http://schemas.openxmlformats.org/drawingml/2006/main">
                  <a:graphicData uri="http://schemas.microsoft.com/office/word/2010/wordprocessingShape">
                    <wps:wsp>
                      <wps:cNvCnPr/>
                      <wps:spPr>
                        <a:xfrm flipH="1">
                          <a:off x="0" y="0"/>
                          <a:ext cx="51764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75pt;margin-top:11.45pt;height:0pt;width:407.6pt;z-index:251660288;mso-width-relative:page;mso-height-relative:page;" filled="f" stroked="t" coordsize="21600,21600" o:gfxdata="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l5&#10;3BLVAAAACAEAAA8AAAAAAAAAAQAgAAAAIgAAAGRycy9kb3ducmV2LnhtbFBLAQIUABQAAAAIAIdO&#10;4kA9TiKr7QEAAL0DAAAOAAAAAAAAAAEAIAAAACQBAABkcnMvZTJvRG9jLnhtbFBLBQYAAAAABgAG&#10;AFkBAACDBQAAAAA=&#10;">
                <v:fill on="f" focussize="0,0"/>
                <v:stroke weight="0.5pt" color="#000000 [3200]" miterlimit="8" joinstyle="miter"/>
                <v:imagedata o:title=""/>
                <o:lock v:ext="edit" aspectratio="f"/>
              </v:line>
            </w:pict>
          </mc:Fallback>
        </mc:AlternateContent>
      </w:r>
    </w:p>
    <w:p w14:paraId="7433DB38">
      <w:pPr>
        <w:spacing w:line="360" w:lineRule="auto"/>
        <w:jc w:val="center"/>
        <w:rPr>
          <w:rFonts w:ascii="Times New Roman" w:hAnsi="Times New Roman" w:eastAsia="黑体" w:cs="Times New Roman"/>
          <w:b/>
          <w:color w:val="auto"/>
          <w:sz w:val="44"/>
          <w:szCs w:val="44"/>
          <w:highlight w:val="none"/>
        </w:rPr>
      </w:pPr>
    </w:p>
    <w:p w14:paraId="39836C28">
      <w:pPr>
        <w:spacing w:line="360" w:lineRule="auto"/>
        <w:jc w:val="center"/>
        <w:rPr>
          <w:rFonts w:ascii="Times New Roman" w:hAnsi="Times New Roman" w:eastAsia="黑体" w:cs="Times New Roman"/>
          <w:b/>
          <w:color w:val="auto"/>
          <w:sz w:val="44"/>
          <w:szCs w:val="44"/>
          <w:highlight w:val="none"/>
        </w:rPr>
      </w:pPr>
    </w:p>
    <w:p w14:paraId="233B124B">
      <w:pPr>
        <w:spacing w:line="360" w:lineRule="auto"/>
        <w:jc w:val="center"/>
        <w:rPr>
          <w:rFonts w:ascii="Times New Roman" w:hAnsi="Times New Roman" w:eastAsia="黑体" w:cs="Times New Roman"/>
          <w:b/>
          <w:color w:val="auto"/>
          <w:sz w:val="44"/>
          <w:szCs w:val="44"/>
          <w:highlight w:val="none"/>
        </w:rPr>
      </w:pPr>
    </w:p>
    <w:p w14:paraId="24C327F9">
      <w:pPr>
        <w:spacing w:line="360" w:lineRule="auto"/>
        <w:jc w:val="center"/>
        <w:rPr>
          <w:rFonts w:ascii="Times New Roman" w:hAnsi="Times New Roman" w:eastAsia="黑体" w:cs="Times New Roman"/>
          <w:b/>
          <w:color w:val="auto"/>
          <w:sz w:val="44"/>
          <w:szCs w:val="44"/>
          <w:highlight w:val="none"/>
        </w:rPr>
      </w:pPr>
    </w:p>
    <w:p w14:paraId="1CD96343">
      <w:pPr>
        <w:spacing w:line="360" w:lineRule="auto"/>
        <w:jc w:val="center"/>
        <w:rPr>
          <w:rFonts w:ascii="Times New Roman" w:hAnsi="Times New Roman" w:eastAsia="黑体" w:cs="Times New Roman"/>
          <w:b/>
          <w:color w:val="auto"/>
          <w:sz w:val="44"/>
          <w:szCs w:val="44"/>
          <w:highlight w:val="none"/>
        </w:rPr>
      </w:pPr>
      <w:r>
        <w:rPr>
          <w:rFonts w:ascii="Times New Roman" w:hAnsi="Times New Roman" w:eastAsia="黑体" w:cs="Times New Roman"/>
          <w:b/>
          <w:color w:val="auto"/>
          <w:sz w:val="44"/>
          <w:szCs w:val="44"/>
          <w:highlight w:val="none"/>
        </w:rPr>
        <w:t>软弱土地区公路地基处治技术规范</w:t>
      </w:r>
    </w:p>
    <w:p w14:paraId="353ED430">
      <w:pPr>
        <w:spacing w:line="360" w:lineRule="auto"/>
        <w:jc w:val="center"/>
        <w:rPr>
          <w:rFonts w:ascii="Times New Roman" w:hAnsi="Times New Roman" w:eastAsia="仿宋_GB2312" w:cs="Times New Roman"/>
          <w:b/>
          <w:color w:val="auto"/>
          <w:sz w:val="32"/>
          <w:highlight w:val="none"/>
        </w:rPr>
      </w:pPr>
      <w:r>
        <w:rPr>
          <w:rFonts w:ascii="Times New Roman" w:hAnsi="Times New Roman" w:eastAsia="仿宋_GB2312" w:cs="Times New Roman"/>
          <w:bCs/>
          <w:color w:val="auto"/>
          <w:sz w:val="24"/>
          <w:highlight w:val="none"/>
        </w:rPr>
        <w:t>Technical specification for highway foundation treatment in weak soil area</w:t>
      </w:r>
    </w:p>
    <w:p w14:paraId="7E578F4D">
      <w:pPr>
        <w:spacing w:line="360" w:lineRule="auto"/>
        <w:jc w:val="center"/>
        <w:rPr>
          <w:rFonts w:ascii="Times New Roman" w:hAnsi="Times New Roman" w:eastAsia="仿宋_GB2312" w:cs="Times New Roman"/>
          <w:b/>
          <w:color w:val="auto"/>
          <w:sz w:val="32"/>
          <w:highlight w:val="none"/>
          <w:u w:val="single"/>
        </w:rPr>
      </w:pPr>
    </w:p>
    <w:p w14:paraId="4B300208">
      <w:pPr>
        <w:spacing w:line="360" w:lineRule="auto"/>
        <w:jc w:val="center"/>
        <w:rPr>
          <w:rFonts w:ascii="Times New Roman" w:hAnsi="Times New Roman" w:eastAsia="仿宋_GB2312" w:cs="Times New Roman"/>
          <w:b/>
          <w:color w:val="auto"/>
          <w:sz w:val="32"/>
          <w:highlight w:val="none"/>
          <w:u w:val="single"/>
        </w:rPr>
      </w:pPr>
    </w:p>
    <w:p w14:paraId="3E25E522">
      <w:pPr>
        <w:spacing w:line="360" w:lineRule="auto"/>
        <w:rPr>
          <w:rFonts w:ascii="Times New Roman" w:hAnsi="Times New Roman" w:eastAsia="仿宋_GB2312" w:cs="Times New Roman"/>
          <w:b/>
          <w:color w:val="auto"/>
          <w:sz w:val="32"/>
          <w:highlight w:val="none"/>
          <w:u w:val="single"/>
        </w:rPr>
      </w:pPr>
    </w:p>
    <w:p w14:paraId="613F5303">
      <w:pPr>
        <w:spacing w:line="360" w:lineRule="auto"/>
        <w:rPr>
          <w:rFonts w:ascii="Times New Roman" w:hAnsi="Times New Roman" w:eastAsia="仿宋_GB2312" w:cs="Times New Roman"/>
          <w:b/>
          <w:color w:val="auto"/>
          <w:sz w:val="32"/>
          <w:highlight w:val="none"/>
          <w:u w:val="single"/>
        </w:rPr>
      </w:pPr>
    </w:p>
    <w:p w14:paraId="7C369244">
      <w:pPr>
        <w:jc w:val="center"/>
        <w:rPr>
          <w:rFonts w:ascii="Times New Roman" w:hAnsi="Times New Roman" w:eastAsia="黑体" w:cs="Times New Roman"/>
          <w:b/>
          <w:color w:val="auto"/>
          <w:sz w:val="32"/>
          <w:szCs w:val="32"/>
          <w:highlight w:val="none"/>
        </w:rPr>
      </w:pPr>
    </w:p>
    <w:p w14:paraId="11B604F8">
      <w:pPr>
        <w:jc w:val="center"/>
        <w:rPr>
          <w:rFonts w:ascii="Times New Roman" w:hAnsi="Times New Roman" w:eastAsia="黑体" w:cs="Times New Roman"/>
          <w:b/>
          <w:color w:val="auto"/>
          <w:sz w:val="32"/>
          <w:szCs w:val="32"/>
          <w:highlight w:val="none"/>
        </w:rPr>
      </w:pPr>
    </w:p>
    <w:p w14:paraId="279E8E73">
      <w:pPr>
        <w:spacing w:line="360" w:lineRule="auto"/>
        <w:jc w:val="center"/>
        <w:rPr>
          <w:rFonts w:ascii="Times New Roman" w:hAnsi="Times New Roman" w:eastAsia="黑体" w:cs="Times New Roman"/>
          <w:b/>
          <w:color w:val="auto"/>
          <w:sz w:val="32"/>
          <w:szCs w:val="44"/>
          <w:highlight w:val="none"/>
        </w:rPr>
      </w:pPr>
    </w:p>
    <w:p w14:paraId="7A7C0DDE">
      <w:pPr>
        <w:spacing w:line="360" w:lineRule="auto"/>
        <w:jc w:val="left"/>
        <w:rPr>
          <w:rFonts w:ascii="Times New Roman" w:hAnsi="Times New Roman" w:eastAsia="仿宋_GB2312" w:cs="Times New Roman"/>
          <w:bCs/>
          <w:color w:val="auto"/>
          <w:sz w:val="24"/>
          <w:szCs w:val="21"/>
          <w:highlight w:val="none"/>
        </w:rPr>
      </w:pPr>
      <w:r>
        <w:rPr>
          <w:rFonts w:ascii="Times New Roman" w:hAnsi="Times New Roman" w:eastAsia="仿宋_GB2312" w:cs="Times New Roman"/>
          <w:bCs/>
          <w:color w:val="auto"/>
          <w:sz w:val="24"/>
          <w:szCs w:val="21"/>
          <w:highlight w:val="none"/>
        </w:rPr>
        <w:t>2024</w:t>
      </w:r>
      <w:r>
        <w:rPr>
          <w:rFonts w:hint="eastAsia" w:ascii="Times New Roman" w:hAnsi="Times New Roman" w:eastAsia="仿宋_GB2312" w:cs="Times New Roman"/>
          <w:bCs/>
          <w:color w:val="auto"/>
          <w:sz w:val="24"/>
          <w:szCs w:val="21"/>
          <w:highlight w:val="none"/>
        </w:rPr>
        <w:t>—xx—xx</w:t>
      </w:r>
      <w:r>
        <w:rPr>
          <w:rFonts w:ascii="Times New Roman" w:hAnsi="Times New Roman" w:eastAsia="仿宋_GB2312" w:cs="Times New Roman"/>
          <w:bCs/>
          <w:color w:val="auto"/>
          <w:sz w:val="24"/>
          <w:szCs w:val="21"/>
          <w:highlight w:val="none"/>
        </w:rPr>
        <w:t xml:space="preserve"> </w:t>
      </w:r>
      <w:r>
        <w:rPr>
          <w:rFonts w:hint="eastAsia" w:ascii="Times New Roman" w:hAnsi="Times New Roman" w:eastAsia="仿宋_GB2312" w:cs="Times New Roman"/>
          <w:bCs/>
          <w:color w:val="auto"/>
          <w:sz w:val="24"/>
          <w:szCs w:val="21"/>
          <w:highlight w:val="none"/>
        </w:rPr>
        <w:t xml:space="preserve">发布 </w:t>
      </w:r>
      <w:r>
        <w:rPr>
          <w:rFonts w:ascii="Times New Roman" w:hAnsi="Times New Roman" w:eastAsia="仿宋_GB2312" w:cs="Times New Roman"/>
          <w:bCs/>
          <w:color w:val="auto"/>
          <w:sz w:val="24"/>
          <w:szCs w:val="21"/>
          <w:highlight w:val="none"/>
        </w:rPr>
        <w:t xml:space="preserve">                                  </w:t>
      </w:r>
      <w:r>
        <w:rPr>
          <w:rFonts w:hint="eastAsia" w:ascii="Times New Roman" w:hAnsi="Times New Roman" w:eastAsia="仿宋_GB2312" w:cs="Times New Roman"/>
          <w:bCs/>
          <w:color w:val="auto"/>
          <w:sz w:val="24"/>
          <w:szCs w:val="21"/>
          <w:highlight w:val="none"/>
        </w:rPr>
        <w:t>xxxx—xx—xx</w:t>
      </w:r>
      <w:r>
        <w:rPr>
          <w:rFonts w:ascii="Times New Roman" w:hAnsi="Times New Roman" w:eastAsia="仿宋_GB2312" w:cs="Times New Roman"/>
          <w:bCs/>
          <w:color w:val="auto"/>
          <w:sz w:val="24"/>
          <w:szCs w:val="21"/>
          <w:highlight w:val="none"/>
        </w:rPr>
        <w:t xml:space="preserve"> </w:t>
      </w:r>
      <w:r>
        <w:rPr>
          <w:rFonts w:hint="eastAsia" w:ascii="Times New Roman" w:hAnsi="Times New Roman" w:eastAsia="仿宋_GB2312" w:cs="Times New Roman"/>
          <w:bCs/>
          <w:color w:val="auto"/>
          <w:sz w:val="24"/>
          <w:szCs w:val="21"/>
          <w:highlight w:val="none"/>
        </w:rPr>
        <w:t>实施</w:t>
      </w:r>
    </w:p>
    <w:p w14:paraId="066A6702">
      <w:pPr>
        <w:spacing w:line="360" w:lineRule="auto"/>
        <w:rPr>
          <w:rFonts w:ascii="Times New Roman" w:hAnsi="Times New Roman" w:eastAsia="宋体" w:cs="Times New Roman"/>
          <w:b/>
          <w:bCs/>
          <w:color w:val="auto"/>
          <w:sz w:val="28"/>
          <w:szCs w:val="28"/>
          <w:highlight w:val="none"/>
        </w:rPr>
      </w:pPr>
      <w:r>
        <w:rPr>
          <w:rFonts w:ascii="Times New Roman" w:hAnsi="Times New Roman" w:eastAsia="黑体" w:cs="Times New Roman"/>
          <w:b/>
          <w:color w:val="auto"/>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48260</wp:posOffset>
                </wp:positionV>
                <wp:extent cx="5176520" cy="0"/>
                <wp:effectExtent l="0" t="0" r="0" b="0"/>
                <wp:wrapNone/>
                <wp:docPr id="32" name="直接连接符 32"/>
                <wp:cNvGraphicFramePr/>
                <a:graphic xmlns:a="http://schemas.openxmlformats.org/drawingml/2006/main">
                  <a:graphicData uri="http://schemas.microsoft.com/office/word/2010/wordprocessingShape">
                    <wps:wsp>
                      <wps:cNvCnPr/>
                      <wps:spPr>
                        <a:xfrm flipH="1">
                          <a:off x="0" y="0"/>
                          <a:ext cx="517643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margin-left:0pt;margin-top:3.8pt;height:0pt;width:407.6pt;z-index:251661312;mso-width-relative:page;mso-height-relative:page;" filled="f" stroked="t" coordsize="21600,21600" o:gfxdata="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Hstk0wAAAAQBAAAPAAAAAAAAAAEAIAAAACIAAABkcnMvZG93bnJldi54&#10;bWxQSwECFAAUAAAACACHTuJAPVMQ9P8BAADfAwAADgAAAAAAAAABACAAAAAiAQAAZHJzL2Uyb0Rv&#10;Yy54bWxQSwUGAAAAAAYABgBZAQAAkwUAAAAA&#10;">
                <v:fill on="f" focussize="0,0"/>
                <v:stroke weight="0.5pt" color="#000000" miterlimit="8" joinstyle="miter"/>
                <v:imagedata o:title=""/>
                <o:lock v:ext="edit" aspectratio="f"/>
              </v:line>
            </w:pict>
          </mc:Fallback>
        </mc:AlternateContent>
      </w:r>
    </w:p>
    <w:p w14:paraId="44550BCE">
      <w:pPr>
        <w:widowControl/>
        <w:jc w:val="center"/>
        <w:rPr>
          <w:rFonts w:ascii="Times New Roman" w:hAnsi="Times New Roman" w:eastAsia="宋体" w:cs="Times New Roman"/>
          <w:b/>
          <w:bCs/>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r>
        <w:rPr>
          <w:rFonts w:hint="eastAsia" w:ascii="Times New Roman" w:hAnsi="Times New Roman" w:eastAsia="宋体" w:cs="Times New Roman"/>
          <w:b/>
          <w:bCs/>
          <w:color w:val="auto"/>
          <w:sz w:val="28"/>
          <w:szCs w:val="28"/>
          <w:highlight w:val="none"/>
        </w:rPr>
        <w:t xml:space="preserve">河北省市场监督管理局 </w:t>
      </w:r>
      <w:r>
        <w:rPr>
          <w:rFonts w:ascii="Times New Roman" w:hAnsi="Times New Roman" w:eastAsia="宋体" w:cs="Times New Roman"/>
          <w:b/>
          <w:bCs/>
          <w:color w:val="auto"/>
          <w:sz w:val="28"/>
          <w:szCs w:val="28"/>
          <w:highlight w:val="none"/>
        </w:rPr>
        <w:t xml:space="preserve">     </w:t>
      </w:r>
      <w:r>
        <w:rPr>
          <w:rFonts w:hint="eastAsia" w:ascii="Times New Roman" w:hAnsi="Times New Roman" w:eastAsia="宋体" w:cs="Times New Roman"/>
          <w:b/>
          <w:bCs/>
          <w:color w:val="auto"/>
          <w:sz w:val="28"/>
          <w:szCs w:val="28"/>
          <w:highlight w:val="none"/>
        </w:rPr>
        <w:t>发</w:t>
      </w:r>
      <w:r>
        <w:rPr>
          <w:rFonts w:ascii="Times New Roman" w:hAnsi="Times New Roman" w:eastAsia="宋体" w:cs="Times New Roman"/>
          <w:b/>
          <w:bCs/>
          <w:color w:val="auto"/>
          <w:sz w:val="28"/>
          <w:szCs w:val="28"/>
          <w:highlight w:val="none"/>
        </w:rPr>
        <w:t xml:space="preserve"> </w:t>
      </w:r>
      <w:r>
        <w:rPr>
          <w:rFonts w:hint="eastAsia" w:ascii="Times New Roman" w:hAnsi="Times New Roman" w:eastAsia="宋体" w:cs="Times New Roman"/>
          <w:b/>
          <w:bCs/>
          <w:color w:val="auto"/>
          <w:sz w:val="28"/>
          <w:szCs w:val="28"/>
          <w:highlight w:val="none"/>
        </w:rPr>
        <w:t>布</w:t>
      </w:r>
    </w:p>
    <w:sdt>
      <w:sdtPr>
        <w:rPr>
          <w:rFonts w:ascii="Times New Roman" w:hAnsi="Times New Roman" w:eastAsia="黑体" w:cs="Times New Roman"/>
          <w:b/>
          <w:bCs/>
          <w:color w:val="auto"/>
          <w:sz w:val="36"/>
          <w:szCs w:val="36"/>
          <w:highlight w:val="none"/>
        </w:rPr>
        <w:id w:val="147470619"/>
        <w:docPartObj>
          <w:docPartGallery w:val="Table of Contents"/>
          <w:docPartUnique/>
        </w:docPartObj>
      </w:sdtPr>
      <w:sdtEndPr>
        <w:rPr>
          <w:rFonts w:ascii="Times New Roman" w:hAnsi="Times New Roman" w:eastAsia="黑体" w:cs="Times New Roman"/>
          <w:b/>
          <w:bCs/>
          <w:color w:val="auto"/>
          <w:kern w:val="0"/>
          <w:sz w:val="21"/>
          <w:szCs w:val="36"/>
          <w:highlight w:val="none"/>
          <w:lang w:bidi="ar"/>
        </w:rPr>
      </w:sdtEndPr>
      <w:sdtContent>
        <w:p w14:paraId="7D6F2C9B">
          <w:pPr>
            <w:spacing w:line="360" w:lineRule="auto"/>
            <w:jc w:val="center"/>
            <w:rPr>
              <w:rFonts w:ascii="Times New Roman" w:hAnsi="Times New Roman" w:eastAsia="黑体" w:cs="Times New Roman"/>
              <w:b/>
              <w:bCs/>
              <w:color w:val="auto"/>
              <w:sz w:val="36"/>
              <w:szCs w:val="36"/>
              <w:highlight w:val="none"/>
            </w:rPr>
          </w:pPr>
          <w:r>
            <w:rPr>
              <w:rFonts w:ascii="Times New Roman" w:hAnsi="Times New Roman" w:eastAsia="黑体" w:cs="Times New Roman"/>
              <w:b/>
              <w:bCs/>
              <w:color w:val="auto"/>
              <w:sz w:val="36"/>
              <w:szCs w:val="36"/>
              <w:highlight w:val="none"/>
            </w:rPr>
            <w:t>目  次</w:t>
          </w:r>
        </w:p>
        <w:p w14:paraId="11307BC9">
          <w:pPr>
            <w:pStyle w:val="13"/>
            <w:tabs>
              <w:tab w:val="right" w:leader="dot" w:pos="8296"/>
            </w:tabs>
            <w:spacing w:line="400" w:lineRule="exact"/>
            <w:rPr>
              <w:color w:val="auto"/>
              <w:szCs w:val="22"/>
              <w:highlight w:val="none"/>
            </w:rPr>
          </w:pPr>
          <w:r>
            <w:rPr>
              <w:rFonts w:ascii="Times New Roman" w:hAnsi="Times New Roman" w:eastAsia="宋体" w:cs="Times New Roman"/>
              <w:b/>
              <w:bCs/>
              <w:color w:val="auto"/>
              <w:kern w:val="0"/>
              <w:sz w:val="24"/>
              <w:highlight w:val="none"/>
              <w:lang w:bidi="ar"/>
            </w:rPr>
            <w:fldChar w:fldCharType="begin"/>
          </w:r>
          <w:r>
            <w:rPr>
              <w:rFonts w:ascii="Times New Roman" w:hAnsi="Times New Roman" w:eastAsia="宋体" w:cs="Times New Roman"/>
              <w:b/>
              <w:bCs/>
              <w:color w:val="auto"/>
              <w:kern w:val="0"/>
              <w:sz w:val="24"/>
              <w:highlight w:val="none"/>
              <w:lang w:bidi="ar"/>
            </w:rPr>
            <w:instrText xml:space="preserve">TOC \o "1-2" \h \u </w:instrText>
          </w:r>
          <w:r>
            <w:rPr>
              <w:rFonts w:ascii="Times New Roman" w:hAnsi="Times New Roman" w:eastAsia="宋体" w:cs="Times New Roman"/>
              <w:b/>
              <w:bCs/>
              <w:color w:val="auto"/>
              <w:kern w:val="0"/>
              <w:sz w:val="24"/>
              <w:highlight w:val="none"/>
              <w:lang w:bidi="ar"/>
            </w:rPr>
            <w:fldChar w:fldCharType="separate"/>
          </w:r>
          <w:r>
            <w:rPr>
              <w:color w:val="auto"/>
              <w:highlight w:val="none"/>
            </w:rPr>
            <w:fldChar w:fldCharType="begin"/>
          </w:r>
          <w:r>
            <w:rPr>
              <w:color w:val="auto"/>
              <w:highlight w:val="none"/>
            </w:rPr>
            <w:instrText xml:space="preserve"> HYPERLINK \l "_Toc170244927" </w:instrText>
          </w:r>
          <w:r>
            <w:rPr>
              <w:color w:val="auto"/>
              <w:highlight w:val="none"/>
            </w:rPr>
            <w:fldChar w:fldCharType="separate"/>
          </w:r>
          <w:r>
            <w:rPr>
              <w:rStyle w:val="18"/>
              <w:rFonts w:ascii="Times New Roman" w:hAnsi="Times New Roman" w:eastAsia="宋体" w:cs="Times New Roman"/>
              <w:b/>
              <w:bCs/>
              <w:color w:val="auto"/>
              <w:highlight w:val="none"/>
            </w:rPr>
            <w:t>1 范围</w:t>
          </w:r>
          <w:r>
            <w:rPr>
              <w:color w:val="auto"/>
              <w:highlight w:val="none"/>
            </w:rPr>
            <w:tab/>
          </w:r>
          <w:r>
            <w:rPr>
              <w:color w:val="auto"/>
              <w:highlight w:val="none"/>
            </w:rPr>
            <w:fldChar w:fldCharType="begin"/>
          </w:r>
          <w:r>
            <w:rPr>
              <w:color w:val="auto"/>
              <w:highlight w:val="none"/>
            </w:rPr>
            <w:instrText xml:space="preserve"> PAGEREF _Toc170244927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FF09ECB">
          <w:pPr>
            <w:pStyle w:val="13"/>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"_Toc170244928" </w:instrText>
          </w:r>
          <w:r>
            <w:rPr>
              <w:color w:val="auto"/>
              <w:highlight w:val="none"/>
            </w:rPr>
            <w:fldChar w:fldCharType="separate"/>
          </w:r>
          <w:r>
            <w:rPr>
              <w:rStyle w:val="18"/>
              <w:rFonts w:ascii="Times New Roman" w:hAnsi="Times New Roman" w:eastAsia="宋体" w:cs="Times New Roman"/>
              <w:b/>
              <w:bCs/>
              <w:color w:val="auto"/>
              <w:highlight w:val="none"/>
            </w:rPr>
            <w:t>2 规范引用性文件</w:t>
          </w:r>
          <w:r>
            <w:rPr>
              <w:color w:val="auto"/>
              <w:highlight w:val="none"/>
            </w:rPr>
            <w:tab/>
          </w:r>
          <w:r>
            <w:rPr>
              <w:color w:val="auto"/>
              <w:highlight w:val="none"/>
            </w:rPr>
            <w:fldChar w:fldCharType="begin"/>
          </w:r>
          <w:r>
            <w:rPr>
              <w:color w:val="auto"/>
              <w:highlight w:val="none"/>
            </w:rPr>
            <w:instrText xml:space="preserve"> PAGEREF _Toc170244928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6962209">
          <w:pPr>
            <w:pStyle w:val="13"/>
            <w:tabs>
              <w:tab w:val="right" w:leader="dot" w:pos="8296"/>
            </w:tabs>
            <w:spacing w:line="400" w:lineRule="exact"/>
            <w:rPr>
              <w:color w:val="auto"/>
              <w:highlight w:val="none"/>
            </w:rPr>
          </w:pPr>
          <w:r>
            <w:rPr>
              <w:color w:val="auto"/>
              <w:highlight w:val="none"/>
            </w:rPr>
            <w:fldChar w:fldCharType="begin"/>
          </w:r>
          <w:r>
            <w:rPr>
              <w:color w:val="auto"/>
              <w:highlight w:val="none"/>
            </w:rPr>
            <w:instrText xml:space="preserve"> HYPERLINK \l "_Toc170244929" </w:instrText>
          </w:r>
          <w:r>
            <w:rPr>
              <w:color w:val="auto"/>
              <w:highlight w:val="none"/>
            </w:rPr>
            <w:fldChar w:fldCharType="separate"/>
          </w:r>
          <w:r>
            <w:rPr>
              <w:rStyle w:val="18"/>
              <w:rFonts w:ascii="Times New Roman" w:hAnsi="Times New Roman" w:eastAsia="宋体" w:cs="Times New Roman"/>
              <w:b/>
              <w:bCs/>
              <w:color w:val="auto"/>
              <w:highlight w:val="none"/>
            </w:rPr>
            <w:t>3 术语和</w:t>
          </w:r>
          <w:r>
            <w:rPr>
              <w:rStyle w:val="18"/>
              <w:rFonts w:hint="eastAsia" w:ascii="Times New Roman" w:hAnsi="Times New Roman" w:eastAsia="宋体" w:cs="Times New Roman"/>
              <w:b/>
              <w:bCs/>
              <w:color w:val="auto"/>
              <w:highlight w:val="none"/>
              <w:lang w:val="en-US" w:eastAsia="zh-CN"/>
            </w:rPr>
            <w:t>符号</w:t>
          </w:r>
          <w:r>
            <w:rPr>
              <w:color w:val="auto"/>
              <w:highlight w:val="none"/>
            </w:rPr>
            <w:tab/>
          </w:r>
          <w:r>
            <w:rPr>
              <w:rFonts w:hint="eastAsia"/>
              <w:color w:val="auto"/>
              <w:highlight w:val="none"/>
              <w:lang w:val="en-US" w:eastAsia="zh-CN"/>
            </w:rPr>
            <w:t>2</w:t>
          </w:r>
          <w:r>
            <w:rPr>
              <w:color w:val="auto"/>
              <w:highlight w:val="none"/>
            </w:rPr>
            <w:fldChar w:fldCharType="end"/>
          </w:r>
        </w:p>
        <w:p w14:paraId="363BF1C1">
          <w:pPr>
            <w:pStyle w:val="14"/>
            <w:tabs>
              <w:tab w:val="right" w:leader="dot" w:pos="8296"/>
            </w:tabs>
            <w:spacing w:line="400" w:lineRule="exact"/>
            <w:rPr>
              <w:rFonts w:hint="eastAsia" w:eastAsiaTheme="minorEastAsia"/>
              <w:color w:val="auto"/>
              <w:szCs w:val="22"/>
              <w:highlight w:val="none"/>
              <w:lang w:eastAsia="zh-CN"/>
            </w:rPr>
          </w:pPr>
          <w:r>
            <w:rPr>
              <w:color w:val="auto"/>
              <w:highlight w:val="none"/>
            </w:rPr>
            <w:fldChar w:fldCharType="begin"/>
          </w:r>
          <w:r>
            <w:rPr>
              <w:color w:val="auto"/>
              <w:highlight w:val="none"/>
            </w:rPr>
            <w:instrText xml:space="preserve"> HYPERLINK \l "_Toc170244932"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3</w:t>
          </w:r>
          <w:r>
            <w:rPr>
              <w:rStyle w:val="18"/>
              <w:rFonts w:ascii="Times New Roman" w:hAnsi="Times New Roman" w:eastAsia="宋体" w:cs="Times New Roman"/>
              <w:b/>
              <w:color w:val="auto"/>
              <w:highlight w:val="none"/>
            </w:rPr>
            <w:t xml:space="preserve">.1 </w:t>
          </w:r>
          <w:r>
            <w:rPr>
              <w:rStyle w:val="18"/>
              <w:rFonts w:hint="eastAsia" w:ascii="Times New Roman" w:hAnsi="Times New Roman" w:eastAsia="宋体" w:cs="Times New Roman"/>
              <w:b/>
              <w:color w:val="auto"/>
              <w:highlight w:val="none"/>
              <w:lang w:val="en-US" w:eastAsia="zh-CN"/>
            </w:rPr>
            <w:t>术语</w:t>
          </w:r>
          <w:r>
            <w:rPr>
              <w:color w:val="auto"/>
              <w:highlight w:val="none"/>
            </w:rPr>
            <w:fldChar w:fldCharType="end"/>
          </w:r>
          <w:r>
            <w:rPr>
              <w:color w:val="auto"/>
              <w:highlight w:val="none"/>
            </w:rPr>
            <w:tab/>
          </w:r>
          <w:r>
            <w:rPr>
              <w:rFonts w:hint="eastAsia"/>
              <w:color w:val="auto"/>
              <w:highlight w:val="none"/>
              <w:lang w:val="en-US" w:eastAsia="zh-CN"/>
            </w:rPr>
            <w:t>2</w:t>
          </w:r>
        </w:p>
        <w:p w14:paraId="597A7ADF">
          <w:pPr>
            <w:pStyle w:val="13"/>
            <w:tabs>
              <w:tab w:val="right" w:leader="dot" w:pos="8296"/>
            </w:tabs>
            <w:spacing w:line="400" w:lineRule="exact"/>
            <w:ind w:firstLine="420" w:firstLineChars="200"/>
            <w:rPr>
              <w:color w:val="auto"/>
              <w:highlight w:val="none"/>
            </w:rPr>
          </w:pPr>
          <w:r>
            <w:rPr>
              <w:color w:val="auto"/>
              <w:highlight w:val="none"/>
            </w:rPr>
            <w:fldChar w:fldCharType="begin"/>
          </w:r>
          <w:r>
            <w:rPr>
              <w:color w:val="auto"/>
              <w:highlight w:val="none"/>
            </w:rPr>
            <w:instrText xml:space="preserve"> HYPERLINK \l "_Toc170244932"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3</w:t>
          </w:r>
          <w:r>
            <w:rPr>
              <w:rStyle w:val="18"/>
              <w:rFonts w:ascii="Times New Roman" w:hAnsi="Times New Roman" w:eastAsia="宋体" w:cs="Times New Roman"/>
              <w:b/>
              <w:color w:val="auto"/>
              <w:highlight w:val="none"/>
            </w:rPr>
            <w:t>.</w:t>
          </w:r>
          <w:r>
            <w:rPr>
              <w:rStyle w:val="18"/>
              <w:rFonts w:hint="eastAsia" w:ascii="Times New Roman" w:hAnsi="Times New Roman" w:eastAsia="宋体" w:cs="Times New Roman"/>
              <w:b/>
              <w:color w:val="auto"/>
              <w:highlight w:val="none"/>
              <w:lang w:val="en-US" w:eastAsia="zh-CN"/>
            </w:rPr>
            <w:t>2</w:t>
          </w:r>
          <w:r>
            <w:rPr>
              <w:rStyle w:val="18"/>
              <w:rFonts w:ascii="Times New Roman" w:hAnsi="Times New Roman" w:eastAsia="宋体" w:cs="Times New Roman"/>
              <w:b/>
              <w:color w:val="auto"/>
              <w:highlight w:val="none"/>
            </w:rPr>
            <w:t xml:space="preserve"> </w:t>
          </w:r>
          <w:r>
            <w:rPr>
              <w:rStyle w:val="18"/>
              <w:rFonts w:hint="eastAsia" w:ascii="Times New Roman" w:hAnsi="Times New Roman" w:eastAsia="宋体" w:cs="Times New Roman"/>
              <w:b/>
              <w:color w:val="auto"/>
              <w:highlight w:val="none"/>
              <w:lang w:val="en-US" w:eastAsia="zh-CN"/>
            </w:rPr>
            <w:t>符号</w:t>
          </w:r>
          <w:r>
            <w:rPr>
              <w:color w:val="auto"/>
              <w:highlight w:val="none"/>
            </w:rPr>
            <w:tab/>
          </w:r>
          <w:r>
            <w:rPr>
              <w:rFonts w:hint="eastAsia"/>
              <w:color w:val="auto"/>
              <w:highlight w:val="none"/>
              <w:lang w:val="en-US" w:eastAsia="zh-CN"/>
            </w:rPr>
            <w:t>4</w:t>
          </w:r>
          <w:r>
            <w:rPr>
              <w:color w:val="auto"/>
              <w:highlight w:val="none"/>
            </w:rPr>
            <w:fldChar w:fldCharType="end"/>
          </w:r>
        </w:p>
        <w:p w14:paraId="54314D97">
          <w:pPr>
            <w:pStyle w:val="13"/>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"_Toc170244930" </w:instrText>
          </w:r>
          <w:r>
            <w:rPr>
              <w:color w:val="auto"/>
              <w:highlight w:val="none"/>
            </w:rPr>
            <w:fldChar w:fldCharType="separate"/>
          </w:r>
          <w:r>
            <w:rPr>
              <w:rStyle w:val="18"/>
              <w:rFonts w:ascii="Times New Roman" w:hAnsi="Times New Roman" w:eastAsia="宋体" w:cs="Times New Roman"/>
              <w:b/>
              <w:bCs/>
              <w:color w:val="auto"/>
              <w:highlight w:val="none"/>
            </w:rPr>
            <w:t>4 基本规定</w:t>
          </w:r>
          <w:r>
            <w:rPr>
              <w:color w:val="auto"/>
              <w:highlight w:val="none"/>
            </w:rPr>
            <w:tab/>
          </w:r>
          <w:r>
            <w:rPr>
              <w:rFonts w:hint="eastAsia"/>
              <w:color w:val="auto"/>
              <w:highlight w:val="none"/>
              <w:lang w:val="en-US" w:eastAsia="zh-CN"/>
            </w:rPr>
            <w:t>7</w:t>
          </w:r>
          <w:r>
            <w:rPr>
              <w:color w:val="auto"/>
              <w:highlight w:val="none"/>
            </w:rPr>
            <w:fldChar w:fldCharType="end"/>
          </w:r>
        </w:p>
        <w:p w14:paraId="7AC7A4C6">
          <w:pPr>
            <w:pStyle w:val="13"/>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"_Toc170244936" </w:instrText>
          </w:r>
          <w:r>
            <w:rPr>
              <w:color w:val="auto"/>
              <w:highlight w:val="none"/>
            </w:rPr>
            <w:fldChar w:fldCharType="separate"/>
          </w:r>
          <w:r>
            <w:rPr>
              <w:rStyle w:val="18"/>
              <w:rFonts w:hint="eastAsia" w:ascii="Times New Roman" w:hAnsi="Times New Roman" w:eastAsia="宋体" w:cs="Times New Roman"/>
              <w:b/>
              <w:bCs/>
              <w:color w:val="auto"/>
              <w:highlight w:val="none"/>
              <w:lang w:val="en-US" w:eastAsia="zh-CN"/>
            </w:rPr>
            <w:t>5</w:t>
          </w:r>
          <w:r>
            <w:rPr>
              <w:rStyle w:val="18"/>
              <w:rFonts w:ascii="Times New Roman" w:hAnsi="Times New Roman" w:eastAsia="宋体" w:cs="Times New Roman"/>
              <w:b/>
              <w:bCs/>
              <w:color w:val="auto"/>
              <w:highlight w:val="none"/>
            </w:rPr>
            <w:t xml:space="preserve"> 特殊路段软弱土地基设计</w:t>
          </w:r>
          <w:r>
            <w:rPr>
              <w:color w:val="auto"/>
              <w:highlight w:val="none"/>
            </w:rPr>
            <w:tab/>
          </w:r>
          <w:r>
            <w:rPr>
              <w:color w:val="auto"/>
              <w:highlight w:val="none"/>
            </w:rPr>
            <w:fldChar w:fldCharType="begin"/>
          </w:r>
          <w:r>
            <w:rPr>
              <w:color w:val="auto"/>
              <w:highlight w:val="none"/>
            </w:rPr>
            <w:instrText xml:space="preserve"> PAGEREF _Toc170244936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7F2137B0">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"_Toc170244937"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5</w:t>
          </w:r>
          <w:r>
            <w:rPr>
              <w:rStyle w:val="18"/>
              <w:rFonts w:ascii="Times New Roman" w:hAnsi="Times New Roman" w:eastAsia="宋体" w:cs="Times New Roman"/>
              <w:b/>
              <w:color w:val="auto"/>
              <w:highlight w:val="none"/>
            </w:rPr>
            <w:t>.1 路基拓宽</w:t>
          </w:r>
          <w:r>
            <w:rPr>
              <w:color w:val="auto"/>
              <w:highlight w:val="none"/>
            </w:rPr>
            <w:tab/>
          </w:r>
          <w:r>
            <w:rPr>
              <w:color w:val="auto"/>
              <w:highlight w:val="none"/>
            </w:rPr>
            <w:fldChar w:fldCharType="begin"/>
          </w:r>
          <w:r>
            <w:rPr>
              <w:color w:val="auto"/>
              <w:highlight w:val="none"/>
            </w:rPr>
            <w:instrText xml:space="preserve"> PAGEREF _Toc170244937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DDD4B76">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"_Toc170244938"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5</w:t>
          </w:r>
          <w:r>
            <w:rPr>
              <w:rStyle w:val="18"/>
              <w:rFonts w:ascii="Times New Roman" w:hAnsi="Times New Roman" w:eastAsia="宋体" w:cs="Times New Roman"/>
              <w:b/>
              <w:color w:val="auto"/>
              <w:highlight w:val="none"/>
            </w:rPr>
            <w:t>.2 桥头路段</w:t>
          </w:r>
          <w:r>
            <w:rPr>
              <w:color w:val="auto"/>
              <w:highlight w:val="none"/>
            </w:rPr>
            <w:tab/>
          </w:r>
          <w:r>
            <w:rPr>
              <w:color w:val="auto"/>
              <w:highlight w:val="none"/>
            </w:rPr>
            <w:fldChar w:fldCharType="begin"/>
          </w:r>
          <w:r>
            <w:rPr>
              <w:color w:val="auto"/>
              <w:highlight w:val="none"/>
            </w:rPr>
            <w:instrText xml:space="preserve"> PAGEREF _Toc170244938 \h </w:instrText>
          </w:r>
          <w:r>
            <w:rPr>
              <w:color w:val="auto"/>
              <w:highlight w:val="none"/>
            </w:rPr>
            <w:fldChar w:fldCharType="separate"/>
          </w:r>
          <w:r>
            <w:rPr>
              <w:color w:val="auto"/>
              <w:highlight w:val="none"/>
            </w:rPr>
            <w:t>1</w:t>
          </w:r>
          <w:r>
            <w:rPr>
              <w:rFonts w:hint="eastAsia"/>
              <w:color w:val="auto"/>
              <w:highlight w:val="none"/>
              <w:lang w:val="en-US" w:eastAsia="zh-CN"/>
            </w:rPr>
            <w:t>1</w:t>
          </w:r>
          <w:r>
            <w:rPr>
              <w:color w:val="auto"/>
              <w:highlight w:val="none"/>
            </w:rPr>
            <w:fldChar w:fldCharType="end"/>
          </w:r>
          <w:r>
            <w:rPr>
              <w:color w:val="auto"/>
              <w:highlight w:val="none"/>
            </w:rPr>
            <w:fldChar w:fldCharType="end"/>
          </w:r>
        </w:p>
        <w:p w14:paraId="67633C53">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"_Toc170244939"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5</w:t>
          </w:r>
          <w:r>
            <w:rPr>
              <w:rStyle w:val="18"/>
              <w:rFonts w:ascii="Times New Roman" w:hAnsi="Times New Roman" w:eastAsia="宋体" w:cs="Times New Roman"/>
              <w:b/>
              <w:color w:val="auto"/>
              <w:highlight w:val="none"/>
            </w:rPr>
            <w:t>.3 涵洞（通道）路段</w:t>
          </w:r>
          <w:r>
            <w:rPr>
              <w:color w:val="auto"/>
              <w:highlight w:val="none"/>
            </w:rPr>
            <w:tab/>
          </w:r>
          <w:r>
            <w:rPr>
              <w:color w:val="auto"/>
              <w:highlight w:val="none"/>
            </w:rPr>
            <w:fldChar w:fldCharType="begin"/>
          </w:r>
          <w:r>
            <w:rPr>
              <w:color w:val="auto"/>
              <w:highlight w:val="none"/>
            </w:rPr>
            <w:instrText xml:space="preserve"> PAGEREF _Toc170244939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16EC0EE0">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"_Toc170244940"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5</w:t>
          </w:r>
          <w:r>
            <w:rPr>
              <w:rStyle w:val="18"/>
              <w:rFonts w:ascii="Times New Roman" w:hAnsi="Times New Roman" w:eastAsia="宋体" w:cs="Times New Roman"/>
              <w:b/>
              <w:color w:val="auto"/>
              <w:highlight w:val="none"/>
            </w:rPr>
            <w:t>.4 台背回填</w:t>
          </w:r>
          <w:r>
            <w:rPr>
              <w:color w:val="auto"/>
              <w:highlight w:val="none"/>
            </w:rPr>
            <w:tab/>
          </w:r>
          <w:r>
            <w:rPr>
              <w:color w:val="auto"/>
              <w:highlight w:val="none"/>
            </w:rPr>
            <w:fldChar w:fldCharType="begin"/>
          </w:r>
          <w:r>
            <w:rPr>
              <w:color w:val="auto"/>
              <w:highlight w:val="none"/>
            </w:rPr>
            <w:instrText xml:space="preserve"> PAGEREF _Toc170244940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25AE43CD">
          <w:pPr>
            <w:pStyle w:val="13"/>
            <w:tabs>
              <w:tab w:val="right" w:leader="dot" w:pos="8296"/>
            </w:tabs>
            <w:spacing w:line="400" w:lineRule="exact"/>
            <w:rPr>
              <w:rFonts w:hint="eastAsia" w:eastAsiaTheme="minorEastAsia"/>
              <w:color w:val="auto"/>
              <w:szCs w:val="22"/>
              <w:highlight w:val="none"/>
              <w:lang w:val="en-US" w:eastAsia="zh-CN"/>
            </w:rPr>
          </w:pPr>
          <w:r>
            <w:rPr>
              <w:color w:val="auto"/>
              <w:highlight w:val="none"/>
            </w:rPr>
            <w:fldChar w:fldCharType="begin"/>
          </w:r>
          <w:r>
            <w:rPr>
              <w:color w:val="auto"/>
              <w:highlight w:val="none"/>
            </w:rPr>
            <w:instrText xml:space="preserve"> HYPERLINK \l "_Toc170244941" </w:instrText>
          </w:r>
          <w:r>
            <w:rPr>
              <w:color w:val="auto"/>
              <w:highlight w:val="none"/>
            </w:rPr>
            <w:fldChar w:fldCharType="separate"/>
          </w:r>
          <w:r>
            <w:rPr>
              <w:rStyle w:val="18"/>
              <w:rFonts w:hint="eastAsia" w:ascii="Times New Roman" w:hAnsi="Times New Roman" w:eastAsia="宋体" w:cs="Times New Roman"/>
              <w:b/>
              <w:bCs/>
              <w:color w:val="auto"/>
              <w:highlight w:val="none"/>
              <w:lang w:val="en-US" w:eastAsia="zh-CN"/>
            </w:rPr>
            <w:t>6</w:t>
          </w:r>
          <w:r>
            <w:rPr>
              <w:rStyle w:val="18"/>
              <w:rFonts w:ascii="Times New Roman" w:hAnsi="Times New Roman" w:eastAsia="宋体" w:cs="Times New Roman"/>
              <w:b/>
              <w:bCs/>
              <w:color w:val="auto"/>
              <w:highlight w:val="none"/>
            </w:rPr>
            <w:t xml:space="preserve"> 公路软弱土地基处治方法</w:t>
          </w:r>
          <w:r>
            <w:rPr>
              <w:color w:val="auto"/>
              <w:highlight w:val="none"/>
            </w:rPr>
            <w:tab/>
          </w:r>
          <w:r>
            <w:rPr>
              <w:color w:val="auto"/>
              <w:highlight w:val="none"/>
            </w:rPr>
            <w:fldChar w:fldCharType="begin"/>
          </w:r>
          <w:r>
            <w:rPr>
              <w:color w:val="auto"/>
              <w:highlight w:val="none"/>
            </w:rPr>
            <w:instrText xml:space="preserve"> PAGEREF _Toc170244941 \h </w:instrText>
          </w:r>
          <w:r>
            <w:rPr>
              <w:color w:val="auto"/>
              <w:highlight w:val="none"/>
            </w:rPr>
            <w:fldChar w:fldCharType="separate"/>
          </w:r>
          <w:r>
            <w:rPr>
              <w:color w:val="auto"/>
              <w:highlight w:val="none"/>
            </w:rPr>
            <w:t>1</w:t>
          </w:r>
          <w:r>
            <w:rPr>
              <w:rFonts w:hint="eastAsia"/>
              <w:color w:val="auto"/>
              <w:highlight w:val="none"/>
              <w:lang w:val="en-US" w:eastAsia="zh-CN"/>
            </w:rPr>
            <w:t>7</w:t>
          </w:r>
          <w:r>
            <w:rPr>
              <w:color w:val="auto"/>
              <w:highlight w:val="none"/>
            </w:rPr>
            <w:fldChar w:fldCharType="end"/>
          </w:r>
          <w:r>
            <w:rPr>
              <w:color w:val="auto"/>
              <w:highlight w:val="none"/>
            </w:rPr>
            <w:fldChar w:fldCharType="end"/>
          </w:r>
        </w:p>
        <w:p w14:paraId="632FFDB8">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"_Toc170244942"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6</w:t>
          </w:r>
          <w:r>
            <w:rPr>
              <w:rStyle w:val="18"/>
              <w:rFonts w:ascii="Times New Roman" w:hAnsi="Times New Roman" w:eastAsia="宋体" w:cs="Times New Roman"/>
              <w:b/>
              <w:color w:val="auto"/>
              <w:highlight w:val="none"/>
            </w:rPr>
            <w:t>.1 换填法</w:t>
          </w:r>
          <w:r>
            <w:rPr>
              <w:color w:val="auto"/>
              <w:highlight w:val="none"/>
            </w:rPr>
            <w:tab/>
          </w:r>
          <w:r>
            <w:rPr>
              <w:color w:val="auto"/>
              <w:highlight w:val="none"/>
            </w:rPr>
            <w:fldChar w:fldCharType="begin"/>
          </w:r>
          <w:r>
            <w:rPr>
              <w:color w:val="auto"/>
              <w:highlight w:val="none"/>
            </w:rPr>
            <w:instrText xml:space="preserve"> PAGEREF _Toc170244942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628C2171">
          <w:pPr>
            <w:pStyle w:val="14"/>
            <w:tabs>
              <w:tab w:val="right" w:leader="dot" w:pos="8296"/>
            </w:tabs>
            <w:spacing w:line="400" w:lineRule="exact"/>
            <w:rPr>
              <w:color w:val="auto"/>
              <w:szCs w:val="22"/>
              <w:highlight w:val="none"/>
            </w:rPr>
          </w:pPr>
          <w:r>
            <w:rPr>
              <w:rFonts w:hint="eastAsia"/>
              <w:color w:val="auto"/>
              <w:highlight w:val="none"/>
              <w:lang w:val="en-US" w:eastAsia="zh-CN"/>
            </w:rPr>
            <w:t>6</w:t>
          </w:r>
          <w:r>
            <w:rPr>
              <w:color w:val="auto"/>
              <w:highlight w:val="none"/>
            </w:rPr>
            <w:fldChar w:fldCharType="begin"/>
          </w:r>
          <w:r>
            <w:rPr>
              <w:color w:val="auto"/>
              <w:highlight w:val="none"/>
            </w:rPr>
            <w:instrText xml:space="preserve"> HYPERLINK \l "_Toc170244943" </w:instrText>
          </w:r>
          <w:r>
            <w:rPr>
              <w:color w:val="auto"/>
              <w:highlight w:val="none"/>
            </w:rPr>
            <w:fldChar w:fldCharType="separate"/>
          </w:r>
          <w:r>
            <w:rPr>
              <w:rStyle w:val="18"/>
              <w:rFonts w:ascii="Times New Roman" w:hAnsi="Times New Roman" w:eastAsia="宋体" w:cs="Times New Roman"/>
              <w:b/>
              <w:color w:val="auto"/>
              <w:highlight w:val="none"/>
            </w:rPr>
            <w:t>.2 土工合成材料加筋法</w:t>
          </w:r>
          <w:r>
            <w:rPr>
              <w:color w:val="auto"/>
              <w:highlight w:val="none"/>
            </w:rPr>
            <w:tab/>
          </w:r>
          <w:r>
            <w:rPr>
              <w:color w:val="auto"/>
              <w:highlight w:val="none"/>
            </w:rPr>
            <w:fldChar w:fldCharType="begin"/>
          </w:r>
          <w:r>
            <w:rPr>
              <w:color w:val="auto"/>
              <w:highlight w:val="none"/>
            </w:rPr>
            <w:instrText xml:space="preserve"> PAGEREF _Toc170244943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1CD6AD69">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"_Toc170244944"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6</w:t>
          </w:r>
          <w:r>
            <w:rPr>
              <w:rStyle w:val="18"/>
              <w:rFonts w:ascii="Times New Roman" w:hAnsi="Times New Roman" w:eastAsia="宋体" w:cs="Times New Roman"/>
              <w:b/>
              <w:color w:val="auto"/>
              <w:highlight w:val="none"/>
            </w:rPr>
            <w:t>.3 强夯与强夯置换法</w:t>
          </w:r>
          <w:r>
            <w:rPr>
              <w:color w:val="auto"/>
              <w:highlight w:val="none"/>
            </w:rPr>
            <w:tab/>
          </w:r>
          <w:r>
            <w:rPr>
              <w:color w:val="auto"/>
              <w:highlight w:val="none"/>
            </w:rPr>
            <w:fldChar w:fldCharType="begin"/>
          </w:r>
          <w:r>
            <w:rPr>
              <w:color w:val="auto"/>
              <w:highlight w:val="none"/>
            </w:rPr>
            <w:instrText xml:space="preserve"> PAGEREF _Toc170244944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1D45467">
          <w:pPr>
            <w:pStyle w:val="14"/>
            <w:tabs>
              <w:tab w:val="right" w:leader="dot" w:pos="8296"/>
            </w:tabs>
            <w:spacing w:line="400" w:lineRule="exact"/>
            <w:rPr>
              <w:rFonts w:hint="default" w:eastAsiaTheme="minorEastAsia"/>
              <w:color w:val="auto"/>
              <w:szCs w:val="22"/>
              <w:highlight w:val="none"/>
              <w:lang w:val="en-US" w:eastAsia="zh-CN"/>
            </w:rPr>
          </w:pPr>
          <w:r>
            <w:rPr>
              <w:color w:val="auto"/>
              <w:highlight w:val="none"/>
            </w:rPr>
            <w:fldChar w:fldCharType="begin"/>
          </w:r>
          <w:r>
            <w:rPr>
              <w:color w:val="auto"/>
              <w:highlight w:val="none"/>
            </w:rPr>
            <w:instrText xml:space="preserve"> HYPERLINK \l "_Toc170244945"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6</w:t>
          </w:r>
          <w:r>
            <w:rPr>
              <w:rStyle w:val="18"/>
              <w:rFonts w:ascii="Times New Roman" w:hAnsi="Times New Roman" w:eastAsia="宋体" w:cs="Times New Roman"/>
              <w:b/>
              <w:color w:val="auto"/>
              <w:highlight w:val="none"/>
            </w:rPr>
            <w:t>.4 加固桩处治法</w:t>
          </w:r>
          <w:r>
            <w:rPr>
              <w:color w:val="auto"/>
              <w:highlight w:val="none"/>
            </w:rPr>
            <w:tab/>
          </w:r>
          <w:r>
            <w:rPr>
              <w:color w:val="auto"/>
              <w:highlight w:val="none"/>
            </w:rPr>
            <w:fldChar w:fldCharType="end"/>
          </w:r>
          <w:r>
            <w:rPr>
              <w:rFonts w:hint="eastAsia"/>
              <w:color w:val="auto"/>
              <w:highlight w:val="none"/>
              <w:lang w:val="en-US" w:eastAsia="zh-CN"/>
            </w:rPr>
            <w:t>32</w:t>
          </w:r>
        </w:p>
        <w:p w14:paraId="4B2134C6">
          <w:pPr>
            <w:pStyle w:val="13"/>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"_Toc170244947" </w:instrText>
          </w:r>
          <w:r>
            <w:rPr>
              <w:color w:val="auto"/>
              <w:highlight w:val="none"/>
            </w:rPr>
            <w:fldChar w:fldCharType="separate"/>
          </w:r>
          <w:r>
            <w:rPr>
              <w:rStyle w:val="18"/>
              <w:rFonts w:hint="eastAsia" w:ascii="Times New Roman" w:hAnsi="Times New Roman" w:eastAsia="宋体" w:cs="Times New Roman"/>
              <w:b/>
              <w:bCs/>
              <w:color w:val="auto"/>
              <w:highlight w:val="none"/>
              <w:lang w:val="en-US" w:eastAsia="zh-CN"/>
            </w:rPr>
            <w:t xml:space="preserve">7 </w:t>
          </w:r>
          <w:r>
            <w:rPr>
              <w:rStyle w:val="18"/>
              <w:rFonts w:ascii="Times New Roman" w:hAnsi="Times New Roman" w:eastAsia="宋体" w:cs="Times New Roman"/>
              <w:b/>
              <w:bCs/>
              <w:color w:val="auto"/>
              <w:highlight w:val="none"/>
            </w:rPr>
            <w:t>动态监测与沉降预测</w:t>
          </w:r>
          <w:r>
            <w:rPr>
              <w:color w:val="auto"/>
              <w:highlight w:val="none"/>
            </w:rPr>
            <w:tab/>
          </w:r>
          <w:r>
            <w:rPr>
              <w:color w:val="auto"/>
              <w:highlight w:val="none"/>
            </w:rPr>
            <w:fldChar w:fldCharType="begin"/>
          </w:r>
          <w:r>
            <w:rPr>
              <w:color w:val="auto"/>
              <w:highlight w:val="none"/>
            </w:rPr>
            <w:instrText xml:space="preserve"> PAGEREF _Toc170244947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6BE70A85">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"_Toc170244948"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7</w:t>
          </w:r>
          <w:r>
            <w:rPr>
              <w:rStyle w:val="18"/>
              <w:rFonts w:ascii="Times New Roman" w:hAnsi="Times New Roman" w:eastAsia="宋体" w:cs="Times New Roman"/>
              <w:b/>
              <w:color w:val="auto"/>
              <w:highlight w:val="none"/>
            </w:rPr>
            <w:t>.1 动态监测</w:t>
          </w:r>
          <w:r>
            <w:rPr>
              <w:color w:val="auto"/>
              <w:highlight w:val="none"/>
            </w:rPr>
            <w:tab/>
          </w:r>
          <w:r>
            <w:rPr>
              <w:color w:val="auto"/>
              <w:highlight w:val="none"/>
            </w:rPr>
            <w:fldChar w:fldCharType="begin"/>
          </w:r>
          <w:r>
            <w:rPr>
              <w:color w:val="auto"/>
              <w:highlight w:val="none"/>
            </w:rPr>
            <w:instrText xml:space="preserve"> PAGEREF _Toc170244948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5ABBA38F">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"_Toc170244949"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7</w:t>
          </w:r>
          <w:r>
            <w:rPr>
              <w:rStyle w:val="18"/>
              <w:rFonts w:ascii="Times New Roman" w:hAnsi="Times New Roman" w:eastAsia="宋体" w:cs="Times New Roman"/>
              <w:b/>
              <w:color w:val="auto"/>
              <w:highlight w:val="none"/>
            </w:rPr>
            <w:t>.2 沉降预测</w:t>
          </w:r>
          <w:r>
            <w:rPr>
              <w:color w:val="auto"/>
              <w:highlight w:val="none"/>
            </w:rPr>
            <w:tab/>
          </w:r>
          <w:r>
            <w:rPr>
              <w:color w:val="auto"/>
              <w:highlight w:val="none"/>
            </w:rPr>
            <w:fldChar w:fldCharType="begin"/>
          </w:r>
          <w:r>
            <w:rPr>
              <w:color w:val="auto"/>
              <w:highlight w:val="none"/>
            </w:rPr>
            <w:instrText xml:space="preserve"> PAGEREF _Toc170244949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3389441C">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"_Toc170244950"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7</w:t>
          </w:r>
          <w:r>
            <w:rPr>
              <w:rStyle w:val="18"/>
              <w:rFonts w:ascii="Times New Roman" w:hAnsi="Times New Roman" w:eastAsia="宋体" w:cs="Times New Roman"/>
              <w:b/>
              <w:color w:val="auto"/>
              <w:highlight w:val="none"/>
            </w:rPr>
            <w:t>.3 弯沉检测</w:t>
          </w:r>
          <w:r>
            <w:rPr>
              <w:color w:val="auto"/>
              <w:highlight w:val="none"/>
            </w:rPr>
            <w:tab/>
          </w:r>
          <w:r>
            <w:rPr>
              <w:color w:val="auto"/>
              <w:highlight w:val="none"/>
            </w:rPr>
            <w:fldChar w:fldCharType="begin"/>
          </w:r>
          <w:r>
            <w:rPr>
              <w:color w:val="auto"/>
              <w:highlight w:val="none"/>
            </w:rPr>
            <w:instrText xml:space="preserve"> PAGEREF _Toc170244950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420D1B68">
          <w:pPr>
            <w:pStyle w:val="14"/>
            <w:tabs>
              <w:tab w:val="right" w:leader="dot" w:pos="8296"/>
            </w:tabs>
            <w:spacing w:line="400" w:lineRule="exact"/>
            <w:rPr>
              <w:color w:val="auto"/>
              <w:szCs w:val="22"/>
              <w:highlight w:val="none"/>
            </w:rPr>
          </w:pPr>
          <w:r>
            <w:rPr>
              <w:color w:val="auto"/>
              <w:highlight w:val="none"/>
            </w:rPr>
            <w:fldChar w:fldCharType="begin"/>
          </w:r>
          <w:r>
            <w:rPr>
              <w:color w:val="auto"/>
              <w:highlight w:val="none"/>
            </w:rPr>
            <w:instrText xml:space="preserve"> HYPERLINK \l "_Toc170244951" </w:instrText>
          </w:r>
          <w:r>
            <w:rPr>
              <w:color w:val="auto"/>
              <w:highlight w:val="none"/>
            </w:rPr>
            <w:fldChar w:fldCharType="separate"/>
          </w:r>
          <w:r>
            <w:rPr>
              <w:rStyle w:val="18"/>
              <w:rFonts w:hint="eastAsia" w:ascii="Times New Roman" w:hAnsi="Times New Roman" w:eastAsia="宋体" w:cs="Times New Roman"/>
              <w:b/>
              <w:color w:val="auto"/>
              <w:highlight w:val="none"/>
              <w:lang w:val="en-US" w:eastAsia="zh-CN"/>
            </w:rPr>
            <w:t>7</w:t>
          </w:r>
          <w:r>
            <w:rPr>
              <w:rStyle w:val="18"/>
              <w:rFonts w:ascii="Times New Roman" w:hAnsi="Times New Roman" w:eastAsia="宋体" w:cs="Times New Roman"/>
              <w:b/>
              <w:color w:val="auto"/>
              <w:highlight w:val="none"/>
            </w:rPr>
            <w:t>.4 压实度检测</w:t>
          </w:r>
          <w:r>
            <w:rPr>
              <w:color w:val="auto"/>
              <w:highlight w:val="none"/>
            </w:rPr>
            <w:tab/>
          </w:r>
          <w:r>
            <w:rPr>
              <w:color w:val="auto"/>
              <w:highlight w:val="none"/>
            </w:rPr>
            <w:fldChar w:fldCharType="begin"/>
          </w:r>
          <w:r>
            <w:rPr>
              <w:color w:val="auto"/>
              <w:highlight w:val="none"/>
            </w:rPr>
            <w:instrText xml:space="preserve"> PAGEREF _Toc170244951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1AA8E0EC">
          <w:pPr>
            <w:pStyle w:val="13"/>
            <w:tabs>
              <w:tab w:val="right" w:leader="dot" w:pos="8296"/>
            </w:tabs>
            <w:spacing w:line="400" w:lineRule="exact"/>
            <w:rPr>
              <w:rStyle w:val="18"/>
              <w:rFonts w:ascii="Times New Roman" w:hAnsi="Times New Roman" w:eastAsia="宋体" w:cs="Times New Roman"/>
              <w:b/>
              <w:color w:val="auto"/>
              <w:kern w:val="2"/>
              <w:sz w:val="21"/>
              <w:szCs w:val="24"/>
              <w:highlight w:val="none"/>
              <w:lang w:val="en-US" w:eastAsia="zh-CN" w:bidi="ar-SA"/>
            </w:rPr>
          </w:pPr>
          <w:r>
            <w:rPr>
              <w:rStyle w:val="18"/>
              <w:rFonts w:ascii="Times New Roman" w:hAnsi="Times New Roman" w:eastAsia="宋体" w:cs="Times New Roman"/>
              <w:b/>
              <w:color w:val="auto"/>
              <w:kern w:val="2"/>
              <w:sz w:val="21"/>
              <w:szCs w:val="24"/>
              <w:highlight w:val="none"/>
              <w:lang w:val="en-US" w:eastAsia="zh-CN" w:bidi="ar-SA"/>
            </w:rPr>
            <w:fldChar w:fldCharType="begin"/>
          </w:r>
          <w:r>
            <w:rPr>
              <w:rStyle w:val="18"/>
              <w:rFonts w:ascii="Times New Roman" w:hAnsi="Times New Roman" w:eastAsia="宋体" w:cs="Times New Roman"/>
              <w:b/>
              <w:color w:val="auto"/>
              <w:kern w:val="2"/>
              <w:sz w:val="21"/>
              <w:szCs w:val="24"/>
              <w:highlight w:val="none"/>
              <w:lang w:val="en-US" w:eastAsia="zh-CN" w:bidi="ar-SA"/>
            </w:rPr>
            <w:instrText xml:space="preserve"> HYPERLINK \l "_Toc170244952" </w:instrText>
          </w:r>
          <w:r>
            <w:rPr>
              <w:rStyle w:val="18"/>
              <w:rFonts w:ascii="Times New Roman" w:hAnsi="Times New Roman" w:eastAsia="宋体" w:cs="Times New Roman"/>
              <w:b/>
              <w:color w:val="auto"/>
              <w:kern w:val="2"/>
              <w:sz w:val="21"/>
              <w:szCs w:val="24"/>
              <w:highlight w:val="none"/>
              <w:lang w:val="en-US" w:eastAsia="zh-CN" w:bidi="ar-SA"/>
            </w:rPr>
            <w:fldChar w:fldCharType="separate"/>
          </w:r>
          <w:r>
            <w:rPr>
              <w:rStyle w:val="18"/>
              <w:rFonts w:ascii="Times New Roman" w:hAnsi="Times New Roman" w:eastAsia="宋体" w:cs="Times New Roman"/>
              <w:b/>
              <w:color w:val="auto"/>
              <w:kern w:val="2"/>
              <w:sz w:val="21"/>
              <w:szCs w:val="24"/>
              <w:highlight w:val="none"/>
              <w:lang w:val="en-US" w:eastAsia="zh-CN" w:bidi="ar-SA"/>
            </w:rPr>
            <w:t>附录</w:t>
          </w:r>
          <w:r>
            <w:rPr>
              <w:rStyle w:val="18"/>
              <w:rFonts w:hint="eastAsia" w:ascii="Times New Roman" w:hAnsi="Times New Roman" w:eastAsia="宋体" w:cs="Times New Roman"/>
              <w:b/>
              <w:color w:val="auto"/>
              <w:kern w:val="2"/>
              <w:sz w:val="21"/>
              <w:szCs w:val="24"/>
              <w:highlight w:val="none"/>
              <w:lang w:val="en-US" w:eastAsia="zh-CN" w:bidi="ar-SA"/>
            </w:rPr>
            <w:t>A 河北省</w:t>
          </w:r>
          <w:r>
            <w:rPr>
              <w:rStyle w:val="18"/>
              <w:rFonts w:ascii="Times New Roman" w:hAnsi="Times New Roman" w:eastAsia="宋体" w:cs="Times New Roman"/>
              <w:b/>
              <w:color w:val="auto"/>
              <w:kern w:val="2"/>
              <w:sz w:val="21"/>
              <w:szCs w:val="24"/>
              <w:highlight w:val="none"/>
              <w:lang w:val="en-US" w:eastAsia="zh-CN" w:bidi="ar-SA"/>
            </w:rPr>
            <w:t xml:space="preserve">软弱土工程特性 </w:t>
          </w:r>
          <w:r>
            <w:rPr>
              <w:rFonts w:asciiTheme="minorHAnsi" w:hAnsiTheme="minorHAnsi" w:eastAsiaTheme="minorEastAsia" w:cstheme="minorBidi"/>
              <w:color w:val="auto"/>
              <w:kern w:val="2"/>
              <w:sz w:val="21"/>
              <w:szCs w:val="24"/>
              <w:highlight w:val="none"/>
              <w:lang w:val="en-US" w:eastAsia="zh-CN" w:bidi="ar-SA"/>
            </w:rPr>
            <w:tab/>
          </w:r>
          <w:r>
            <w:rPr>
              <w:rFonts w:asciiTheme="minorHAnsi" w:hAnsiTheme="minorHAnsi" w:eastAsiaTheme="minorEastAsia" w:cstheme="minorBidi"/>
              <w:color w:val="auto"/>
              <w:kern w:val="2"/>
              <w:sz w:val="21"/>
              <w:szCs w:val="24"/>
              <w:highlight w:val="none"/>
              <w:lang w:val="en-US" w:eastAsia="zh-CN" w:bidi="ar-SA"/>
            </w:rPr>
            <w:fldChar w:fldCharType="begin"/>
          </w:r>
          <w:r>
            <w:rPr>
              <w:rFonts w:asciiTheme="minorHAnsi" w:hAnsiTheme="minorHAnsi" w:eastAsiaTheme="minorEastAsia" w:cstheme="minorBidi"/>
              <w:color w:val="auto"/>
              <w:kern w:val="2"/>
              <w:sz w:val="21"/>
              <w:szCs w:val="24"/>
              <w:highlight w:val="none"/>
              <w:lang w:val="en-US" w:eastAsia="zh-CN" w:bidi="ar-SA"/>
            </w:rPr>
            <w:instrText xml:space="preserve"> PAGEREF _Toc170244952 \h </w:instrText>
          </w:r>
          <w:r>
            <w:rPr>
              <w:rFonts w:asciiTheme="minorHAnsi" w:hAnsiTheme="minorHAnsi" w:eastAsiaTheme="minorEastAsia" w:cstheme="minorBidi"/>
              <w:color w:val="auto"/>
              <w:kern w:val="2"/>
              <w:sz w:val="21"/>
              <w:szCs w:val="24"/>
              <w:highlight w:val="none"/>
              <w:lang w:val="en-US" w:eastAsia="zh-CN" w:bidi="ar-SA"/>
            </w:rPr>
            <w:fldChar w:fldCharType="separate"/>
          </w:r>
          <w:r>
            <w:rPr>
              <w:rFonts w:asciiTheme="minorHAnsi" w:hAnsiTheme="minorHAnsi" w:eastAsiaTheme="minorEastAsia" w:cstheme="minorBidi"/>
              <w:color w:val="auto"/>
              <w:kern w:val="2"/>
              <w:sz w:val="21"/>
              <w:szCs w:val="24"/>
              <w:highlight w:val="none"/>
              <w:lang w:val="en-US" w:eastAsia="zh-CN" w:bidi="ar-SA"/>
            </w:rPr>
            <w:t>53</w:t>
          </w:r>
          <w:r>
            <w:rPr>
              <w:rFonts w:asciiTheme="minorHAnsi" w:hAnsiTheme="minorHAnsi" w:eastAsiaTheme="minorEastAsia" w:cstheme="minorBidi"/>
              <w:color w:val="auto"/>
              <w:kern w:val="2"/>
              <w:sz w:val="21"/>
              <w:szCs w:val="24"/>
              <w:highlight w:val="none"/>
              <w:lang w:val="en-US" w:eastAsia="zh-CN" w:bidi="ar-SA"/>
            </w:rPr>
            <w:fldChar w:fldCharType="end"/>
          </w:r>
          <w:r>
            <w:rPr>
              <w:rStyle w:val="18"/>
              <w:rFonts w:ascii="Times New Roman" w:hAnsi="Times New Roman" w:eastAsia="宋体" w:cs="Times New Roman"/>
              <w:b/>
              <w:color w:val="auto"/>
              <w:kern w:val="2"/>
              <w:sz w:val="21"/>
              <w:szCs w:val="24"/>
              <w:highlight w:val="none"/>
              <w:lang w:val="en-US" w:eastAsia="zh-CN" w:bidi="ar-SA"/>
            </w:rPr>
            <w:fldChar w:fldCharType="end"/>
          </w:r>
        </w:p>
        <w:p w14:paraId="6984F64D">
          <w:pPr>
            <w:spacing w:line="360" w:lineRule="auto"/>
            <w:jc w:val="left"/>
            <w:outlineLvl w:val="0"/>
            <w:rPr>
              <w:rStyle w:val="18"/>
              <w:rFonts w:hint="default" w:ascii="Times New Roman" w:hAnsi="Times New Roman" w:eastAsia="宋体" w:cs="Times New Roman"/>
              <w:b/>
              <w:color w:val="auto"/>
              <w:kern w:val="2"/>
              <w:sz w:val="21"/>
              <w:szCs w:val="24"/>
              <w:highlight w:val="none"/>
              <w:lang w:val="en-US" w:eastAsia="zh-CN" w:bidi="ar-SA"/>
            </w:rPr>
          </w:pPr>
          <w:r>
            <w:rPr>
              <w:rStyle w:val="18"/>
              <w:rFonts w:ascii="Times New Roman" w:hAnsi="Times New Roman" w:eastAsia="宋体" w:cs="Times New Roman"/>
              <w:b/>
              <w:color w:val="auto"/>
              <w:kern w:val="2"/>
              <w:sz w:val="21"/>
              <w:szCs w:val="24"/>
              <w:highlight w:val="none"/>
              <w:lang w:val="en-US" w:eastAsia="zh-CN" w:bidi="ar-SA"/>
            </w:rPr>
            <w:t>附录</w:t>
          </w:r>
          <w:r>
            <w:rPr>
              <w:rStyle w:val="18"/>
              <w:rFonts w:hint="eastAsia" w:ascii="Times New Roman" w:hAnsi="Times New Roman" w:eastAsia="宋体" w:cs="Times New Roman"/>
              <w:b/>
              <w:color w:val="auto"/>
              <w:kern w:val="2"/>
              <w:sz w:val="21"/>
              <w:szCs w:val="24"/>
              <w:highlight w:val="none"/>
              <w:lang w:val="en-US" w:eastAsia="zh-CN" w:bidi="ar-SA"/>
            </w:rPr>
            <w:t xml:space="preserve">B </w:t>
          </w:r>
          <w:r>
            <w:rPr>
              <w:rStyle w:val="18"/>
              <w:rFonts w:ascii="Times New Roman" w:hAnsi="Times New Roman" w:eastAsia="宋体" w:cs="Times New Roman"/>
              <w:b/>
              <w:color w:val="auto"/>
              <w:kern w:val="2"/>
              <w:sz w:val="21"/>
              <w:szCs w:val="24"/>
              <w:highlight w:val="none"/>
              <w:lang w:val="en-US" w:eastAsia="zh-CN" w:bidi="ar-SA"/>
            </w:rPr>
            <w:t>桩体荷载分担比系数表</w:t>
          </w:r>
          <w:r>
            <w:rPr>
              <w:rFonts w:hint="eastAsia" w:asciiTheme="minorHAnsi" w:hAnsiTheme="minorHAnsi" w:eastAsiaTheme="minorEastAsia" w:cstheme="minorBidi"/>
              <w:color w:val="auto"/>
              <w:kern w:val="2"/>
              <w:sz w:val="21"/>
              <w:szCs w:val="24"/>
              <w:highlight w:val="none"/>
              <w:lang w:val="en-US" w:eastAsia="zh-CN" w:bidi="ar-SA"/>
            </w:rPr>
            <w:t>............................................................................................ ......</w:t>
          </w:r>
          <w:r>
            <w:rPr>
              <w:rFonts w:hint="eastAsia" w:cstheme="minorBidi"/>
              <w:color w:val="auto"/>
              <w:kern w:val="2"/>
              <w:sz w:val="21"/>
              <w:szCs w:val="24"/>
              <w:highlight w:val="none"/>
              <w:lang w:val="en-US" w:eastAsia="zh-CN" w:bidi="ar-SA"/>
            </w:rPr>
            <w:t>54</w:t>
          </w:r>
        </w:p>
        <w:p w14:paraId="4294C340">
          <w:pPr>
            <w:spacing w:line="360" w:lineRule="auto"/>
            <w:jc w:val="center"/>
            <w:outlineLvl w:val="0"/>
            <w:rPr>
              <w:rStyle w:val="18"/>
              <w:rFonts w:hint="eastAsia" w:ascii="Times New Roman" w:hAnsi="Times New Roman" w:eastAsia="宋体" w:cs="Times New Roman"/>
              <w:b/>
              <w:bCs/>
              <w:color w:val="auto"/>
              <w:kern w:val="2"/>
              <w:sz w:val="21"/>
              <w:szCs w:val="24"/>
              <w:highlight w:val="none"/>
              <w:lang w:val="en-US" w:eastAsia="zh-CN" w:bidi="ar-SA"/>
            </w:rPr>
          </w:pPr>
        </w:p>
        <w:p w14:paraId="7CCE92DB">
          <w:pPr>
            <w:pStyle w:val="13"/>
            <w:tabs>
              <w:tab w:val="right" w:leader="dot" w:pos="8296"/>
            </w:tabs>
            <w:spacing w:line="400" w:lineRule="exact"/>
            <w:rPr>
              <w:color w:val="auto"/>
              <w:szCs w:val="22"/>
              <w:highlight w:val="none"/>
            </w:rPr>
          </w:pPr>
        </w:p>
        <w:p w14:paraId="0C3CC190">
          <w:pPr>
            <w:spacing w:line="400" w:lineRule="exact"/>
            <w:ind w:firstLine="480" w:firstLineChars="200"/>
            <w:rPr>
              <w:rFonts w:ascii="Times New Roman" w:hAnsi="Times New Roman" w:eastAsia="黑体" w:cs="Times New Roman"/>
              <w:b/>
              <w:bCs/>
              <w:color w:val="auto"/>
              <w:kern w:val="0"/>
              <w:sz w:val="36"/>
              <w:szCs w:val="36"/>
              <w:highlight w:val="none"/>
              <w:lang w:bidi="ar"/>
            </w:rPr>
          </w:pPr>
          <w:r>
            <w:rPr>
              <w:rFonts w:ascii="Times New Roman" w:hAnsi="Times New Roman" w:eastAsia="宋体" w:cs="Times New Roman"/>
              <w:bCs/>
              <w:color w:val="auto"/>
              <w:kern w:val="0"/>
              <w:sz w:val="24"/>
              <w:highlight w:val="none"/>
              <w:lang w:bidi="ar"/>
            </w:rPr>
            <w:fldChar w:fldCharType="end"/>
          </w:r>
        </w:p>
      </w:sdtContent>
    </w:sdt>
    <w:p w14:paraId="77166126">
      <w:pPr>
        <w:widowControl/>
        <w:jc w:val="center"/>
        <w:outlineLvl w:val="0"/>
        <w:rPr>
          <w:rFonts w:ascii="Times New Roman" w:hAnsi="Times New Roman" w:eastAsia="黑体" w:cs="Times New Roman"/>
          <w:b/>
          <w:bCs/>
          <w:color w:val="auto"/>
          <w:kern w:val="0"/>
          <w:sz w:val="36"/>
          <w:szCs w:val="36"/>
          <w:highlight w:val="none"/>
          <w:lang w:bidi="ar"/>
        </w:rPr>
        <w:sectPr>
          <w:footerReference r:id="rId3" w:type="default"/>
          <w:pgSz w:w="11906" w:h="16838"/>
          <w:pgMar w:top="1440" w:right="1706"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bookmarkStart w:id="0" w:name="_Toc2019"/>
      <w:bookmarkStart w:id="1" w:name="_Toc170244926"/>
    </w:p>
    <w:p w14:paraId="79A7EBFE">
      <w:pPr>
        <w:widowControl/>
        <w:jc w:val="center"/>
        <w:outlineLvl w:val="0"/>
        <w:rPr>
          <w:rFonts w:ascii="Times New Roman" w:hAnsi="Times New Roman" w:eastAsia="黑体" w:cs="Times New Roman"/>
          <w:b/>
          <w:bCs/>
          <w:color w:val="auto"/>
          <w:kern w:val="0"/>
          <w:sz w:val="36"/>
          <w:szCs w:val="36"/>
          <w:highlight w:val="none"/>
          <w:lang w:bidi="ar"/>
        </w:rPr>
      </w:pPr>
    </w:p>
    <w:p w14:paraId="67F636AF">
      <w:pPr>
        <w:widowControl/>
        <w:jc w:val="center"/>
        <w:outlineLvl w:val="0"/>
        <w:rPr>
          <w:rFonts w:ascii="Times New Roman" w:hAnsi="Times New Roman" w:eastAsia="黑体" w:cs="Times New Roman"/>
          <w:b/>
          <w:bCs/>
          <w:color w:val="auto"/>
          <w:kern w:val="0"/>
          <w:sz w:val="36"/>
          <w:szCs w:val="36"/>
          <w:highlight w:val="none"/>
          <w:lang w:bidi="ar"/>
        </w:rPr>
      </w:pPr>
      <w:r>
        <w:rPr>
          <w:rFonts w:ascii="Times New Roman" w:hAnsi="Times New Roman" w:eastAsia="黑体" w:cs="Times New Roman"/>
          <w:b/>
          <w:bCs/>
          <w:color w:val="auto"/>
          <w:kern w:val="0"/>
          <w:sz w:val="36"/>
          <w:szCs w:val="36"/>
          <w:highlight w:val="none"/>
          <w:lang w:bidi="ar"/>
        </w:rPr>
        <w:t>前  言</w:t>
      </w:r>
      <w:bookmarkEnd w:id="0"/>
      <w:bookmarkEnd w:id="1"/>
    </w:p>
    <w:p w14:paraId="17B938E9">
      <w:pPr>
        <w:widowControl/>
        <w:jc w:val="center"/>
        <w:outlineLvl w:val="0"/>
        <w:rPr>
          <w:rFonts w:ascii="Times New Roman" w:hAnsi="Times New Roman" w:eastAsia="黑体" w:cs="Times New Roman"/>
          <w:b/>
          <w:bCs/>
          <w:color w:val="auto"/>
          <w:kern w:val="0"/>
          <w:sz w:val="36"/>
          <w:szCs w:val="36"/>
          <w:highlight w:val="none"/>
          <w:lang w:bidi="ar"/>
        </w:rPr>
      </w:pPr>
    </w:p>
    <w:p w14:paraId="47597811">
      <w:pPr>
        <w:widowControl/>
        <w:spacing w:line="360" w:lineRule="auto"/>
        <w:ind w:firstLine="420" w:firstLineChars="200"/>
        <w:rPr>
          <w:rFonts w:ascii="Times New Roman" w:hAnsi="Times New Roman" w:cs="Times New Roman"/>
          <w:color w:val="auto"/>
          <w:szCs w:val="21"/>
          <w:highlight w:val="none"/>
        </w:rPr>
      </w:pPr>
      <w:r>
        <w:rPr>
          <w:rFonts w:ascii="Times New Roman" w:hAnsi="Times New Roman" w:eastAsia="宋体" w:cs="Times New Roman"/>
          <w:color w:val="auto"/>
          <w:kern w:val="0"/>
          <w:szCs w:val="21"/>
          <w:highlight w:val="none"/>
          <w:lang w:bidi="ar"/>
        </w:rPr>
        <w:t>本</w:t>
      </w:r>
      <w:r>
        <w:rPr>
          <w:rFonts w:hint="eastAsia" w:ascii="Times New Roman" w:hAnsi="Times New Roman" w:eastAsia="宋体" w:cs="Times New Roman"/>
          <w:color w:val="auto"/>
          <w:kern w:val="0"/>
          <w:szCs w:val="21"/>
          <w:highlight w:val="none"/>
          <w:lang w:val="en-US" w:eastAsia="zh-CN" w:bidi="ar"/>
        </w:rPr>
        <w:t xml:space="preserve">文件按照GB/T 1.1 — 2020《标准化工作导则 </w:t>
      </w:r>
      <w:r>
        <w:rPr>
          <w:rFonts w:hint="default" w:ascii="Times New Roman" w:hAnsi="Times New Roman" w:eastAsia="宋体" w:cs="Times New Roman"/>
          <w:color w:val="auto"/>
          <w:kern w:val="0"/>
          <w:szCs w:val="21"/>
          <w:highlight w:val="none"/>
          <w:lang w:val="en-US" w:eastAsia="zh-CN" w:bidi="ar"/>
        </w:rPr>
        <w:t>第1部分:标准化文件的结构和起草规则</w:t>
      </w:r>
      <w:r>
        <w:rPr>
          <w:rFonts w:hint="eastAsia" w:ascii="Times New Roman" w:hAnsi="Times New Roman" w:eastAsia="宋体" w:cs="Times New Roman"/>
          <w:color w:val="auto"/>
          <w:kern w:val="0"/>
          <w:szCs w:val="21"/>
          <w:highlight w:val="none"/>
          <w:lang w:val="en-US" w:eastAsia="zh-CN" w:bidi="ar"/>
        </w:rPr>
        <w:t>》给出的规定起草。</w:t>
      </w:r>
      <w:r>
        <w:rPr>
          <w:rFonts w:ascii="Times New Roman" w:hAnsi="Times New Roman" w:eastAsia="宋体" w:cs="Times New Roman"/>
          <w:color w:val="auto"/>
          <w:kern w:val="0"/>
          <w:szCs w:val="21"/>
          <w:highlight w:val="none"/>
          <w:lang w:bidi="ar"/>
        </w:rPr>
        <w:t xml:space="preserve"> </w:t>
      </w:r>
    </w:p>
    <w:p w14:paraId="586EFA0B">
      <w:pPr>
        <w:widowControl/>
        <w:spacing w:line="360" w:lineRule="auto"/>
        <w:ind w:firstLine="420" w:firstLineChars="200"/>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请注意本</w:t>
      </w:r>
      <w:r>
        <w:rPr>
          <w:rFonts w:hint="eastAsia" w:ascii="Times New Roman" w:hAnsi="Times New Roman" w:eastAsia="宋体" w:cs="Times New Roman"/>
          <w:color w:val="auto"/>
          <w:kern w:val="0"/>
          <w:szCs w:val="21"/>
          <w:highlight w:val="none"/>
          <w:lang w:val="en-US" w:eastAsia="zh-CN" w:bidi="ar"/>
        </w:rPr>
        <w:t>文件</w:t>
      </w:r>
      <w:r>
        <w:rPr>
          <w:rFonts w:ascii="Times New Roman" w:hAnsi="Times New Roman" w:eastAsia="宋体" w:cs="Times New Roman"/>
          <w:color w:val="auto"/>
          <w:kern w:val="0"/>
          <w:szCs w:val="21"/>
          <w:highlight w:val="none"/>
          <w:lang w:bidi="ar"/>
        </w:rPr>
        <w:t>的某些内容可能涉及专利</w:t>
      </w:r>
      <w:r>
        <w:rPr>
          <w:rFonts w:hint="eastAsia" w:ascii="Times New Roman" w:hAnsi="Times New Roman" w:eastAsia="宋体" w:cs="Times New Roman"/>
          <w:color w:val="auto"/>
          <w:kern w:val="0"/>
          <w:szCs w:val="21"/>
          <w:highlight w:val="none"/>
          <w:lang w:eastAsia="zh-CN" w:bidi="ar"/>
        </w:rPr>
        <w:t>。</w:t>
      </w:r>
      <w:r>
        <w:rPr>
          <w:rFonts w:ascii="Times New Roman" w:hAnsi="Times New Roman" w:eastAsia="宋体" w:cs="Times New Roman"/>
          <w:color w:val="auto"/>
          <w:kern w:val="0"/>
          <w:szCs w:val="21"/>
          <w:highlight w:val="none"/>
          <w:lang w:bidi="ar"/>
        </w:rPr>
        <w:t>本</w:t>
      </w:r>
      <w:r>
        <w:rPr>
          <w:rFonts w:hint="eastAsia" w:ascii="Times New Roman" w:hAnsi="Times New Roman" w:eastAsia="宋体" w:cs="Times New Roman"/>
          <w:color w:val="auto"/>
          <w:kern w:val="0"/>
          <w:szCs w:val="21"/>
          <w:highlight w:val="none"/>
          <w:lang w:val="en-US" w:eastAsia="zh-CN" w:bidi="ar"/>
        </w:rPr>
        <w:t>文件</w:t>
      </w:r>
      <w:r>
        <w:rPr>
          <w:rFonts w:ascii="Times New Roman" w:hAnsi="Times New Roman" w:eastAsia="宋体" w:cs="Times New Roman"/>
          <w:color w:val="auto"/>
          <w:kern w:val="0"/>
          <w:szCs w:val="21"/>
          <w:highlight w:val="none"/>
          <w:lang w:bidi="ar"/>
        </w:rPr>
        <w:t>的发布机构不承担</w:t>
      </w:r>
      <w:r>
        <w:rPr>
          <w:rFonts w:hint="eastAsia" w:ascii="Times New Roman" w:hAnsi="Times New Roman" w:eastAsia="宋体" w:cs="Times New Roman"/>
          <w:color w:val="auto"/>
          <w:kern w:val="0"/>
          <w:szCs w:val="21"/>
          <w:highlight w:val="none"/>
          <w:lang w:val="en-US" w:eastAsia="zh-CN" w:bidi="ar"/>
        </w:rPr>
        <w:t>识别</w:t>
      </w:r>
      <w:r>
        <w:rPr>
          <w:rFonts w:ascii="Times New Roman" w:hAnsi="Times New Roman" w:eastAsia="宋体" w:cs="Times New Roman"/>
          <w:color w:val="auto"/>
          <w:kern w:val="0"/>
          <w:szCs w:val="21"/>
          <w:highlight w:val="none"/>
          <w:lang w:bidi="ar"/>
        </w:rPr>
        <w:t>专利的责任</w:t>
      </w:r>
      <w:r>
        <w:rPr>
          <w:rFonts w:ascii="Times New Roman" w:hAnsi="Times New Roman" w:eastAsia="宋体" w:cs="Times New Roman"/>
          <w:color w:val="auto"/>
          <w:kern w:val="0"/>
          <w:sz w:val="24"/>
          <w:highlight w:val="none"/>
          <w:lang w:bidi="ar"/>
        </w:rPr>
        <w:t>。</w:t>
      </w:r>
    </w:p>
    <w:p w14:paraId="26F3864B">
      <w:pPr>
        <w:widowControl/>
        <w:spacing w:line="360" w:lineRule="auto"/>
        <w:ind w:firstLine="420" w:firstLineChars="200"/>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本</w:t>
      </w:r>
      <w:r>
        <w:rPr>
          <w:rFonts w:hint="eastAsia" w:ascii="Times New Roman" w:hAnsi="Times New Roman" w:eastAsia="宋体" w:cs="Times New Roman"/>
          <w:color w:val="auto"/>
          <w:kern w:val="0"/>
          <w:szCs w:val="21"/>
          <w:highlight w:val="none"/>
          <w:lang w:val="en-US" w:eastAsia="zh-CN" w:bidi="ar"/>
        </w:rPr>
        <w:t>文件</w:t>
      </w:r>
      <w:r>
        <w:rPr>
          <w:rFonts w:ascii="Times New Roman" w:hAnsi="Times New Roman" w:eastAsia="宋体" w:cs="Times New Roman"/>
          <w:color w:val="auto"/>
          <w:kern w:val="0"/>
          <w:szCs w:val="21"/>
          <w:highlight w:val="none"/>
          <w:lang w:bidi="ar"/>
        </w:rPr>
        <w:t>由河北省交通运输厅提出</w:t>
      </w:r>
      <w:r>
        <w:rPr>
          <w:rFonts w:hint="eastAsia" w:ascii="Times New Roman" w:hAnsi="Times New Roman" w:eastAsia="宋体" w:cs="Times New Roman"/>
          <w:color w:val="auto"/>
          <w:kern w:val="0"/>
          <w:szCs w:val="21"/>
          <w:highlight w:val="none"/>
          <w:lang w:val="en-US" w:eastAsia="zh-CN" w:bidi="ar"/>
        </w:rPr>
        <w:t>并归口</w:t>
      </w:r>
      <w:r>
        <w:rPr>
          <w:rFonts w:ascii="Times New Roman" w:hAnsi="Times New Roman" w:eastAsia="宋体" w:cs="Times New Roman"/>
          <w:color w:val="auto"/>
          <w:kern w:val="0"/>
          <w:szCs w:val="21"/>
          <w:highlight w:val="none"/>
          <w:lang w:bidi="ar"/>
        </w:rPr>
        <w:t xml:space="preserve">。 </w:t>
      </w:r>
    </w:p>
    <w:p w14:paraId="422C49F2">
      <w:pPr>
        <w:widowControl/>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kern w:val="0"/>
          <w:szCs w:val="21"/>
          <w:highlight w:val="none"/>
          <w:lang w:bidi="ar"/>
        </w:rPr>
        <w:t>本</w:t>
      </w:r>
      <w:r>
        <w:rPr>
          <w:rFonts w:hint="eastAsia" w:ascii="Times New Roman" w:hAnsi="Times New Roman" w:eastAsia="宋体" w:cs="Times New Roman"/>
          <w:color w:val="auto"/>
          <w:kern w:val="0"/>
          <w:szCs w:val="21"/>
          <w:highlight w:val="none"/>
          <w:lang w:val="en-US" w:eastAsia="zh-CN" w:bidi="ar"/>
        </w:rPr>
        <w:t>文件</w:t>
      </w:r>
      <w:r>
        <w:rPr>
          <w:rFonts w:ascii="Times New Roman" w:hAnsi="Times New Roman" w:eastAsia="宋体" w:cs="Times New Roman"/>
          <w:color w:val="auto"/>
          <w:kern w:val="0"/>
          <w:szCs w:val="21"/>
          <w:highlight w:val="none"/>
          <w:lang w:bidi="ar"/>
        </w:rPr>
        <w:t>起草单位：</w:t>
      </w:r>
      <w:r>
        <w:rPr>
          <w:rFonts w:ascii="Times New Roman" w:hAnsi="Times New Roman" w:eastAsia="宋体" w:cs="Times New Roman"/>
          <w:color w:val="auto"/>
          <w:kern w:val="0"/>
          <w:szCs w:val="21"/>
          <w:highlight w:val="none"/>
          <w:lang w:bidi="ar"/>
        </w:rPr>
        <w:t>河北雄安京德高速公路有限公司</w:t>
      </w:r>
      <w:r>
        <w:rPr>
          <w:rFonts w:hint="eastAsia" w:ascii="Times New Roman" w:hAnsi="Times New Roman" w:eastAsia="宋体" w:cs="Times New Roman"/>
          <w:color w:val="auto"/>
          <w:kern w:val="0"/>
          <w:szCs w:val="21"/>
          <w:highlight w:val="none"/>
          <w:lang w:eastAsia="zh-CN" w:bidi="ar"/>
        </w:rPr>
        <w:t>、</w:t>
      </w:r>
      <w:r>
        <w:rPr>
          <w:rFonts w:ascii="Times New Roman" w:hAnsi="Times New Roman" w:eastAsia="宋体" w:cs="Times New Roman"/>
          <w:color w:val="auto"/>
          <w:kern w:val="0"/>
          <w:szCs w:val="21"/>
          <w:highlight w:val="none"/>
          <w:lang w:bidi="ar"/>
        </w:rPr>
        <w:t>长安大学</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val="en-US" w:eastAsia="zh-CN" w:bidi="ar"/>
        </w:rPr>
        <w:t>黑龙江工程学院</w:t>
      </w:r>
      <w:r>
        <w:rPr>
          <w:rFonts w:ascii="Times New Roman" w:hAnsi="Times New Roman" w:eastAsia="宋体" w:cs="Times New Roman"/>
          <w:color w:val="auto"/>
          <w:kern w:val="0"/>
          <w:szCs w:val="21"/>
          <w:highlight w:val="none"/>
          <w:lang w:bidi="ar"/>
        </w:rPr>
        <w:t xml:space="preserve"> </w:t>
      </w:r>
      <w:r>
        <w:rPr>
          <w:rFonts w:hint="eastAsia" w:ascii="Times New Roman" w:hAnsi="Times New Roman" w:eastAsia="宋体" w:cs="Times New Roman"/>
          <w:color w:val="auto"/>
          <w:kern w:val="0"/>
          <w:szCs w:val="21"/>
          <w:highlight w:val="none"/>
          <w:lang w:eastAsia="zh-CN" w:bidi="ar"/>
        </w:rPr>
        <w:t>。</w:t>
      </w:r>
    </w:p>
    <w:p w14:paraId="1798B72A">
      <w:pPr>
        <w:spacing w:before="156" w:beforeLines="50" w:after="156" w:afterLines="50" w:line="360" w:lineRule="auto"/>
        <w:jc w:val="left"/>
        <w:rPr>
          <w:rFonts w:ascii="Times New Roman" w:hAnsi="Times New Roman" w:eastAsia="宋体" w:cs="Times New Roman"/>
          <w:color w:val="auto"/>
          <w:kern w:val="0"/>
          <w:sz w:val="24"/>
          <w:highlight w:val="none"/>
          <w:lang w:bidi="ar"/>
        </w:rPr>
      </w:pPr>
      <w:r>
        <w:rPr>
          <w:rFonts w:ascii="Times New Roman" w:hAnsi="Times New Roman" w:eastAsia="宋体" w:cs="Times New Roman"/>
          <w:color w:val="auto"/>
          <w:kern w:val="0"/>
          <w:szCs w:val="21"/>
          <w:highlight w:val="none"/>
          <w:lang w:bidi="ar"/>
        </w:rPr>
        <w:t>本</w:t>
      </w:r>
      <w:r>
        <w:rPr>
          <w:rFonts w:hint="eastAsia" w:ascii="Times New Roman" w:hAnsi="Times New Roman" w:eastAsia="宋体" w:cs="Times New Roman"/>
          <w:color w:val="auto"/>
          <w:kern w:val="0"/>
          <w:szCs w:val="21"/>
          <w:highlight w:val="none"/>
          <w:lang w:val="en-US" w:eastAsia="zh-CN" w:bidi="ar"/>
        </w:rPr>
        <w:t>文件</w:t>
      </w:r>
      <w:r>
        <w:rPr>
          <w:rFonts w:ascii="Times New Roman" w:hAnsi="Times New Roman" w:eastAsia="宋体" w:cs="Times New Roman"/>
          <w:color w:val="auto"/>
          <w:kern w:val="0"/>
          <w:szCs w:val="21"/>
          <w:highlight w:val="none"/>
          <w:lang w:bidi="ar"/>
        </w:rPr>
        <w:t>主要起草人：</w:t>
      </w:r>
      <w:r>
        <w:rPr>
          <w:rFonts w:hint="eastAsia" w:ascii="Times New Roman" w:hAnsi="Times New Roman" w:eastAsia="宋体" w:cs="Times New Roman"/>
          <w:color w:val="auto"/>
          <w:kern w:val="0"/>
          <w:szCs w:val="21"/>
          <w:highlight w:val="none"/>
          <w:lang w:bidi="ar"/>
        </w:rPr>
        <w:t>邱文利</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王剑英</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val="en-US" w:eastAsia="zh-CN" w:bidi="ar"/>
        </w:rPr>
        <w:t>刘俊玲、</w:t>
      </w:r>
      <w:r>
        <w:rPr>
          <w:rFonts w:hint="eastAsia" w:ascii="Times New Roman" w:hAnsi="Times New Roman" w:eastAsia="宋体" w:cs="Times New Roman"/>
          <w:color w:val="auto"/>
          <w:kern w:val="0"/>
          <w:szCs w:val="21"/>
          <w:highlight w:val="none"/>
          <w:lang w:bidi="ar"/>
        </w:rPr>
        <w:t>王选仓</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杨海峰</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白洁</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李阳</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丁龙亭</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马义东</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石鑫</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崔旭</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谢金生</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张垚</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蒋阿庆</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史皓男</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张景阳</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val="en-US" w:eastAsia="zh-CN" w:bidi="ar"/>
        </w:rPr>
        <w:t>陈律、</w:t>
      </w:r>
      <w:r>
        <w:rPr>
          <w:rFonts w:hint="eastAsia" w:ascii="Times New Roman" w:hAnsi="Times New Roman" w:eastAsia="宋体" w:cs="Times New Roman"/>
          <w:color w:val="auto"/>
          <w:kern w:val="0"/>
          <w:szCs w:val="21"/>
          <w:highlight w:val="none"/>
          <w:lang w:bidi="ar"/>
        </w:rPr>
        <w:t>李彦伟</w:t>
      </w:r>
      <w:r>
        <w:rPr>
          <w:rFonts w:hint="eastAsia" w:ascii="Times New Roman" w:hAnsi="Times New Roman" w:eastAsia="宋体"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val="en-US" w:eastAsia="zh-CN" w:bidi="ar"/>
        </w:rPr>
        <w:t xml:space="preserve">李连志、王维铭、宫旭黎、周宪伟、李行、邓林静、李艳丽。 </w:t>
      </w:r>
    </w:p>
    <w:p w14:paraId="61EEAF4A">
      <w:pPr>
        <w:spacing w:before="156" w:beforeLines="50" w:after="156" w:afterLines="50" w:line="360" w:lineRule="auto"/>
        <w:jc w:val="center"/>
        <w:rPr>
          <w:rFonts w:ascii="Times New Roman" w:hAnsi="Times New Roman" w:eastAsia="宋体" w:cs="Times New Roman"/>
          <w:color w:val="auto"/>
          <w:kern w:val="0"/>
          <w:sz w:val="24"/>
          <w:highlight w:val="none"/>
          <w:lang w:bidi="ar"/>
        </w:rPr>
      </w:pPr>
    </w:p>
    <w:p w14:paraId="6BA70F2E">
      <w:pPr>
        <w:spacing w:before="156" w:beforeLines="50" w:after="156" w:afterLines="50" w:line="360" w:lineRule="auto"/>
        <w:jc w:val="both"/>
        <w:rPr>
          <w:rFonts w:ascii="Times New Roman" w:hAnsi="Times New Roman" w:eastAsia="宋体" w:cs="Times New Roman"/>
          <w:color w:val="auto"/>
          <w:kern w:val="0"/>
          <w:sz w:val="24"/>
          <w:highlight w:val="none"/>
          <w:lang w:bidi="ar"/>
        </w:rPr>
      </w:pPr>
    </w:p>
    <w:p w14:paraId="290E4FC6">
      <w:pPr>
        <w:spacing w:before="156" w:beforeLines="50" w:after="156" w:afterLines="50" w:line="360" w:lineRule="auto"/>
        <w:jc w:val="center"/>
        <w:rPr>
          <w:rFonts w:ascii="Times New Roman" w:hAnsi="Times New Roman" w:eastAsia="宋体" w:cs="Times New Roman"/>
          <w:color w:val="auto"/>
          <w:kern w:val="0"/>
          <w:sz w:val="24"/>
          <w:highlight w:val="none"/>
          <w:lang w:bidi="ar"/>
        </w:rPr>
      </w:pPr>
    </w:p>
    <w:p w14:paraId="46851FC8">
      <w:pPr>
        <w:spacing w:before="156" w:beforeLines="50" w:after="156" w:afterLines="50" w:line="360" w:lineRule="auto"/>
        <w:jc w:val="center"/>
        <w:rPr>
          <w:rFonts w:ascii="Times New Roman" w:hAnsi="Times New Roman" w:eastAsia="宋体" w:cs="Times New Roman"/>
          <w:color w:val="auto"/>
          <w:kern w:val="0"/>
          <w:sz w:val="24"/>
          <w:highlight w:val="none"/>
          <w:lang w:bidi="ar"/>
        </w:rPr>
      </w:pPr>
    </w:p>
    <w:p w14:paraId="53ECC3DD">
      <w:pPr>
        <w:spacing w:before="156" w:beforeLines="50" w:after="156" w:afterLines="50" w:line="360" w:lineRule="auto"/>
        <w:jc w:val="center"/>
        <w:rPr>
          <w:rFonts w:ascii="Times New Roman" w:hAnsi="Times New Roman" w:eastAsia="宋体" w:cs="Times New Roman"/>
          <w:color w:val="auto"/>
          <w:kern w:val="0"/>
          <w:sz w:val="24"/>
          <w:highlight w:val="none"/>
          <w:lang w:bidi="ar"/>
        </w:rPr>
        <w:sectPr>
          <w:footerReference r:id="rId4" w:type="default"/>
          <w:pgSz w:w="11906" w:h="16838"/>
          <w:pgMar w:top="1440" w:right="1706"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14:paraId="1A240050">
      <w:pPr>
        <w:spacing w:before="156" w:beforeLines="50" w:after="156" w:afterLines="50" w:line="360" w:lineRule="auto"/>
        <w:jc w:val="center"/>
        <w:rPr>
          <w:rFonts w:ascii="Times New Roman" w:hAnsi="Times New Roman" w:eastAsia="宋体" w:cs="Times New Roman"/>
          <w:color w:val="auto"/>
          <w:kern w:val="0"/>
          <w:sz w:val="24"/>
          <w:highlight w:val="none"/>
          <w:lang w:bidi="ar"/>
        </w:rPr>
      </w:pPr>
    </w:p>
    <w:p w14:paraId="569CCB9A">
      <w:pPr>
        <w:spacing w:before="156" w:beforeLines="50" w:after="156" w:afterLines="50" w:line="360" w:lineRule="auto"/>
        <w:jc w:val="center"/>
        <w:rPr>
          <w:rFonts w:ascii="Times New Roman" w:hAnsi="Times New Roman" w:eastAsia="宋体" w:cs="Times New Roman"/>
          <w:b/>
          <w:bCs/>
          <w:color w:val="auto"/>
          <w:sz w:val="30"/>
          <w:szCs w:val="30"/>
          <w:highlight w:val="none"/>
        </w:rPr>
      </w:pPr>
      <w:r>
        <w:rPr>
          <w:rFonts w:ascii="Times New Roman" w:hAnsi="Times New Roman" w:eastAsia="宋体" w:cs="Times New Roman"/>
          <w:b/>
          <w:color w:val="auto"/>
          <w:sz w:val="30"/>
          <w:szCs w:val="30"/>
          <w:highlight w:val="none"/>
        </w:rPr>
        <w:t>软弱土地区公路地基处治技术规范</w:t>
      </w:r>
    </w:p>
    <w:p w14:paraId="0FA2B2E3">
      <w:pPr>
        <w:spacing w:before="156" w:beforeLines="50" w:after="156" w:afterLines="50" w:line="360" w:lineRule="auto"/>
        <w:jc w:val="both"/>
        <w:outlineLvl w:val="0"/>
        <w:rPr>
          <w:rFonts w:ascii="Times New Roman" w:hAnsi="Times New Roman" w:eastAsia="宋体" w:cs="Times New Roman"/>
          <w:b/>
          <w:bCs/>
          <w:color w:val="auto"/>
          <w:sz w:val="24"/>
          <w:highlight w:val="none"/>
        </w:rPr>
      </w:pPr>
      <w:bookmarkStart w:id="2" w:name="_Toc170244927"/>
    </w:p>
    <w:p w14:paraId="37C08F43">
      <w:pPr>
        <w:spacing w:before="156" w:beforeLines="50" w:after="156" w:afterLines="50" w:line="360" w:lineRule="auto"/>
        <w:jc w:val="both"/>
        <w:outlineLvl w:val="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 范围</w:t>
      </w:r>
      <w:bookmarkEnd w:id="2"/>
    </w:p>
    <w:p w14:paraId="1D5C05CA">
      <w:pPr>
        <w:spacing w:before="156" w:beforeLines="50" w:after="156" w:afterLines="50" w:line="360" w:lineRule="auto"/>
        <w:jc w:val="both"/>
        <w:outlineLvl w:val="0"/>
        <w:rPr>
          <w:rFonts w:ascii="Times New Roman" w:hAnsi="Times New Roman" w:eastAsia="宋体" w:cs="Times New Roman"/>
          <w:b/>
          <w:bCs/>
          <w:color w:val="auto"/>
          <w:sz w:val="24"/>
          <w:highlight w:val="none"/>
        </w:rPr>
      </w:pPr>
    </w:p>
    <w:p w14:paraId="36C3DEE5">
      <w:pPr>
        <w:spacing w:line="360" w:lineRule="auto"/>
        <w:ind w:firstLine="420" w:firstLineChars="200"/>
        <w:rPr>
          <w:rFonts w:ascii="Times New Roman" w:hAnsi="Times New Roman" w:eastAsia="宋体" w:cs="Times New Roman"/>
          <w:color w:val="auto"/>
          <w:szCs w:val="21"/>
          <w:highlight w:val="none"/>
        </w:rPr>
      </w:pPr>
      <w:bookmarkStart w:id="3" w:name="_Toc170244928"/>
      <w:r>
        <w:rPr>
          <w:rFonts w:ascii="Times New Roman" w:hAnsi="Times New Roman" w:eastAsia="宋体" w:cs="Times New Roman"/>
          <w:color w:val="auto"/>
          <w:szCs w:val="21"/>
          <w:highlight w:val="none"/>
        </w:rPr>
        <w:t>本</w:t>
      </w:r>
      <w:r>
        <w:rPr>
          <w:rFonts w:hint="eastAsia" w:ascii="Times New Roman" w:hAnsi="Times New Roman" w:eastAsia="宋体" w:cs="Times New Roman"/>
          <w:color w:val="auto"/>
          <w:szCs w:val="21"/>
          <w:highlight w:val="none"/>
          <w:lang w:val="en-US" w:eastAsia="zh-CN"/>
        </w:rPr>
        <w:t>文件</w:t>
      </w:r>
      <w:r>
        <w:rPr>
          <w:rFonts w:ascii="Times New Roman" w:hAnsi="Times New Roman" w:eastAsia="宋体" w:cs="Times New Roman"/>
          <w:color w:val="auto"/>
          <w:szCs w:val="21"/>
          <w:highlight w:val="none"/>
        </w:rPr>
        <w:t>规定了河北省境内软弱土地区公路地基处治技术的基本规定、特殊路段软弱土地基设计、公路软弱土地基处治方法和动态监测与沉降预测等。</w:t>
      </w:r>
    </w:p>
    <w:p w14:paraId="1B38906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w:t>
      </w:r>
      <w:r>
        <w:rPr>
          <w:rFonts w:hint="eastAsia" w:ascii="Times New Roman" w:hAnsi="Times New Roman" w:eastAsia="宋体" w:cs="Times New Roman"/>
          <w:color w:val="auto"/>
          <w:szCs w:val="21"/>
          <w:highlight w:val="none"/>
          <w:lang w:val="en-US" w:eastAsia="zh-CN"/>
        </w:rPr>
        <w:t>文件</w:t>
      </w:r>
      <w:r>
        <w:rPr>
          <w:rFonts w:ascii="Times New Roman" w:hAnsi="Times New Roman" w:eastAsia="宋体" w:cs="Times New Roman"/>
          <w:color w:val="auto"/>
          <w:szCs w:val="21"/>
          <w:highlight w:val="none"/>
        </w:rPr>
        <w:t>适用于河北省境内二级及以上新建或改扩建公路工程软弱土地基的勘察、设计、施工、检测和监测，二级以下公路及其它</w:t>
      </w:r>
      <w:r>
        <w:rPr>
          <w:rFonts w:hint="eastAsia" w:ascii="Times New Roman" w:hAnsi="Times New Roman" w:eastAsia="宋体" w:cs="Times New Roman"/>
          <w:color w:val="auto"/>
          <w:szCs w:val="21"/>
          <w:highlight w:val="none"/>
          <w:lang w:val="en-US" w:eastAsia="zh-CN"/>
        </w:rPr>
        <w:t>道路</w:t>
      </w:r>
      <w:r>
        <w:rPr>
          <w:rFonts w:ascii="Times New Roman" w:hAnsi="Times New Roman" w:eastAsia="宋体" w:cs="Times New Roman"/>
          <w:color w:val="auto"/>
          <w:szCs w:val="21"/>
          <w:highlight w:val="none"/>
        </w:rPr>
        <w:t>可参照使用。</w:t>
      </w:r>
    </w:p>
    <w:p w14:paraId="7B311C7C">
      <w:pPr>
        <w:spacing w:before="156" w:beforeLines="50" w:after="156" w:afterLines="50" w:line="360" w:lineRule="auto"/>
        <w:jc w:val="both"/>
        <w:outlineLvl w:val="0"/>
        <w:rPr>
          <w:rFonts w:ascii="Times New Roman" w:hAnsi="Times New Roman" w:eastAsia="宋体" w:cs="Times New Roman"/>
          <w:b/>
          <w:bCs/>
          <w:color w:val="auto"/>
          <w:sz w:val="24"/>
          <w:highlight w:val="none"/>
        </w:rPr>
      </w:pPr>
    </w:p>
    <w:p w14:paraId="588D50C2">
      <w:pPr>
        <w:spacing w:before="156" w:beforeLines="50" w:after="156" w:afterLines="50" w:line="360" w:lineRule="auto"/>
        <w:jc w:val="both"/>
        <w:outlineLvl w:val="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 规范性引用文件</w:t>
      </w:r>
      <w:bookmarkEnd w:id="3"/>
    </w:p>
    <w:p w14:paraId="550B7B17">
      <w:pPr>
        <w:spacing w:before="156" w:beforeLines="50" w:after="156" w:afterLines="50" w:line="360" w:lineRule="auto"/>
        <w:jc w:val="both"/>
        <w:outlineLvl w:val="0"/>
        <w:rPr>
          <w:rFonts w:ascii="Times New Roman" w:hAnsi="Times New Roman" w:eastAsia="宋体" w:cs="Times New Roman"/>
          <w:b/>
          <w:bCs/>
          <w:color w:val="auto"/>
          <w:sz w:val="24"/>
          <w:highlight w:val="none"/>
        </w:rPr>
      </w:pPr>
    </w:p>
    <w:p w14:paraId="115C4A7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下列文件对于本文件的应用是必不可少的。凡是注日期的引用文件，仅所注日期的版本适用于本文件。凡是不注日期的引用文件，其最新版本（包括所有的修改单）适用于本文件。</w:t>
      </w:r>
    </w:p>
    <w:p w14:paraId="6F5E56A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GB 50007 建筑地基基础设计规范</w:t>
      </w:r>
    </w:p>
    <w:p w14:paraId="3804119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JGJ 79 建筑地基处理技术规范</w:t>
      </w:r>
    </w:p>
    <w:p w14:paraId="2D8508E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JGJ</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83</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软土地区岩土工程勘察规程</w:t>
      </w:r>
    </w:p>
    <w:p w14:paraId="70C44BF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JTG C20 公路工程地质勘察规范</w:t>
      </w:r>
    </w:p>
    <w:p w14:paraId="60F6FBD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JTG D30 公路路基设计规范 </w:t>
      </w:r>
    </w:p>
    <w:p w14:paraId="638BCC9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JTG E40 公路土工试验规程 </w:t>
      </w:r>
    </w:p>
    <w:p w14:paraId="163C5125">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JTG E</w:t>
      </w:r>
      <w:r>
        <w:rPr>
          <w:rFonts w:hint="eastAsia" w:ascii="Times New Roman" w:hAnsi="Times New Roman" w:eastAsia="宋体" w:cs="Times New Roman"/>
          <w:color w:val="auto"/>
          <w:szCs w:val="21"/>
          <w:highlight w:val="none"/>
          <w:lang w:val="en-US" w:eastAsia="zh-CN"/>
        </w:rPr>
        <w:t>5</w:t>
      </w:r>
      <w:r>
        <w:rPr>
          <w:rFonts w:ascii="Times New Roman" w:hAnsi="Times New Roman" w:eastAsia="宋体" w:cs="Times New Roman"/>
          <w:color w:val="auto"/>
          <w:szCs w:val="21"/>
          <w:highlight w:val="none"/>
        </w:rPr>
        <w:t>0 公路</w:t>
      </w:r>
      <w:r>
        <w:rPr>
          <w:rFonts w:hint="eastAsia" w:ascii="Times New Roman" w:hAnsi="Times New Roman" w:eastAsia="宋体" w:cs="Times New Roman"/>
          <w:color w:val="auto"/>
          <w:szCs w:val="21"/>
          <w:highlight w:val="none"/>
          <w:lang w:val="en-US" w:eastAsia="zh-CN"/>
        </w:rPr>
        <w:t>工程</w:t>
      </w:r>
      <w:r>
        <w:rPr>
          <w:rFonts w:ascii="Times New Roman" w:hAnsi="Times New Roman" w:eastAsia="宋体" w:cs="Times New Roman"/>
          <w:color w:val="auto"/>
          <w:szCs w:val="21"/>
          <w:highlight w:val="none"/>
        </w:rPr>
        <w:t>土工合成材料试验规程</w:t>
      </w:r>
    </w:p>
    <w:p w14:paraId="55B2320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JTG F10 公路路基施工技术规范 </w:t>
      </w:r>
    </w:p>
    <w:p w14:paraId="57CD43F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JTG F80/1 公路工程质量检验评定标准（第一册 土建工程） </w:t>
      </w:r>
    </w:p>
    <w:p w14:paraId="6271CD70">
      <w:pPr>
        <w:spacing w:line="360" w:lineRule="auto"/>
        <w:ind w:firstLine="420" w:firstLineChars="200"/>
        <w:rPr>
          <w:rFonts w:ascii="Times New Roman" w:hAnsi="Times New Roman" w:eastAsia="宋体" w:cs="Times New Roman"/>
          <w:color w:val="auto"/>
          <w:szCs w:val="21"/>
          <w:highlight w:val="none"/>
        </w:rPr>
      </w:pPr>
      <w:bookmarkStart w:id="4" w:name="_Toc170244929"/>
      <w:r>
        <w:rPr>
          <w:rFonts w:ascii="Times New Roman" w:hAnsi="Times New Roman" w:eastAsia="宋体" w:cs="Times New Roman"/>
          <w:color w:val="auto"/>
          <w:szCs w:val="21"/>
          <w:highlight w:val="none"/>
        </w:rPr>
        <w:t>JTG/T D31 公路软弱土地基路堤设计与施工技术细则</w:t>
      </w:r>
    </w:p>
    <w:p w14:paraId="02092BE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JTG/T D32 公路土工合成材料应用技术规范</w:t>
      </w:r>
    </w:p>
    <w:p w14:paraId="17932BF6">
      <w:pPr>
        <w:keepNext w:val="0"/>
        <w:keepLines w:val="0"/>
        <w:pageBreakBefore w:val="0"/>
        <w:widowControl w:val="0"/>
        <w:kinsoku/>
        <w:wordWrap/>
        <w:overflowPunct/>
        <w:topLinePunct w:val="0"/>
        <w:autoSpaceDE/>
        <w:autoSpaceDN/>
        <w:bidi w:val="0"/>
        <w:adjustRightInd/>
        <w:snapToGrid/>
        <w:spacing w:before="313" w:beforeLines="100" w:after="156" w:afterLines="50" w:line="360" w:lineRule="auto"/>
        <w:jc w:val="both"/>
        <w:textAlignment w:val="auto"/>
        <w:outlineLvl w:val="0"/>
        <w:rPr>
          <w:rFonts w:ascii="Times New Roman" w:hAnsi="Times New Roman" w:eastAsia="宋体" w:cs="Times New Roman"/>
          <w:b/>
          <w:bCs/>
          <w:color w:val="auto"/>
          <w:sz w:val="24"/>
          <w:highlight w:val="none"/>
        </w:rPr>
      </w:pPr>
    </w:p>
    <w:bookmarkEnd w:id="4"/>
    <w:p w14:paraId="1F59C4A9">
      <w:pPr>
        <w:spacing w:before="156" w:beforeLines="50" w:after="156" w:afterLines="50" w:line="360" w:lineRule="auto"/>
        <w:jc w:val="both"/>
        <w:outlineLvl w:val="0"/>
        <w:rPr>
          <w:rFonts w:hint="eastAsia" w:ascii="Times New Roman" w:hAnsi="Times New Roman" w:eastAsia="宋体" w:cs="Times New Roman"/>
          <w:b/>
          <w:bCs/>
          <w:color w:val="auto"/>
          <w:sz w:val="24"/>
          <w:highlight w:val="none"/>
        </w:rPr>
      </w:pPr>
      <w:bookmarkStart w:id="5" w:name="_Toc170244930"/>
    </w:p>
    <w:p w14:paraId="64B5186D">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both"/>
        <w:textAlignment w:val="auto"/>
        <w:outlineLvl w:val="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rPr>
        <w:t>3 术语和</w:t>
      </w:r>
      <w:r>
        <w:rPr>
          <w:rFonts w:hint="eastAsia" w:ascii="Times New Roman" w:hAnsi="Times New Roman" w:eastAsia="宋体" w:cs="Times New Roman"/>
          <w:b/>
          <w:bCs/>
          <w:color w:val="auto"/>
          <w:sz w:val="24"/>
          <w:highlight w:val="none"/>
          <w:lang w:val="en-US" w:eastAsia="zh-CN"/>
        </w:rPr>
        <w:t>符号</w:t>
      </w:r>
    </w:p>
    <w:p w14:paraId="561F5518">
      <w:pPr>
        <w:spacing w:before="156" w:beforeLines="50" w:after="156" w:afterLines="50" w:line="360" w:lineRule="auto"/>
        <w:jc w:val="both"/>
        <w:outlineLvl w:val="0"/>
        <w:rPr>
          <w:rFonts w:hint="eastAsia" w:ascii="Times New Roman" w:hAnsi="Times New Roman" w:eastAsia="宋体" w:cs="Times New Roman"/>
          <w:b/>
          <w:bCs/>
          <w:color w:val="auto"/>
          <w:sz w:val="24"/>
          <w:highlight w:val="none"/>
          <w:lang w:val="en-US" w:eastAsia="zh-CN"/>
        </w:rPr>
      </w:pPr>
    </w:p>
    <w:p w14:paraId="59613A2A">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3.1术语和定义</w:t>
      </w:r>
    </w:p>
    <w:p w14:paraId="54B682A6">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下列</w:t>
      </w:r>
      <w:r>
        <w:rPr>
          <w:rFonts w:ascii="Times New Roman" w:hAnsi="Times New Roman" w:eastAsia="宋体" w:cs="Times New Roman"/>
          <w:color w:val="auto"/>
          <w:szCs w:val="21"/>
          <w:highlight w:val="none"/>
        </w:rPr>
        <w:t>术语和</w:t>
      </w:r>
      <w:r>
        <w:rPr>
          <w:rFonts w:hint="eastAsia" w:ascii="Times New Roman" w:hAnsi="Times New Roman" w:eastAsia="宋体" w:cs="Times New Roman"/>
          <w:color w:val="auto"/>
          <w:szCs w:val="21"/>
          <w:highlight w:val="none"/>
          <w:lang w:val="en-US" w:eastAsia="zh-CN"/>
        </w:rPr>
        <w:t>定义</w:t>
      </w:r>
      <w:r>
        <w:rPr>
          <w:rFonts w:ascii="Times New Roman" w:hAnsi="Times New Roman" w:eastAsia="宋体" w:cs="Times New Roman"/>
          <w:color w:val="auto"/>
          <w:szCs w:val="21"/>
          <w:highlight w:val="none"/>
        </w:rPr>
        <w:t>适用于本文件。</w:t>
      </w:r>
    </w:p>
    <w:p w14:paraId="779E8821">
      <w:pPr>
        <w:spacing w:line="360" w:lineRule="auto"/>
        <w:rPr>
          <w:rFonts w:hint="eastAsia" w:ascii="黑体" w:hAnsi="黑体" w:eastAsia="黑体" w:cs="黑体"/>
          <w:b w:val="0"/>
          <w:bCs w:val="0"/>
          <w:color w:val="auto"/>
          <w:szCs w:val="21"/>
          <w:highlight w:val="none"/>
        </w:rPr>
      </w:pPr>
      <w:bookmarkStart w:id="6" w:name="_Toc4235"/>
      <w:r>
        <w:rPr>
          <w:rFonts w:hint="eastAsia" w:ascii="黑体" w:hAnsi="黑体" w:eastAsia="黑体" w:cs="黑体"/>
          <w:b w:val="0"/>
          <w:bCs w:val="0"/>
          <w:color w:val="auto"/>
          <w:szCs w:val="21"/>
          <w:highlight w:val="none"/>
        </w:rPr>
        <w:t>3.1</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 xml:space="preserve"> </w:t>
      </w:r>
    </w:p>
    <w:p w14:paraId="645EC459">
      <w:pPr>
        <w:spacing w:line="360" w:lineRule="auto"/>
        <w:ind w:firstLine="420" w:firstLineChars="200"/>
        <w:rPr>
          <w:rFonts w:hint="eastAsia" w:ascii="黑体" w:hAnsi="黑体" w:eastAsia="黑体" w:cs="黑体"/>
          <w:b w:val="0"/>
          <w:bCs w:val="0"/>
          <w:color w:val="auto"/>
          <w:szCs w:val="21"/>
          <w:highlight w:val="none"/>
        </w:rPr>
      </w:pPr>
      <w:r>
        <w:rPr>
          <w:rFonts w:hint="eastAsia" w:ascii="黑体" w:hAnsi="黑体" w:eastAsia="黑体" w:cs="黑体"/>
          <w:b w:val="0"/>
          <w:bCs w:val="0"/>
          <w:color w:val="auto"/>
          <w:szCs w:val="21"/>
          <w:highlight w:val="none"/>
        </w:rPr>
        <w:t xml:space="preserve">软弱土    </w:t>
      </w:r>
      <w:r>
        <w:rPr>
          <w:rFonts w:hint="default" w:ascii="Times New Roman" w:hAnsi="Times New Roman" w:eastAsia="黑体" w:cs="Times New Roman"/>
          <w:b/>
          <w:bCs/>
          <w:color w:val="auto"/>
          <w:szCs w:val="21"/>
          <w:highlight w:val="none"/>
        </w:rPr>
        <w:t>weak soil</w:t>
      </w:r>
      <w:bookmarkEnd w:id="6"/>
    </w:p>
    <w:p w14:paraId="19587FCD">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淤泥、淤泥质土和部分冲填土、杂填土及其他高压缩性土</w:t>
      </w:r>
      <w:r>
        <w:rPr>
          <w:rFonts w:hint="eastAsia" w:ascii="Times New Roman" w:hAnsi="Times New Roman" w:eastAsia="宋体" w:cs="Times New Roman"/>
          <w:b w:val="0"/>
          <w:bCs w:val="0"/>
          <w:color w:val="auto"/>
          <w:szCs w:val="21"/>
          <w:highlight w:val="none"/>
          <w:lang w:eastAsia="zh-CN"/>
        </w:rPr>
        <w:t>，</w:t>
      </w:r>
      <w:r>
        <w:rPr>
          <w:rFonts w:ascii="Times New Roman" w:hAnsi="Times New Roman" w:eastAsia="宋体" w:cs="Times New Roman"/>
          <w:b w:val="0"/>
          <w:bCs w:val="0"/>
          <w:color w:val="auto"/>
          <w:szCs w:val="21"/>
          <w:highlight w:val="none"/>
        </w:rPr>
        <w:t>具有天然含水量高、天然孔隙比大、抗剪强度低、压缩系数高、渗透系数小等特性。</w:t>
      </w:r>
    </w:p>
    <w:p w14:paraId="629B871A">
      <w:pPr>
        <w:spacing w:line="360" w:lineRule="auto"/>
        <w:rPr>
          <w:rFonts w:hint="eastAsia" w:ascii="黑体" w:hAnsi="黑体" w:eastAsia="黑体" w:cs="黑体"/>
          <w:b w:val="0"/>
          <w:bCs w:val="0"/>
          <w:color w:val="auto"/>
          <w:szCs w:val="21"/>
          <w:highlight w:val="none"/>
        </w:rPr>
      </w:pPr>
      <w:bookmarkStart w:id="7" w:name="_Toc18191"/>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 xml:space="preserve">2 </w:t>
      </w:r>
    </w:p>
    <w:bookmarkEnd w:id="7"/>
    <w:p w14:paraId="4F84797F">
      <w:pPr>
        <w:spacing w:line="360" w:lineRule="auto"/>
        <w:ind w:firstLine="420" w:firstLineChars="200"/>
        <w:rPr>
          <w:rFonts w:hint="default" w:ascii="Times New Roman" w:hAnsi="Times New Roman" w:eastAsia="黑体" w:cs="Times New Roman"/>
          <w:b/>
          <w:bCs/>
          <w:color w:val="auto"/>
          <w:szCs w:val="21"/>
          <w:highlight w:val="none"/>
        </w:rPr>
      </w:pPr>
      <w:r>
        <w:rPr>
          <w:rFonts w:hint="eastAsia" w:ascii="黑体" w:hAnsi="黑体" w:eastAsia="黑体" w:cs="黑体"/>
          <w:b w:val="0"/>
          <w:bCs w:val="0"/>
          <w:color w:val="auto"/>
          <w:szCs w:val="21"/>
          <w:highlight w:val="none"/>
        </w:rPr>
        <w:t>软土层</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soft soil layer</w:t>
      </w:r>
    </w:p>
    <w:p w14:paraId="58F24B56">
      <w:pPr>
        <w:spacing w:line="360" w:lineRule="auto"/>
        <w:ind w:firstLine="420" w:firstLineChars="200"/>
        <w:rPr>
          <w:rFonts w:hint="default" w:ascii="Times New Roman" w:hAnsi="Times New Roman" w:eastAsia="黑体" w:cs="Times New Roman"/>
          <w:b/>
          <w:bCs/>
          <w:color w:val="auto"/>
          <w:szCs w:val="21"/>
          <w:highlight w:val="none"/>
        </w:rPr>
      </w:pPr>
      <w:r>
        <w:rPr>
          <w:rFonts w:ascii="Times New Roman" w:hAnsi="Times New Roman" w:eastAsia="宋体" w:cs="Times New Roman"/>
          <w:b w:val="0"/>
          <w:bCs w:val="0"/>
          <w:color w:val="auto"/>
          <w:szCs w:val="21"/>
          <w:highlight w:val="none"/>
        </w:rPr>
        <w:t>未经处治其承载能力和稳定性不满足路基与构筑物地基稳定和变形要求的土层。</w:t>
      </w:r>
    </w:p>
    <w:p w14:paraId="2B35C981">
      <w:pPr>
        <w:spacing w:line="360" w:lineRule="auto"/>
        <w:rPr>
          <w:rFonts w:hint="eastAsia" w:ascii="黑体" w:hAnsi="黑体" w:eastAsia="黑体" w:cs="黑体"/>
          <w:b w:val="0"/>
          <w:bCs w:val="0"/>
          <w:color w:val="auto"/>
          <w:szCs w:val="21"/>
          <w:highlight w:val="none"/>
        </w:rPr>
      </w:pPr>
      <w:bookmarkStart w:id="8" w:name="_Toc9437"/>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1.3</w:t>
      </w:r>
      <w:r>
        <w:rPr>
          <w:rFonts w:hint="eastAsia" w:ascii="黑体" w:hAnsi="黑体" w:eastAsia="黑体" w:cs="黑体"/>
          <w:b w:val="0"/>
          <w:bCs w:val="0"/>
          <w:color w:val="auto"/>
          <w:szCs w:val="21"/>
          <w:highlight w:val="none"/>
        </w:rPr>
        <w:t xml:space="preserve"> </w:t>
      </w:r>
    </w:p>
    <w:p w14:paraId="12CDF1B9">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黑体" w:hAnsi="黑体" w:eastAsia="黑体" w:cs="黑体"/>
          <w:b w:val="0"/>
          <w:bCs w:val="0"/>
          <w:color w:val="auto"/>
          <w:szCs w:val="21"/>
          <w:highlight w:val="none"/>
        </w:rPr>
        <w:t>软弱土地基</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soft ground</w:t>
      </w:r>
      <w:bookmarkEnd w:id="8"/>
    </w:p>
    <w:p w14:paraId="41EEBB14">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主要由淤泥、淤泥质土、冲填土、杂填土或其他高压缩性土层构成的地基。</w:t>
      </w:r>
    </w:p>
    <w:p w14:paraId="7890C11B">
      <w:pPr>
        <w:spacing w:line="360" w:lineRule="auto"/>
        <w:rPr>
          <w:rFonts w:hint="eastAsia" w:ascii="黑体" w:hAnsi="黑体" w:eastAsia="黑体" w:cs="黑体"/>
          <w:b w:val="0"/>
          <w:bCs w:val="0"/>
          <w:color w:val="auto"/>
          <w:szCs w:val="21"/>
          <w:highlight w:val="none"/>
          <w:lang w:eastAsia="zh-CN"/>
        </w:rPr>
      </w:pPr>
      <w:bookmarkStart w:id="9" w:name="_Toc256"/>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1.4</w:t>
      </w:r>
    </w:p>
    <w:bookmarkEnd w:id="9"/>
    <w:p w14:paraId="351064EB">
      <w:pPr>
        <w:spacing w:line="360" w:lineRule="auto"/>
        <w:ind w:firstLine="420" w:firstLineChars="200"/>
        <w:rPr>
          <w:rFonts w:ascii="Times New Roman" w:hAnsi="Times New Roman" w:eastAsia="宋体" w:cs="Times New Roman"/>
          <w:b w:val="0"/>
          <w:bCs w:val="0"/>
          <w:color w:val="auto"/>
          <w:szCs w:val="21"/>
          <w:highlight w:val="none"/>
        </w:rPr>
      </w:pPr>
      <w:bookmarkStart w:id="10" w:name="_Toc6127"/>
      <w:r>
        <w:rPr>
          <w:rFonts w:hint="eastAsia" w:ascii="黑体" w:hAnsi="黑体" w:eastAsia="黑体" w:cs="黑体"/>
          <w:b w:val="0"/>
          <w:bCs w:val="0"/>
          <w:color w:val="auto"/>
          <w:szCs w:val="21"/>
          <w:highlight w:val="none"/>
        </w:rPr>
        <w:t>复合式换填</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 xml:space="preserve">compound </w:t>
      </w:r>
      <w:bookmarkEnd w:id="10"/>
      <w:r>
        <w:rPr>
          <w:rFonts w:hint="default" w:ascii="Times New Roman" w:hAnsi="Times New Roman" w:eastAsia="黑体" w:cs="Times New Roman"/>
          <w:b/>
          <w:bCs/>
          <w:color w:val="auto"/>
          <w:szCs w:val="21"/>
          <w:highlight w:val="none"/>
        </w:rPr>
        <w:t>replacement</w:t>
      </w:r>
    </w:p>
    <w:p w14:paraId="597F5004">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由巨粒土和粗粒土按照一定厚度和顺序分层压实的软弱土地基换填方式。</w:t>
      </w:r>
    </w:p>
    <w:p w14:paraId="46A4A3F2">
      <w:pPr>
        <w:spacing w:line="360" w:lineRule="auto"/>
        <w:rPr>
          <w:rFonts w:hint="eastAsia" w:ascii="黑体" w:hAnsi="黑体" w:eastAsia="黑体" w:cs="黑体"/>
          <w:b w:val="0"/>
          <w:bCs w:val="0"/>
          <w:color w:val="auto"/>
          <w:szCs w:val="21"/>
          <w:highlight w:val="none"/>
        </w:rPr>
      </w:pPr>
      <w:bookmarkStart w:id="11" w:name="_Toc20615"/>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1.5</w:t>
      </w:r>
      <w:r>
        <w:rPr>
          <w:rFonts w:hint="eastAsia" w:ascii="黑体" w:hAnsi="黑体" w:eastAsia="黑体" w:cs="黑体"/>
          <w:b w:val="0"/>
          <w:bCs w:val="0"/>
          <w:color w:val="auto"/>
          <w:szCs w:val="21"/>
          <w:highlight w:val="none"/>
        </w:rPr>
        <w:t xml:space="preserve"> </w:t>
      </w:r>
    </w:p>
    <w:p w14:paraId="43493BA3">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黑体" w:hAnsi="黑体" w:eastAsia="黑体" w:cs="黑体"/>
          <w:b w:val="0"/>
          <w:bCs w:val="0"/>
          <w:color w:val="auto"/>
          <w:szCs w:val="21"/>
          <w:highlight w:val="none"/>
        </w:rPr>
        <w:t>强夯置换法</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dynamic replacement</w:t>
      </w:r>
      <w:bookmarkEnd w:id="11"/>
    </w:p>
    <w:p w14:paraId="672F8385">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利用强夯施工方法，将巨粒或粗粒土挤入软弱土地基中以加固地基的一种软弱土地基处治方法。</w:t>
      </w:r>
    </w:p>
    <w:p w14:paraId="6C4F9D14">
      <w:pPr>
        <w:spacing w:line="360" w:lineRule="auto"/>
        <w:rPr>
          <w:rFonts w:hint="eastAsia" w:ascii="黑体" w:hAnsi="黑体" w:eastAsia="黑体" w:cs="黑体"/>
          <w:b w:val="0"/>
          <w:bCs w:val="0"/>
          <w:color w:val="auto"/>
          <w:szCs w:val="21"/>
          <w:highlight w:val="none"/>
        </w:rPr>
      </w:pPr>
      <w:bookmarkStart w:id="12" w:name="_Toc28737"/>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1.6</w:t>
      </w:r>
      <w:r>
        <w:rPr>
          <w:rFonts w:hint="eastAsia" w:ascii="黑体" w:hAnsi="黑体" w:eastAsia="黑体" w:cs="黑体"/>
          <w:b w:val="0"/>
          <w:bCs w:val="0"/>
          <w:color w:val="auto"/>
          <w:szCs w:val="21"/>
          <w:highlight w:val="none"/>
        </w:rPr>
        <w:t xml:space="preserve"> </w:t>
      </w:r>
    </w:p>
    <w:p w14:paraId="6AB45CD8">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黑体" w:hAnsi="黑体" w:eastAsia="黑体" w:cs="黑体"/>
          <w:b w:val="0"/>
          <w:bCs w:val="0"/>
          <w:color w:val="auto"/>
          <w:szCs w:val="21"/>
          <w:highlight w:val="none"/>
        </w:rPr>
        <w:t>复合地基</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composite foundation</w:t>
      </w:r>
      <w:bookmarkEnd w:id="12"/>
    </w:p>
    <w:p w14:paraId="0C4CA908">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天然地基在地基处治过程中，部分土体得到增强，或被置换，由天然地基土体和桩体两部分组成共同承担荷载的人工地基。根据桩体材</w:t>
      </w:r>
      <w:r>
        <w:rPr>
          <w:rFonts w:hint="eastAsia" w:ascii="Times New Roman" w:hAnsi="Times New Roman" w:eastAsia="宋体" w:cs="Times New Roman"/>
          <w:b w:val="0"/>
          <w:bCs w:val="0"/>
          <w:color w:val="auto"/>
          <w:szCs w:val="21"/>
          <w:highlight w:val="none"/>
          <w:lang w:val="en-US" w:eastAsia="zh-CN"/>
        </w:rPr>
        <w:t>料</w:t>
      </w:r>
      <w:r>
        <w:rPr>
          <w:rFonts w:ascii="Times New Roman" w:hAnsi="Times New Roman" w:eastAsia="宋体" w:cs="Times New Roman"/>
          <w:b w:val="0"/>
          <w:bCs w:val="0"/>
          <w:color w:val="auto"/>
          <w:szCs w:val="21"/>
          <w:highlight w:val="none"/>
        </w:rPr>
        <w:t>特性的不同，可分为粒料桩复合地基、加固土桩复合地基和刚性桩复合地基。</w:t>
      </w:r>
    </w:p>
    <w:p w14:paraId="1934B30A">
      <w:pPr>
        <w:spacing w:line="360" w:lineRule="auto"/>
        <w:rPr>
          <w:rFonts w:hint="default" w:ascii="黑体" w:hAnsi="黑体" w:eastAsia="黑体" w:cs="黑体"/>
          <w:b w:val="0"/>
          <w:bCs w:val="0"/>
          <w:color w:val="auto"/>
          <w:szCs w:val="21"/>
          <w:highlight w:val="none"/>
          <w:lang w:val="en-US" w:eastAsia="zh-CN"/>
        </w:rPr>
      </w:pPr>
      <w:bookmarkStart w:id="13" w:name="_Toc12158"/>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1.7</w:t>
      </w:r>
    </w:p>
    <w:p w14:paraId="64DB9099">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黑体" w:hAnsi="黑体" w:eastAsia="黑体" w:cs="黑体"/>
          <w:b w:val="0"/>
          <w:bCs w:val="0"/>
          <w:color w:val="auto"/>
          <w:szCs w:val="21"/>
          <w:highlight w:val="none"/>
        </w:rPr>
        <w:t>振冲粒料桩</w:t>
      </w:r>
      <w:r>
        <w:rPr>
          <w:rFonts w:ascii="Times New Roman" w:hAnsi="Times New Roman" w:eastAsia="宋体" w:cs="Times New Roman"/>
          <w:b w:val="0"/>
          <w:bCs w:val="0"/>
          <w:color w:val="auto"/>
          <w:szCs w:val="21"/>
          <w:highlight w:val="none"/>
        </w:rPr>
        <w:t xml:space="preserve">    </w:t>
      </w:r>
      <w:r>
        <w:rPr>
          <w:rFonts w:hint="eastAsia" w:ascii="Times New Roman" w:hAnsi="Times New Roman" w:eastAsia="黑体" w:cs="Times New Roman"/>
          <w:b/>
          <w:bCs/>
          <w:color w:val="auto"/>
          <w:szCs w:val="21"/>
          <w:highlight w:val="none"/>
          <w:lang w:val="en-US" w:eastAsia="zh-CN"/>
        </w:rPr>
        <w:t>v</w:t>
      </w:r>
      <w:r>
        <w:rPr>
          <w:rFonts w:hint="default" w:ascii="Times New Roman" w:hAnsi="Times New Roman" w:eastAsia="黑体" w:cs="Times New Roman"/>
          <w:b/>
          <w:bCs/>
          <w:color w:val="auto"/>
          <w:szCs w:val="21"/>
          <w:highlight w:val="none"/>
        </w:rPr>
        <w:t>ibration-impact granular pile</w:t>
      </w:r>
      <w:bookmarkEnd w:id="13"/>
    </w:p>
    <w:p w14:paraId="1AFD525B">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采用一定功率的振冲器振动成孔，充填碎石、卵石、圆砾、砂砾等硬质松散材</w:t>
      </w:r>
      <w:r>
        <w:rPr>
          <w:rFonts w:hint="eastAsia" w:ascii="Times New Roman" w:hAnsi="Times New Roman" w:eastAsia="宋体" w:cs="Times New Roman"/>
          <w:b w:val="0"/>
          <w:bCs w:val="0"/>
          <w:color w:val="auto"/>
          <w:szCs w:val="21"/>
          <w:highlight w:val="none"/>
          <w:lang w:val="en-US" w:eastAsia="zh-CN"/>
        </w:rPr>
        <w:t>料</w:t>
      </w:r>
      <w:r>
        <w:rPr>
          <w:rFonts w:ascii="Times New Roman" w:hAnsi="Times New Roman" w:eastAsia="宋体" w:cs="Times New Roman"/>
          <w:b w:val="0"/>
          <w:bCs w:val="0"/>
          <w:color w:val="auto"/>
          <w:szCs w:val="21"/>
          <w:highlight w:val="none"/>
        </w:rPr>
        <w:t>形成的桩体。</w:t>
      </w:r>
    </w:p>
    <w:p w14:paraId="25006470">
      <w:pPr>
        <w:spacing w:line="360" w:lineRule="auto"/>
        <w:rPr>
          <w:rFonts w:hint="eastAsia" w:ascii="黑体" w:hAnsi="黑体" w:eastAsia="黑体" w:cs="黑体"/>
          <w:b w:val="0"/>
          <w:bCs w:val="0"/>
          <w:color w:val="auto"/>
          <w:szCs w:val="21"/>
          <w:highlight w:val="none"/>
        </w:rPr>
      </w:pPr>
      <w:bookmarkStart w:id="14" w:name="_Toc26040"/>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1.8</w:t>
      </w:r>
      <w:r>
        <w:rPr>
          <w:rFonts w:hint="eastAsia" w:ascii="黑体" w:hAnsi="黑体" w:eastAsia="黑体" w:cs="黑体"/>
          <w:b w:val="0"/>
          <w:bCs w:val="0"/>
          <w:color w:val="auto"/>
          <w:szCs w:val="21"/>
          <w:highlight w:val="none"/>
        </w:rPr>
        <w:t xml:space="preserve"> </w:t>
      </w:r>
    </w:p>
    <w:p w14:paraId="384E0B2E">
      <w:pPr>
        <w:spacing w:line="360" w:lineRule="auto"/>
        <w:ind w:firstLine="420" w:firstLineChars="200"/>
        <w:rPr>
          <w:rFonts w:hint="default" w:ascii="Times New Roman" w:hAnsi="Times New Roman" w:eastAsia="黑体" w:cs="Times New Roman"/>
          <w:b/>
          <w:bCs/>
          <w:color w:val="auto"/>
          <w:szCs w:val="21"/>
          <w:highlight w:val="none"/>
        </w:rPr>
      </w:pPr>
      <w:r>
        <w:rPr>
          <w:rFonts w:hint="eastAsia" w:ascii="黑体" w:hAnsi="黑体" w:eastAsia="黑体" w:cs="黑体"/>
          <w:b w:val="0"/>
          <w:bCs w:val="0"/>
          <w:color w:val="auto"/>
          <w:szCs w:val="21"/>
          <w:highlight w:val="none"/>
        </w:rPr>
        <w:t xml:space="preserve">加固土桩 </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 xml:space="preserve"> solidified soil column</w:t>
      </w:r>
      <w:bookmarkEnd w:id="14"/>
    </w:p>
    <w:p w14:paraId="5E0E3FD2">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采用具有钻进、回转、喷浆（粉）与搅拌功能的机械在软弱土地基中将软弱土与水泥、石灰、</w:t>
      </w:r>
      <w:r>
        <w:rPr>
          <w:rFonts w:ascii="Times New Roman" w:hAnsi="Times New Roman" w:eastAsia="宋体" w:cs="Times New Roman"/>
          <w:b w:val="0"/>
          <w:bCs w:val="0"/>
          <w:color w:val="auto"/>
          <w:szCs w:val="21"/>
          <w:highlight w:val="none"/>
        </w:rPr>
        <w:t>粉</w:t>
      </w:r>
      <w:r>
        <w:rPr>
          <w:rFonts w:hint="eastAsia" w:ascii="Times New Roman" w:hAnsi="Times New Roman" w:eastAsia="宋体" w:cs="Times New Roman"/>
          <w:b w:val="0"/>
          <w:bCs w:val="0"/>
          <w:color w:val="auto"/>
          <w:szCs w:val="21"/>
          <w:highlight w:val="none"/>
          <w:lang w:val="en-US" w:eastAsia="zh-CN"/>
        </w:rPr>
        <w:t>煤</w:t>
      </w:r>
      <w:r>
        <w:rPr>
          <w:rFonts w:ascii="Times New Roman" w:hAnsi="Times New Roman" w:eastAsia="宋体" w:cs="Times New Roman"/>
          <w:b w:val="0"/>
          <w:bCs w:val="0"/>
          <w:color w:val="auto"/>
          <w:szCs w:val="21"/>
          <w:highlight w:val="none"/>
        </w:rPr>
        <w:t>灰</w:t>
      </w:r>
      <w:r>
        <w:rPr>
          <w:rFonts w:ascii="Times New Roman" w:hAnsi="Times New Roman" w:eastAsia="宋体" w:cs="Times New Roman"/>
          <w:b w:val="0"/>
          <w:bCs w:val="0"/>
          <w:color w:val="auto"/>
          <w:szCs w:val="21"/>
          <w:highlight w:val="none"/>
        </w:rPr>
        <w:t>及外加剂等材料混合搅拌形成的有一定长度、直径和强度的桩体。</w:t>
      </w:r>
    </w:p>
    <w:p w14:paraId="7FF62BCC">
      <w:pPr>
        <w:spacing w:line="360" w:lineRule="auto"/>
        <w:rPr>
          <w:rFonts w:hint="eastAsia" w:ascii="黑体" w:hAnsi="黑体" w:eastAsia="黑体" w:cs="黑体"/>
          <w:b w:val="0"/>
          <w:bCs w:val="0"/>
          <w:color w:val="auto"/>
          <w:szCs w:val="21"/>
          <w:highlight w:val="none"/>
        </w:rPr>
      </w:pPr>
      <w:bookmarkStart w:id="15" w:name="_Toc14756"/>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1.9</w:t>
      </w:r>
      <w:r>
        <w:rPr>
          <w:rFonts w:hint="eastAsia" w:ascii="黑体" w:hAnsi="黑体" w:eastAsia="黑体" w:cs="黑体"/>
          <w:b w:val="0"/>
          <w:bCs w:val="0"/>
          <w:color w:val="auto"/>
          <w:szCs w:val="21"/>
          <w:highlight w:val="none"/>
        </w:rPr>
        <w:t xml:space="preserve"> </w:t>
      </w:r>
    </w:p>
    <w:p w14:paraId="2F8276D1">
      <w:pPr>
        <w:spacing w:line="360" w:lineRule="auto"/>
        <w:ind w:firstLine="420" w:firstLineChars="200"/>
        <w:rPr>
          <w:rFonts w:hint="default" w:ascii="Times New Roman" w:hAnsi="Times New Roman" w:eastAsia="黑体" w:cs="Times New Roman"/>
          <w:b/>
          <w:bCs/>
          <w:color w:val="auto"/>
          <w:szCs w:val="21"/>
          <w:highlight w:val="none"/>
        </w:rPr>
      </w:pPr>
      <w:r>
        <w:rPr>
          <w:rFonts w:hint="eastAsia" w:ascii="黑体" w:hAnsi="黑体" w:eastAsia="黑体" w:cs="黑体"/>
          <w:b w:val="0"/>
          <w:bCs w:val="0"/>
          <w:color w:val="auto"/>
          <w:szCs w:val="21"/>
          <w:highlight w:val="none"/>
        </w:rPr>
        <w:t>素混凝土桩</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 xml:space="preserve"> plain concrete pile</w:t>
      </w:r>
      <w:bookmarkEnd w:id="15"/>
    </w:p>
    <w:p w14:paraId="536901ED">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采用一定比例的水泥、碎石、砂等混合</w:t>
      </w:r>
      <w:r>
        <w:rPr>
          <w:rFonts w:hint="eastAsia" w:ascii="Times New Roman" w:hAnsi="Times New Roman" w:eastAsia="宋体" w:cs="Times New Roman"/>
          <w:b w:val="0"/>
          <w:bCs w:val="0"/>
          <w:color w:val="auto"/>
          <w:szCs w:val="21"/>
          <w:highlight w:val="none"/>
          <w:lang w:val="en-US" w:eastAsia="zh-CN"/>
        </w:rPr>
        <w:t>料</w:t>
      </w:r>
      <w:r>
        <w:rPr>
          <w:rFonts w:ascii="Times New Roman" w:hAnsi="Times New Roman" w:eastAsia="宋体" w:cs="Times New Roman"/>
          <w:b w:val="0"/>
          <w:bCs w:val="0"/>
          <w:color w:val="auto"/>
          <w:szCs w:val="21"/>
          <w:highlight w:val="none"/>
        </w:rPr>
        <w:t>，不配置钢筋，现场灌注而成的桩，混凝土的强度等级宜在C15</w:t>
      </w:r>
      <w:r>
        <w:rPr>
          <w:rFonts w:hint="eastAsia" w:ascii="Times New Roman" w:hAnsi="Times New Roman" w:eastAsia="微软雅黑" w:cs="Times New Roman"/>
          <w:b w:val="0"/>
          <w:bCs w:val="0"/>
          <w:color w:val="auto"/>
          <w:szCs w:val="21"/>
          <w:highlight w:val="none"/>
          <w:lang w:eastAsia="zh-CN"/>
        </w:rPr>
        <w:t>～</w:t>
      </w:r>
      <w:r>
        <w:rPr>
          <w:rFonts w:ascii="Times New Roman" w:hAnsi="Times New Roman" w:eastAsia="宋体" w:cs="Times New Roman"/>
          <w:b w:val="0"/>
          <w:bCs w:val="0"/>
          <w:color w:val="auto"/>
          <w:szCs w:val="21"/>
          <w:highlight w:val="none"/>
        </w:rPr>
        <w:t>C25之间。</w:t>
      </w:r>
    </w:p>
    <w:p w14:paraId="7CDAFC31">
      <w:pPr>
        <w:spacing w:line="360" w:lineRule="auto"/>
        <w:rPr>
          <w:rFonts w:hint="eastAsia" w:ascii="黑体" w:hAnsi="黑体" w:eastAsia="黑体" w:cs="黑体"/>
          <w:b w:val="0"/>
          <w:bCs w:val="0"/>
          <w:color w:val="auto"/>
          <w:szCs w:val="21"/>
          <w:highlight w:val="none"/>
        </w:rPr>
      </w:pPr>
      <w:bookmarkStart w:id="16" w:name="_Toc8897"/>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1</w:t>
      </w:r>
      <w:r>
        <w:rPr>
          <w:rFonts w:hint="eastAsia" w:ascii="黑体" w:hAnsi="黑体" w:eastAsia="黑体" w:cs="黑体"/>
          <w:b w:val="0"/>
          <w:bCs w:val="0"/>
          <w:color w:val="auto"/>
          <w:szCs w:val="21"/>
          <w:highlight w:val="none"/>
          <w:lang w:val="en-US" w:eastAsia="zh-CN"/>
        </w:rPr>
        <w:t>0</w:t>
      </w:r>
      <w:r>
        <w:rPr>
          <w:rFonts w:hint="eastAsia" w:ascii="黑体" w:hAnsi="黑体" w:eastAsia="黑体" w:cs="黑体"/>
          <w:b w:val="0"/>
          <w:bCs w:val="0"/>
          <w:color w:val="auto"/>
          <w:szCs w:val="21"/>
          <w:highlight w:val="none"/>
        </w:rPr>
        <w:t xml:space="preserve"> </w:t>
      </w:r>
    </w:p>
    <w:p w14:paraId="60349FF4">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黑体" w:hAnsi="黑体" w:eastAsia="黑体" w:cs="黑体"/>
          <w:b w:val="0"/>
          <w:bCs w:val="0"/>
          <w:color w:val="auto"/>
          <w:szCs w:val="21"/>
          <w:highlight w:val="none"/>
        </w:rPr>
        <w:t>水泥粉煤灰碎石桩(CFG桩）</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 xml:space="preserve"> cement fly ash gravel pile</w:t>
      </w:r>
      <w:bookmarkEnd w:id="16"/>
    </w:p>
    <w:p w14:paraId="7CEF6331">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采用一定比例的水泥、粉煤灰、碎石以及石屑混合料，现场灌注而成的桩体，强度宜在5.0MPa</w:t>
      </w:r>
      <w:r>
        <w:rPr>
          <w:rFonts w:hint="eastAsia" w:ascii="Times New Roman" w:hAnsi="Times New Roman" w:eastAsia="微软雅黑" w:cs="Times New Roman"/>
          <w:b w:val="0"/>
          <w:bCs w:val="0"/>
          <w:color w:val="auto"/>
          <w:szCs w:val="21"/>
          <w:highlight w:val="none"/>
          <w:lang w:eastAsia="zh-CN"/>
        </w:rPr>
        <w:t>～</w:t>
      </w:r>
      <w:r>
        <w:rPr>
          <w:rFonts w:ascii="Times New Roman" w:hAnsi="Times New Roman" w:eastAsia="宋体" w:cs="Times New Roman"/>
          <w:b w:val="0"/>
          <w:bCs w:val="0"/>
          <w:color w:val="auto"/>
          <w:szCs w:val="21"/>
          <w:highlight w:val="none"/>
        </w:rPr>
        <w:t>25.0MPa之间。</w:t>
      </w:r>
    </w:p>
    <w:p w14:paraId="24AC5B01">
      <w:pPr>
        <w:spacing w:line="360" w:lineRule="auto"/>
        <w:rPr>
          <w:rFonts w:hint="eastAsia" w:ascii="黑体" w:hAnsi="黑体" w:eastAsia="黑体" w:cs="黑体"/>
          <w:b w:val="0"/>
          <w:bCs w:val="0"/>
          <w:color w:val="auto"/>
          <w:szCs w:val="21"/>
          <w:highlight w:val="none"/>
        </w:rPr>
      </w:pPr>
      <w:bookmarkStart w:id="17" w:name="_Toc7864"/>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1</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 xml:space="preserve"> </w:t>
      </w:r>
    </w:p>
    <w:p w14:paraId="1EA02EF1">
      <w:pPr>
        <w:spacing w:line="360" w:lineRule="auto"/>
        <w:ind w:firstLine="420" w:firstLineChars="200"/>
        <w:rPr>
          <w:rFonts w:hint="default" w:ascii="Times New Roman" w:hAnsi="Times New Roman" w:eastAsia="黑体" w:cs="Times New Roman"/>
          <w:b/>
          <w:bCs/>
          <w:color w:val="auto"/>
          <w:szCs w:val="21"/>
          <w:highlight w:val="none"/>
        </w:rPr>
      </w:pPr>
      <w:r>
        <w:rPr>
          <w:rFonts w:hint="eastAsia" w:ascii="黑体" w:hAnsi="黑体" w:eastAsia="黑体" w:cs="黑体"/>
          <w:b w:val="0"/>
          <w:bCs w:val="0"/>
          <w:color w:val="auto"/>
          <w:szCs w:val="21"/>
          <w:highlight w:val="none"/>
        </w:rPr>
        <w:t>刚性桩</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rigid pile</w:t>
      </w:r>
      <w:bookmarkEnd w:id="17"/>
    </w:p>
    <w:p w14:paraId="0B25395E">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桩身抗压强度大于10MPa的桩，包括素混凝土桩、水泥粉煤灰碎石桩（CFG桩）、预应力混凝土管桩、预制混凝土桩、钻孔灌注桩等。</w:t>
      </w:r>
    </w:p>
    <w:p w14:paraId="48E92E20">
      <w:pPr>
        <w:spacing w:line="360" w:lineRule="auto"/>
        <w:rPr>
          <w:rFonts w:hint="eastAsia" w:ascii="黑体" w:hAnsi="黑体" w:eastAsia="黑体" w:cs="黑体"/>
          <w:b w:val="0"/>
          <w:bCs w:val="0"/>
          <w:color w:val="auto"/>
          <w:szCs w:val="21"/>
          <w:highlight w:val="none"/>
        </w:rPr>
      </w:pPr>
      <w:bookmarkStart w:id="18" w:name="_Toc4890"/>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1</w:t>
      </w:r>
      <w:r>
        <w:rPr>
          <w:rFonts w:hint="eastAsia" w:ascii="黑体" w:hAnsi="黑体" w:eastAsia="黑体" w:cs="黑体"/>
          <w:b w:val="0"/>
          <w:bCs w:val="0"/>
          <w:color w:val="auto"/>
          <w:szCs w:val="21"/>
          <w:highlight w:val="none"/>
          <w:lang w:val="en-US" w:eastAsia="zh-CN"/>
        </w:rPr>
        <w:t>2</w:t>
      </w:r>
      <w:r>
        <w:rPr>
          <w:rFonts w:hint="eastAsia" w:ascii="黑体" w:hAnsi="黑体" w:eastAsia="黑体" w:cs="黑体"/>
          <w:b w:val="0"/>
          <w:bCs w:val="0"/>
          <w:color w:val="auto"/>
          <w:szCs w:val="21"/>
          <w:highlight w:val="none"/>
        </w:rPr>
        <w:t xml:space="preserve"> </w:t>
      </w:r>
    </w:p>
    <w:p w14:paraId="4E05BF4C">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黑体" w:hAnsi="黑体" w:eastAsia="黑体" w:cs="黑体"/>
          <w:b w:val="0"/>
          <w:bCs w:val="0"/>
          <w:color w:val="auto"/>
          <w:szCs w:val="21"/>
          <w:highlight w:val="none"/>
        </w:rPr>
        <w:t>充盈系数</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filling coefficient</w:t>
      </w:r>
      <w:bookmarkEnd w:id="18"/>
    </w:p>
    <w:p w14:paraId="0994A6CB">
      <w:pPr>
        <w:spacing w:line="360" w:lineRule="auto"/>
        <w:ind w:firstLine="420" w:firstLineChars="200"/>
        <w:rPr>
          <w:rFonts w:ascii="Times New Roman" w:hAnsi="Times New Roman" w:eastAsia="宋体" w:cs="Times New Roman"/>
          <w:b w:val="0"/>
          <w:bCs w:val="0"/>
          <w:color w:val="auto"/>
          <w:szCs w:val="21"/>
          <w:highlight w:val="none"/>
        </w:rPr>
      </w:pPr>
      <w:r>
        <w:rPr>
          <w:rFonts w:ascii="Times New Roman" w:hAnsi="Times New Roman" w:eastAsia="宋体" w:cs="Times New Roman"/>
          <w:b w:val="0"/>
          <w:bCs w:val="0"/>
          <w:color w:val="auto"/>
          <w:szCs w:val="21"/>
          <w:highlight w:val="none"/>
        </w:rPr>
        <w:t>一根粒</w:t>
      </w:r>
      <w:r>
        <w:rPr>
          <w:rFonts w:hint="eastAsia" w:ascii="Times New Roman" w:hAnsi="Times New Roman" w:eastAsia="宋体" w:cs="Times New Roman"/>
          <w:b w:val="0"/>
          <w:bCs w:val="0"/>
          <w:color w:val="auto"/>
          <w:szCs w:val="21"/>
          <w:highlight w:val="none"/>
          <w:lang w:val="en-US" w:eastAsia="zh-CN"/>
        </w:rPr>
        <w:t>料</w:t>
      </w:r>
      <w:r>
        <w:rPr>
          <w:rFonts w:ascii="Times New Roman" w:hAnsi="Times New Roman" w:eastAsia="宋体" w:cs="Times New Roman"/>
          <w:b w:val="0"/>
          <w:bCs w:val="0"/>
          <w:color w:val="auto"/>
          <w:szCs w:val="21"/>
          <w:highlight w:val="none"/>
        </w:rPr>
        <w:t>桩在施工时实际用料方</w:t>
      </w:r>
      <w:r>
        <w:rPr>
          <w:rFonts w:hint="eastAsia" w:ascii="Times New Roman" w:hAnsi="Times New Roman" w:eastAsia="宋体" w:cs="Times New Roman"/>
          <w:b w:val="0"/>
          <w:bCs w:val="0"/>
          <w:color w:val="auto"/>
          <w:szCs w:val="21"/>
          <w:highlight w:val="none"/>
          <w:lang w:val="en-US" w:eastAsia="zh-CN"/>
        </w:rPr>
        <w:t>量</w:t>
      </w:r>
      <w:r>
        <w:rPr>
          <w:rFonts w:ascii="Times New Roman" w:hAnsi="Times New Roman" w:eastAsia="宋体" w:cs="Times New Roman"/>
          <w:b w:val="0"/>
          <w:bCs w:val="0"/>
          <w:color w:val="auto"/>
          <w:szCs w:val="21"/>
          <w:highlight w:val="none"/>
        </w:rPr>
        <w:t>与按桩外径计算的理论方量之比。</w:t>
      </w:r>
    </w:p>
    <w:p w14:paraId="558991AF">
      <w:pPr>
        <w:spacing w:line="360" w:lineRule="auto"/>
        <w:rPr>
          <w:rFonts w:hint="eastAsia" w:ascii="黑体" w:hAnsi="黑体" w:eastAsia="黑体" w:cs="黑体"/>
          <w:b w:val="0"/>
          <w:bCs w:val="0"/>
          <w:color w:val="auto"/>
          <w:szCs w:val="21"/>
          <w:highlight w:val="none"/>
        </w:rPr>
      </w:pPr>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1</w:t>
      </w:r>
      <w:r>
        <w:rPr>
          <w:rFonts w:hint="eastAsia" w:ascii="黑体" w:hAnsi="黑体" w:eastAsia="黑体" w:cs="黑体"/>
          <w:b w:val="0"/>
          <w:bCs w:val="0"/>
          <w:color w:val="auto"/>
          <w:szCs w:val="21"/>
          <w:highlight w:val="none"/>
          <w:lang w:val="en-US" w:eastAsia="zh-CN"/>
        </w:rPr>
        <w:t>3</w:t>
      </w:r>
      <w:r>
        <w:rPr>
          <w:rFonts w:hint="eastAsia" w:ascii="黑体" w:hAnsi="黑体" w:eastAsia="黑体" w:cs="黑体"/>
          <w:b w:val="0"/>
          <w:bCs w:val="0"/>
          <w:color w:val="auto"/>
          <w:szCs w:val="21"/>
          <w:highlight w:val="none"/>
        </w:rPr>
        <w:t xml:space="preserve"> </w:t>
      </w:r>
    </w:p>
    <w:p w14:paraId="2779B816">
      <w:pPr>
        <w:spacing w:line="360" w:lineRule="auto"/>
        <w:ind w:firstLine="420" w:firstLineChars="200"/>
        <w:rPr>
          <w:rFonts w:hint="default" w:ascii="Times New Roman" w:hAnsi="Times New Roman" w:eastAsia="黑体" w:cs="Times New Roman"/>
          <w:b/>
          <w:bCs/>
          <w:color w:val="auto"/>
          <w:szCs w:val="21"/>
          <w:highlight w:val="none"/>
        </w:rPr>
      </w:pPr>
      <w:r>
        <w:rPr>
          <w:rFonts w:hint="eastAsia" w:ascii="黑体" w:hAnsi="黑体" w:eastAsia="黑体" w:cs="黑体"/>
          <w:b w:val="0"/>
          <w:bCs w:val="0"/>
          <w:color w:val="auto"/>
          <w:szCs w:val="21"/>
          <w:highlight w:val="none"/>
        </w:rPr>
        <w:t>土工格栅</w:t>
      </w:r>
      <w:r>
        <w:rPr>
          <w:rFonts w:hint="eastAsia" w:ascii="Times New Roman" w:hAnsi="Times New Roman" w:eastAsia="宋体" w:cs="Times New Roman"/>
          <w:b w:val="0"/>
          <w:bCs w:val="0"/>
          <w:color w:val="auto"/>
          <w:szCs w:val="21"/>
          <w:highlight w:val="none"/>
        </w:rPr>
        <w:t xml:space="preserve"> </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geotechnical grille</w:t>
      </w:r>
    </w:p>
    <w:p w14:paraId="1F3003DB">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一种主要的土工合成材料，与其他土工合成材料相比，它具有独特的性能与功效。常用作加筋土结构的筋材或复合材料的筋材等。</w:t>
      </w:r>
    </w:p>
    <w:p w14:paraId="2682DEE0">
      <w:pPr>
        <w:spacing w:line="360" w:lineRule="auto"/>
        <w:rPr>
          <w:rFonts w:hint="eastAsia" w:ascii="黑体" w:hAnsi="黑体" w:eastAsia="黑体" w:cs="黑体"/>
          <w:b w:val="0"/>
          <w:bCs w:val="0"/>
          <w:color w:val="auto"/>
          <w:szCs w:val="21"/>
          <w:highlight w:val="none"/>
        </w:rPr>
      </w:pPr>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1.</w:t>
      </w:r>
      <w:r>
        <w:rPr>
          <w:rFonts w:hint="eastAsia" w:ascii="黑体" w:hAnsi="黑体" w:eastAsia="黑体" w:cs="黑体"/>
          <w:b w:val="0"/>
          <w:bCs w:val="0"/>
          <w:color w:val="auto"/>
          <w:szCs w:val="21"/>
          <w:highlight w:val="none"/>
        </w:rPr>
        <w:t>1</w:t>
      </w:r>
      <w:r>
        <w:rPr>
          <w:rFonts w:hint="eastAsia" w:ascii="黑体" w:hAnsi="黑体" w:eastAsia="黑体" w:cs="黑体"/>
          <w:b w:val="0"/>
          <w:bCs w:val="0"/>
          <w:color w:val="auto"/>
          <w:szCs w:val="21"/>
          <w:highlight w:val="none"/>
          <w:lang w:val="en-US" w:eastAsia="zh-CN"/>
        </w:rPr>
        <w:t>4</w:t>
      </w:r>
    </w:p>
    <w:p w14:paraId="084673CC">
      <w:pPr>
        <w:spacing w:line="360" w:lineRule="auto"/>
        <w:ind w:firstLine="420" w:firstLineChars="200"/>
        <w:rPr>
          <w:rFonts w:ascii="Times New Roman" w:hAnsi="Times New Roman" w:eastAsia="宋体" w:cs="Times New Roman"/>
          <w:b w:val="0"/>
          <w:bCs w:val="0"/>
          <w:color w:val="auto"/>
          <w:szCs w:val="21"/>
          <w:highlight w:val="none"/>
        </w:rPr>
      </w:pPr>
      <w:r>
        <w:rPr>
          <w:rFonts w:hint="eastAsia" w:ascii="黑体" w:hAnsi="黑体" w:eastAsia="黑体" w:cs="黑体"/>
          <w:b w:val="0"/>
          <w:bCs w:val="0"/>
          <w:color w:val="auto"/>
          <w:szCs w:val="21"/>
          <w:highlight w:val="none"/>
        </w:rPr>
        <w:t>置换率</w:t>
      </w:r>
      <w:r>
        <w:rPr>
          <w:rFonts w:hint="eastAsia" w:ascii="Times New Roman" w:hAnsi="Times New Roman" w:eastAsia="宋体" w:cs="Times New Roman"/>
          <w:b w:val="0"/>
          <w:bCs w:val="0"/>
          <w:color w:val="auto"/>
          <w:szCs w:val="21"/>
          <w:highlight w:val="none"/>
        </w:rPr>
        <w:t xml:space="preserve"> </w:t>
      </w:r>
      <w:r>
        <w:rPr>
          <w:rFonts w:ascii="Times New Roman" w:hAnsi="Times New Roman" w:eastAsia="宋体" w:cs="Times New Roman"/>
          <w:b w:val="0"/>
          <w:bCs w:val="0"/>
          <w:color w:val="auto"/>
          <w:szCs w:val="21"/>
          <w:highlight w:val="none"/>
        </w:rPr>
        <w:t xml:space="preserve">  </w:t>
      </w:r>
      <w:r>
        <w:rPr>
          <w:rFonts w:hint="default" w:ascii="Times New Roman" w:hAnsi="Times New Roman" w:eastAsia="黑体" w:cs="Times New Roman"/>
          <w:b/>
          <w:bCs/>
          <w:color w:val="auto"/>
          <w:szCs w:val="21"/>
          <w:highlight w:val="none"/>
        </w:rPr>
        <w:t>displacement ratio</w:t>
      </w:r>
    </w:p>
    <w:p w14:paraId="6B9E6842">
      <w:pPr>
        <w:spacing w:line="360"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在平面布置图中连接四个圆心形成一个正方形，该正方形形面积即为总面积A，该正方形内四个扇形的面积即为水泥搅拌桩面积Ap，水泥搅拌桩面积Ap与总面积A的百分比即为水泥搅拌桩面积置换率m。</w:t>
      </w:r>
    </w:p>
    <w:p w14:paraId="2BDC4227">
      <w:pPr>
        <w:spacing w:line="360" w:lineRule="auto"/>
        <w:ind w:firstLine="420" w:firstLineChars="200"/>
        <w:rPr>
          <w:rFonts w:hint="eastAsia" w:ascii="Times New Roman" w:hAnsi="Times New Roman" w:eastAsia="宋体" w:cs="Times New Roman"/>
          <w:color w:val="auto"/>
          <w:szCs w:val="21"/>
          <w:highlight w:val="none"/>
        </w:rPr>
      </w:pPr>
    </w:p>
    <w:p w14:paraId="3E0A2946">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3.2符号</w:t>
      </w:r>
    </w:p>
    <w:p w14:paraId="47066DAF">
      <w:pPr>
        <w:spacing w:line="360" w:lineRule="auto"/>
        <w:ind w:firstLine="420" w:firstLineChars="200"/>
        <w:rPr>
          <w:rFonts w:hint="eastAsia" w:ascii="黑体" w:hAnsi="黑体" w:eastAsia="黑体" w:cs="黑体"/>
          <w:b w:val="0"/>
          <w:bCs w:val="0"/>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下列符号</w:t>
      </w:r>
      <w:r>
        <w:rPr>
          <w:rFonts w:ascii="Times New Roman" w:hAnsi="Times New Roman" w:eastAsia="宋体" w:cs="Times New Roman"/>
          <w:color w:val="auto"/>
          <w:szCs w:val="21"/>
          <w:highlight w:val="none"/>
        </w:rPr>
        <w:t>适用于本文件。</w:t>
      </w:r>
    </w:p>
    <w:p w14:paraId="3FCEB994">
      <w:pPr>
        <w:spacing w:line="360" w:lineRule="auto"/>
        <w:rPr>
          <w:rFonts w:hint="eastAsia" w:ascii="黑体" w:hAnsi="黑体" w:eastAsia="黑体" w:cs="黑体"/>
          <w:b w:val="0"/>
          <w:bCs w:val="0"/>
          <w:color w:val="auto"/>
          <w:szCs w:val="21"/>
          <w:highlight w:val="none"/>
        </w:rPr>
      </w:pPr>
      <w:r>
        <w:rPr>
          <w:rFonts w:hint="eastAsia" w:ascii="黑体" w:hAnsi="黑体" w:eastAsia="黑体" w:cs="黑体"/>
          <w:b w:val="0"/>
          <w:bCs w:val="0"/>
          <w:color w:val="auto"/>
          <w:szCs w:val="21"/>
          <w:highlight w:val="none"/>
        </w:rPr>
        <w:t>3.</w:t>
      </w:r>
      <w:r>
        <w:rPr>
          <w:rFonts w:hint="eastAsia" w:ascii="黑体" w:hAnsi="黑体" w:eastAsia="黑体" w:cs="黑体"/>
          <w:b w:val="0"/>
          <w:bCs w:val="0"/>
          <w:color w:val="auto"/>
          <w:szCs w:val="21"/>
          <w:highlight w:val="none"/>
          <w:lang w:val="en-US" w:eastAsia="zh-CN"/>
        </w:rPr>
        <w:t>2.1</w:t>
      </w:r>
      <w:r>
        <w:rPr>
          <w:rFonts w:hint="eastAsia" w:ascii="黑体" w:hAnsi="黑体" w:eastAsia="黑体" w:cs="黑体"/>
          <w:b w:val="0"/>
          <w:bCs w:val="0"/>
          <w:color w:val="auto"/>
          <w:szCs w:val="21"/>
          <w:highlight w:val="none"/>
        </w:rPr>
        <w:t xml:space="preserve"> </w:t>
      </w:r>
    </w:p>
    <w:p w14:paraId="6F317C32">
      <w:pPr>
        <w:spacing w:line="360" w:lineRule="auto"/>
        <w:ind w:firstLine="420" w:firstLineChars="200"/>
        <w:rPr>
          <w:rFonts w:ascii="Times New Roman" w:hAnsi="Times New Roman" w:eastAsia="宋体" w:cs="Times New Roman"/>
          <w:b/>
          <w:bCs/>
          <w:color w:val="auto"/>
          <w:szCs w:val="21"/>
          <w:highlight w:val="none"/>
        </w:rPr>
      </w:pPr>
      <w:r>
        <w:rPr>
          <w:rFonts w:hint="eastAsia" w:ascii="黑体" w:hAnsi="黑体" w:eastAsia="黑体" w:cs="黑体"/>
          <w:b w:val="0"/>
          <w:bCs w:val="0"/>
          <w:color w:val="auto"/>
          <w:szCs w:val="21"/>
          <w:highlight w:val="none"/>
          <w:lang w:val="en-US" w:eastAsia="zh-CN"/>
        </w:rPr>
        <w:t>作用和作用效应</w:t>
      </w:r>
      <w:r>
        <w:rPr>
          <w:rFonts w:ascii="Times New Roman" w:hAnsi="Times New Roman" w:eastAsia="宋体" w:cs="Times New Roman"/>
          <w:b/>
          <w:bCs/>
          <w:color w:val="auto"/>
          <w:szCs w:val="21"/>
          <w:highlight w:val="none"/>
        </w:rPr>
        <w:t xml:space="preserve"> </w:t>
      </w:r>
    </w:p>
    <w:p w14:paraId="3B35FA9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桩帽上的等效平均应力；</w:t>
      </w:r>
    </w:p>
    <w:p w14:paraId="5AEA550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——主动土压力；</w:t>
      </w:r>
    </w:p>
    <w:p w14:paraId="78BF1BF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cz</w:t>
      </w:r>
      <w:r>
        <w:rPr>
          <w:rFonts w:ascii="Times New Roman" w:hAnsi="Times New Roman" w:eastAsia="宋体" w:cs="Times New Roman"/>
          <w:color w:val="auto"/>
          <w:szCs w:val="21"/>
          <w:highlight w:val="none"/>
        </w:rPr>
        <w:t>——自重压力值；</w:t>
      </w:r>
    </w:p>
    <w:p w14:paraId="0B6357F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k</w:t>
      </w:r>
      <w:r>
        <w:rPr>
          <w:rFonts w:ascii="Times New Roman" w:hAnsi="Times New Roman" w:eastAsia="宋体" w:cs="Times New Roman"/>
          <w:color w:val="auto"/>
          <w:szCs w:val="21"/>
          <w:highlight w:val="none"/>
        </w:rPr>
        <w:t>——基础底面处的平均压力值；</w:t>
      </w:r>
    </w:p>
    <w:p w14:paraId="2877A84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——被动土压力；</w:t>
      </w:r>
    </w:p>
    <w:p w14:paraId="19F3836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z</w:t>
      </w:r>
      <w:r>
        <w:rPr>
          <w:rFonts w:ascii="Times New Roman" w:hAnsi="Times New Roman" w:eastAsia="宋体" w:cs="Times New Roman"/>
          <w:color w:val="auto"/>
          <w:szCs w:val="21"/>
          <w:highlight w:val="none"/>
        </w:rPr>
        <w:t>——附加压力值；</w:t>
      </w:r>
    </w:p>
    <w:p w14:paraId="221A381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0</w:t>
      </w:r>
      <w:r>
        <w:rPr>
          <w:rFonts w:ascii="Times New Roman" w:hAnsi="Times New Roman" w:eastAsia="宋体" w:cs="Times New Roman"/>
          <w:color w:val="auto"/>
          <w:szCs w:val="21"/>
          <w:highlight w:val="none"/>
        </w:rPr>
        <w:t>——路基基底处的附加压力；</w:t>
      </w:r>
    </w:p>
    <w:p w14:paraId="67530BD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Q——地震水平力；</w:t>
      </w:r>
    </w:p>
    <w:p w14:paraId="4CBFD9A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s</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桩帽间单位长度土体承担荷载</w:t>
      </w:r>
    </w:p>
    <w:p w14:paraId="584E4BB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u</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桩帽上部承担的荷载；</w:t>
      </w:r>
    </w:p>
    <w:p w14:paraId="460CD9D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c</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路基的路面超载；</w:t>
      </w:r>
    </w:p>
    <w:p w14:paraId="4A7927D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σ——竖向应力</w:t>
      </w:r>
      <w:r>
        <w:rPr>
          <w:rFonts w:hint="eastAsia" w:ascii="Times New Roman" w:hAnsi="Times New Roman" w:eastAsia="宋体" w:cs="Times New Roman"/>
          <w:color w:val="auto"/>
          <w:szCs w:val="21"/>
          <w:highlight w:val="none"/>
          <w:lang w:eastAsia="zh-CN"/>
        </w:rPr>
        <w:t>。</w:t>
      </w:r>
    </w:p>
    <w:p w14:paraId="6BC81136">
      <w:pPr>
        <w:spacing w:line="360" w:lineRule="auto"/>
        <w:rPr>
          <w:rFonts w:hint="eastAsia"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 xml:space="preserve">3.2.2 </w:t>
      </w:r>
    </w:p>
    <w:p w14:paraId="7775A80B">
      <w:pPr>
        <w:spacing w:line="360" w:lineRule="auto"/>
        <w:ind w:firstLine="420" w:firstLineChars="200"/>
        <w:rPr>
          <w:rFonts w:hint="eastAsia"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材料性能参数</w:t>
      </w:r>
    </w:p>
    <w:p w14:paraId="1D91D413">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i/>
          <w:iCs/>
          <w:color w:val="auto"/>
          <w:szCs w:val="21"/>
          <w:highlight w:val="none"/>
          <w:lang w:val="en-US" w:eastAsia="zh-CN"/>
        </w:rPr>
        <w:t>c</w:t>
      </w:r>
      <w:r>
        <w:rPr>
          <w:rFonts w:ascii="Times New Roman" w:hAnsi="Times New Roman" w:eastAsia="宋体" w:cs="Times New Roman"/>
          <w:color w:val="auto"/>
          <w:szCs w:val="21"/>
          <w:highlight w:val="none"/>
        </w:rPr>
        <w:t>——土体粘聚力</w:t>
      </w:r>
    </w:p>
    <w:p w14:paraId="12EA511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i/>
          <w:iCs/>
          <w:color w:val="auto"/>
          <w:szCs w:val="21"/>
          <w:highlight w:val="none"/>
        </w:rPr>
        <w:t>D</w:t>
      </w:r>
      <w:r>
        <w:rPr>
          <w:rFonts w:hint="eastAsia" w:ascii="Times New Roman" w:hAnsi="Times New Roman" w:eastAsia="宋体" w:cs="Times New Roman"/>
          <w:color w:val="auto"/>
          <w:szCs w:val="21"/>
          <w:highlight w:val="none"/>
          <w:vertAlign w:val="subscript"/>
          <w:lang w:val="en-US" w:eastAsia="zh-CN"/>
        </w:rPr>
        <w:t>r</w:t>
      </w:r>
      <w:r>
        <w:rPr>
          <w:rFonts w:ascii="Times New Roman" w:hAnsi="Times New Roman" w:eastAsia="宋体" w:cs="Times New Roman"/>
          <w:color w:val="auto"/>
          <w:szCs w:val="21"/>
          <w:highlight w:val="none"/>
        </w:rPr>
        <w:t>——土的相对密实度</w:t>
      </w:r>
      <w:r>
        <w:rPr>
          <w:rFonts w:hint="eastAsia" w:ascii="Times New Roman" w:hAnsi="Times New Roman" w:eastAsia="宋体" w:cs="Times New Roman"/>
          <w:color w:val="auto"/>
          <w:szCs w:val="21"/>
          <w:highlight w:val="none"/>
          <w:lang w:eastAsia="zh-CN"/>
        </w:rPr>
        <w:t>；</w:t>
      </w:r>
    </w:p>
    <w:p w14:paraId="69A88554">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i/>
          <w:iCs/>
          <w:color w:val="auto"/>
          <w:szCs w:val="21"/>
          <w:highlight w:val="none"/>
          <w:lang w:val="en-US" w:eastAsia="zh-CN"/>
        </w:rPr>
        <w:t>E</w:t>
      </w:r>
      <w:r>
        <w:rPr>
          <w:rFonts w:hint="eastAsia" w:ascii="Times New Roman" w:hAnsi="Times New Roman" w:eastAsia="宋体" w:cs="Times New Roman"/>
          <w:i/>
          <w:color w:val="auto"/>
          <w:szCs w:val="21"/>
          <w:highlight w:val="none"/>
          <w:vertAlign w:val="subscript"/>
          <w:lang w:val="en-US" w:eastAsia="zh-CN"/>
        </w:rPr>
        <w:t>s</w:t>
      </w:r>
      <w:r>
        <w:rPr>
          <w:rFonts w:ascii="Times New Roman" w:hAnsi="Times New Roman" w:eastAsia="宋体" w:cs="Times New Roman"/>
          <w:color w:val="auto"/>
          <w:szCs w:val="21"/>
          <w:highlight w:val="none"/>
        </w:rPr>
        <w:t>——土的压缩模量；</w:t>
      </w:r>
    </w:p>
    <w:p w14:paraId="4551BC2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i/>
          <w:iCs/>
          <w:color w:val="auto"/>
          <w:szCs w:val="21"/>
          <w:highlight w:val="none"/>
        </w:rPr>
        <w:t>E</w:t>
      </w:r>
      <w:r>
        <w:rPr>
          <w:rFonts w:ascii="Times New Roman" w:hAnsi="Times New Roman" w:eastAsia="宋体" w:cs="Times New Roman"/>
          <w:color w:val="auto"/>
          <w:szCs w:val="21"/>
          <w:highlight w:val="none"/>
          <w:vertAlign w:val="subscript"/>
        </w:rPr>
        <w:t>sp</w:t>
      </w:r>
      <w:r>
        <w:rPr>
          <w:rFonts w:ascii="Times New Roman" w:hAnsi="Times New Roman" w:eastAsia="宋体" w:cs="Times New Roman"/>
          <w:color w:val="auto"/>
          <w:szCs w:val="21"/>
          <w:highlight w:val="none"/>
        </w:rPr>
        <w:t>——复合地基的压缩模量；</w:t>
      </w:r>
    </w:p>
    <w:p w14:paraId="6EF3D46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i/>
          <w:iCs/>
          <w:color w:val="auto"/>
          <w:szCs w:val="21"/>
          <w:highlight w:val="none"/>
        </w:rPr>
        <w:t>e</w:t>
      </w:r>
      <w:r>
        <w:rPr>
          <w:rFonts w:ascii="Times New Roman" w:hAnsi="Times New Roman" w:eastAsia="宋体" w:cs="Times New Roman"/>
          <w:color w:val="auto"/>
          <w:szCs w:val="21"/>
          <w:highlight w:val="none"/>
        </w:rPr>
        <w:t>——土的孔隙比；</w:t>
      </w:r>
    </w:p>
    <w:p w14:paraId="529B166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i/>
          <w:iCs/>
          <w:color w:val="auto"/>
          <w:szCs w:val="21"/>
          <w:highlight w:val="none"/>
        </w:rPr>
        <w:t>ε</w:t>
      </w:r>
      <w:r>
        <w:rPr>
          <w:rFonts w:ascii="Times New Roman" w:hAnsi="Times New Roman" w:eastAsia="宋体" w:cs="Times New Roman"/>
          <w:color w:val="auto"/>
          <w:szCs w:val="21"/>
          <w:highlight w:val="none"/>
        </w:rPr>
        <w:t>——水平加筋体的延伸率</w:t>
      </w:r>
    </w:p>
    <w:p w14:paraId="574A677E">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i/>
          <w:iCs/>
          <w:color w:val="auto"/>
          <w:szCs w:val="21"/>
          <w:highlight w:val="none"/>
        </w:rPr>
        <w:t>f</w:t>
      </w:r>
      <w:r>
        <w:rPr>
          <w:rFonts w:ascii="Times New Roman" w:hAnsi="Times New Roman" w:eastAsia="宋体" w:cs="Times New Roman"/>
          <w:color w:val="auto"/>
          <w:szCs w:val="21"/>
          <w:highlight w:val="none"/>
          <w:vertAlign w:val="subscript"/>
        </w:rPr>
        <w:t>cu</w:t>
      </w:r>
      <w:r>
        <w:rPr>
          <w:rFonts w:ascii="Times New Roman" w:hAnsi="Times New Roman" w:eastAsia="宋体" w:cs="Times New Roman"/>
          <w:color w:val="auto"/>
          <w:szCs w:val="21"/>
          <w:highlight w:val="none"/>
        </w:rPr>
        <w:t>——试块抗压强度平均值</w:t>
      </w:r>
      <w:r>
        <w:rPr>
          <w:rFonts w:hint="eastAsia" w:ascii="Times New Roman" w:hAnsi="Times New Roman" w:eastAsia="宋体" w:cs="Times New Roman"/>
          <w:color w:val="auto"/>
          <w:szCs w:val="21"/>
          <w:highlight w:val="none"/>
          <w:lang w:eastAsia="zh-CN"/>
        </w:rPr>
        <w:t>；</w:t>
      </w:r>
    </w:p>
    <w:p w14:paraId="12B39A0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cs="Times New Roman"/>
          <w:i/>
          <w:color w:val="auto"/>
          <w:szCs w:val="21"/>
          <w:highlight w:val="none"/>
        </w:rPr>
        <w:t>f</w:t>
      </w:r>
      <w:r>
        <w:rPr>
          <w:rFonts w:ascii="Times New Roman" w:hAnsi="Times New Roman" w:cs="Times New Roman"/>
          <w:color w:val="auto"/>
          <w:szCs w:val="21"/>
          <w:highlight w:val="none"/>
          <w:vertAlign w:val="subscript"/>
        </w:rPr>
        <w:t>pk</w:t>
      </w:r>
      <w:r>
        <w:rPr>
          <w:rFonts w:ascii="Times New Roman" w:hAnsi="Times New Roman" w:eastAsia="宋体" w:cs="Times New Roman"/>
          <w:color w:val="auto"/>
          <w:szCs w:val="21"/>
          <w:highlight w:val="none"/>
        </w:rPr>
        <w:t>——桩体承载力特征值；</w:t>
      </w:r>
    </w:p>
    <w:p w14:paraId="00EC6A4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cs="Times New Roman"/>
          <w:i/>
          <w:color w:val="auto"/>
          <w:szCs w:val="21"/>
          <w:highlight w:val="none"/>
        </w:rPr>
        <w:t>f</w:t>
      </w:r>
      <w:r>
        <w:rPr>
          <w:rFonts w:ascii="Times New Roman" w:hAnsi="Times New Roman" w:cs="Times New Roman"/>
          <w:color w:val="auto"/>
          <w:szCs w:val="21"/>
          <w:highlight w:val="none"/>
          <w:vertAlign w:val="subscript"/>
        </w:rPr>
        <w:t>sk</w:t>
      </w:r>
      <w:r>
        <w:rPr>
          <w:rFonts w:ascii="Times New Roman" w:hAnsi="Times New Roman" w:eastAsia="宋体" w:cs="Times New Roman"/>
          <w:color w:val="auto"/>
          <w:szCs w:val="21"/>
          <w:highlight w:val="none"/>
        </w:rPr>
        <w:t>——</w:t>
      </w:r>
      <w:r>
        <w:rPr>
          <w:rFonts w:ascii="Times New Roman" w:hAnsi="Times New Roman" w:cs="Times New Roman"/>
          <w:color w:val="auto"/>
          <w:szCs w:val="21"/>
          <w:highlight w:val="none"/>
        </w:rPr>
        <w:t>桩间土承载力特征值</w:t>
      </w:r>
      <w:r>
        <w:rPr>
          <w:rFonts w:hint="eastAsia" w:ascii="Times New Roman" w:hAnsi="Times New Roman" w:cs="Times New Roman"/>
          <w:color w:val="auto"/>
          <w:szCs w:val="21"/>
          <w:highlight w:val="none"/>
          <w:lang w:eastAsia="zh-CN"/>
        </w:rPr>
        <w:t>；</w:t>
      </w:r>
    </w:p>
    <w:p w14:paraId="592FD6CC">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i/>
          <w:iCs/>
          <w:color w:val="auto"/>
          <w:szCs w:val="21"/>
          <w:highlight w:val="none"/>
        </w:rPr>
        <w:t>f</w:t>
      </w:r>
      <w:r>
        <w:rPr>
          <w:rFonts w:ascii="Times New Roman" w:hAnsi="Times New Roman" w:eastAsia="宋体" w:cs="Times New Roman"/>
          <w:color w:val="auto"/>
          <w:szCs w:val="21"/>
          <w:highlight w:val="none"/>
          <w:vertAlign w:val="subscript"/>
        </w:rPr>
        <w:t>spa</w:t>
      </w:r>
      <w:r>
        <w:rPr>
          <w:rFonts w:ascii="Times New Roman" w:hAnsi="Times New Roman" w:eastAsia="宋体" w:cs="Times New Roman"/>
          <w:color w:val="auto"/>
          <w:szCs w:val="21"/>
          <w:highlight w:val="none"/>
        </w:rPr>
        <w:t>——基础深度修正后的复合地基承载力特征值</w:t>
      </w:r>
      <w:r>
        <w:rPr>
          <w:rFonts w:hint="eastAsia" w:ascii="Times New Roman" w:hAnsi="Times New Roman" w:eastAsia="宋体" w:cs="Times New Roman"/>
          <w:color w:val="auto"/>
          <w:szCs w:val="21"/>
          <w:highlight w:val="none"/>
          <w:lang w:eastAsia="zh-CN"/>
        </w:rPr>
        <w:t>；</w:t>
      </w:r>
    </w:p>
    <w:p w14:paraId="56E59522">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i/>
          <w:color w:val="auto"/>
          <w:szCs w:val="21"/>
          <w:highlight w:val="none"/>
        </w:rPr>
        <w:t>f</w:t>
      </w:r>
      <w:r>
        <w:rPr>
          <w:rFonts w:ascii="Times New Roman" w:hAnsi="Times New Roman" w:cs="Times New Roman" w:eastAsiaTheme="minorEastAsia"/>
          <w:i w:val="0"/>
          <w:color w:val="auto"/>
          <w:sz w:val="21"/>
          <w:szCs w:val="21"/>
          <w:highlight w:val="none"/>
          <w:vertAlign w:val="subscript"/>
        </w:rPr>
        <w:t>spk</w:t>
      </w:r>
      <w:r>
        <w:rPr>
          <w:rFonts w:ascii="Times New Roman" w:hAnsi="Times New Roman" w:eastAsia="宋体" w:cs="Times New Roman"/>
          <w:color w:val="auto"/>
          <w:szCs w:val="21"/>
          <w:highlight w:val="none"/>
        </w:rPr>
        <w:t>——</w:t>
      </w:r>
      <w:r>
        <w:rPr>
          <w:rFonts w:ascii="Times New Roman" w:hAnsi="Times New Roman" w:cs="Times New Roman"/>
          <w:color w:val="auto"/>
          <w:szCs w:val="21"/>
          <w:highlight w:val="none"/>
        </w:rPr>
        <w:t>复合地基承载力特征值；</w:t>
      </w:r>
    </w:p>
    <w:p w14:paraId="34A6E6DA">
      <w:pPr>
        <w:spacing w:line="360" w:lineRule="auto"/>
        <w:ind w:firstLine="420" w:firstLineChars="200"/>
        <w:rPr>
          <w:rFonts w:hint="default" w:ascii="Times New Roman" w:hAnsi="Times New Roman" w:eastAsia="宋体" w:cs="Times New Roman"/>
          <w:color w:val="auto"/>
          <w:szCs w:val="21"/>
          <w:highlight w:val="none"/>
          <w:lang w:val="en-US" w:eastAsia="zh-CN"/>
        </w:rPr>
      </w:pPr>
      <m:oMath>
        <m:sSub>
          <m:sSubPr>
            <m:ctrlPr>
              <w:rPr>
                <w:rFonts w:ascii="Cambria Math" w:hAnsi="Cambria Math" w:eastAsia="宋体" w:cs="Times New Roman"/>
                <w:i/>
                <w:color w:val="auto"/>
                <w:sz w:val="21"/>
                <w:szCs w:val="21"/>
                <w:highlight w:val="none"/>
              </w:rPr>
            </m:ctrlPr>
          </m:sSubPr>
          <m:e>
            <m:r>
              <m:rPr/>
              <w:rPr>
                <w:rFonts w:hint="default" w:ascii="Cambria Math" w:hAnsi="Cambria Math" w:eastAsia="宋体" w:cs="Times New Roman"/>
                <w:color w:val="auto"/>
                <w:sz w:val="21"/>
                <w:szCs w:val="21"/>
                <w:highlight w:val="none"/>
              </w:rPr>
              <m:t>γ</m:t>
            </m:r>
            <m:ctrlPr>
              <w:rPr>
                <w:rFonts w:ascii="Cambria Math" w:hAnsi="Cambria Math" w:eastAsia="宋体" w:cs="Times New Roman"/>
                <w:i/>
                <w:color w:val="auto"/>
                <w:sz w:val="21"/>
                <w:szCs w:val="21"/>
                <w:highlight w:val="none"/>
              </w:rPr>
            </m:ctrlPr>
          </m:e>
          <m:sub>
            <m:r>
              <m:rPr/>
              <w:rPr>
                <w:rFonts w:ascii="Cambria Math" w:hAnsi="Cambria Math" w:eastAsia="宋体" w:cs="Times New Roman"/>
                <w:color w:val="auto"/>
                <w:sz w:val="21"/>
                <w:szCs w:val="21"/>
                <w:highlight w:val="none"/>
              </w:rPr>
              <m:t>1</m:t>
            </m:r>
            <m:ctrlPr>
              <w:rPr>
                <w:rFonts w:ascii="Cambria Math" w:hAnsi="Cambria Math" w:eastAsia="宋体" w:cs="Times New Roman"/>
                <w:i/>
                <w:color w:val="auto"/>
                <w:sz w:val="21"/>
                <w:szCs w:val="21"/>
                <w:highlight w:val="none"/>
              </w:rPr>
            </m:ctrlPr>
          </m:sub>
        </m:sSub>
      </m:oMath>
      <w:r>
        <w:rPr>
          <w:rFonts w:ascii="Times New Roman" w:hAnsi="Times New Roman" w:eastAsia="宋体" w:cs="Times New Roman"/>
          <w:color w:val="auto"/>
          <w:szCs w:val="21"/>
          <w:highlight w:val="none"/>
        </w:rPr>
        <w:t>——路堤填料重度；</w:t>
      </w:r>
    </w:p>
    <w:p w14:paraId="51DAA341">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object>
          <v:shape id="_x0000_i1025" o:spt="75" type="#_x0000_t75" style="height:18pt;width:16pt;" o:ole="t" filled="f" o:preferrelative="t" stroked="f" coordsize="21600,21600">
            <v:path/>
            <v:fill on="f" focussize="0,0"/>
            <v:stroke on="f"/>
            <v:imagedata r:id="rId11" o:title=""/>
            <o:lock v:ext="edit" aspectratio="t"/>
            <w10:wrap type="none"/>
            <w10:anchorlock/>
          </v:shape>
          <o:OLEObject Type="Embed" ProgID="Equation.KSEE3" ShapeID="_x0000_i1025" DrawAspect="Content" ObjectID="_1468075725" r:id="rId10">
            <o:LockedField>false</o:LockedField>
          </o:OLEObject>
        </w:object>
      </w:r>
      <w:r>
        <w:rPr>
          <w:rFonts w:ascii="Times New Roman" w:hAnsi="Times New Roman" w:eastAsia="宋体" w:cs="Times New Roman"/>
          <w:color w:val="auto"/>
          <w:szCs w:val="21"/>
          <w:highlight w:val="none"/>
        </w:rPr>
        <w:t>——基础底面以上土的加权平均重度</w:t>
      </w:r>
      <w:r>
        <w:rPr>
          <w:rFonts w:hint="eastAsia" w:ascii="Times New Roman" w:hAnsi="Times New Roman" w:eastAsia="宋体" w:cs="Times New Roman"/>
          <w:color w:val="auto"/>
          <w:szCs w:val="21"/>
          <w:highlight w:val="none"/>
          <w:lang w:eastAsia="zh-CN"/>
        </w:rPr>
        <w:t>；</w:t>
      </w:r>
    </w:p>
    <w:p w14:paraId="6BC89FD5">
      <w:pPr>
        <w:spacing w:line="360" w:lineRule="auto"/>
        <w:ind w:firstLine="420" w:firstLineChars="200"/>
        <w:rPr>
          <w:rFonts w:ascii="Times New Roman" w:hAnsi="Times New Roman" w:cs="Times New Roman"/>
          <w:color w:val="auto"/>
          <w:szCs w:val="21"/>
          <w:highlight w:val="none"/>
        </w:rPr>
      </w:pPr>
      <w:r>
        <w:rPr>
          <w:rFonts w:ascii="Times New Roman" w:hAnsi="Times New Roman" w:eastAsia="微软雅黑" w:cs="Times New Roman"/>
          <w:i/>
          <w:iCs/>
          <w:color w:val="auto"/>
          <w:szCs w:val="21"/>
          <w:highlight w:val="none"/>
        </w:rPr>
        <w:t>φ</w:t>
      </w:r>
      <w:r>
        <w:rPr>
          <w:rFonts w:ascii="Times New Roman" w:hAnsi="Times New Roman" w:eastAsia="宋体" w:cs="Times New Roman"/>
          <w:color w:val="auto"/>
          <w:szCs w:val="21"/>
          <w:highlight w:val="none"/>
        </w:rPr>
        <w:t>——内摩擦角；</w:t>
      </w:r>
    </w:p>
    <w:p w14:paraId="1837043D">
      <w:pPr>
        <w:spacing w:line="360" w:lineRule="auto"/>
        <w:ind w:firstLine="420" w:firstLineChars="200"/>
        <w:rPr>
          <w:rFonts w:hint="eastAsia" w:ascii="Times New Roman" w:hAnsi="Times New Roman" w:cs="Times New Roman"/>
          <w:color w:val="auto"/>
          <w:szCs w:val="21"/>
          <w:highlight w:val="none"/>
          <w:lang w:eastAsia="zh-CN"/>
        </w:rPr>
      </w:pPr>
      <w:r>
        <w:rPr>
          <w:rFonts w:ascii="Times New Roman" w:hAnsi="Times New Roman" w:cs="Times New Roman"/>
          <w:color w:val="auto"/>
          <w:position w:val="-14"/>
          <w:szCs w:val="21"/>
          <w:highlight w:val="none"/>
        </w:rPr>
        <w:object>
          <v:shape id="_x0000_i1026" o:spt="75" type="#_x0000_t75" style="height:19pt;width:15pt;" o:ole="t" filled="f" o:preferrelative="t" stroked="f" coordsize="21600,21600">
            <v:path/>
            <v:fill on="f" focussize="0,0"/>
            <v:stroke on="f"/>
            <v:imagedata r:id="rId13" o:title=""/>
            <o:lock v:ext="edit" aspectratio="t"/>
            <w10:wrap type="none"/>
            <w10:anchorlock/>
          </v:shape>
          <o:OLEObject Type="Embed" ProgID="Equation.KSEE3" ShapeID="_x0000_i1026" DrawAspect="Content" ObjectID="_1468075726" r:id="rId12">
            <o:LockedField>false</o:LockedField>
          </o:OLEObject>
        </w:object>
      </w:r>
      <w:r>
        <w:rPr>
          <w:rFonts w:ascii="Times New Roman" w:hAnsi="Times New Roman" w:eastAsia="宋体" w:cs="Times New Roman"/>
          <w:color w:val="auto"/>
          <w:szCs w:val="21"/>
          <w:highlight w:val="none"/>
        </w:rPr>
        <w:t>——</w:t>
      </w:r>
      <w:r>
        <w:rPr>
          <w:rFonts w:ascii="Times New Roman" w:hAnsi="Times New Roman" w:cs="Times New Roman"/>
          <w:color w:val="auto"/>
          <w:szCs w:val="21"/>
          <w:highlight w:val="none"/>
        </w:rPr>
        <w:t>桩端阻力</w:t>
      </w:r>
      <w:r>
        <w:rPr>
          <w:rFonts w:hint="eastAsia" w:ascii="Times New Roman" w:hAnsi="Times New Roman" w:cs="Times New Roman"/>
          <w:color w:val="auto"/>
          <w:szCs w:val="21"/>
          <w:highlight w:val="none"/>
          <w:lang w:eastAsia="zh-CN"/>
        </w:rPr>
        <w:t>；</w:t>
      </w:r>
    </w:p>
    <w:p w14:paraId="13FA8B68">
      <w:pPr>
        <w:ind w:firstLine="420" w:firstLineChars="200"/>
        <w:rPr>
          <w:rFonts w:hint="eastAsia" w:ascii="Times New Roman" w:hAnsi="Times New Roman" w:cs="Times New Roman"/>
          <w:color w:val="auto"/>
          <w:szCs w:val="21"/>
          <w:highlight w:val="none"/>
          <w:lang w:eastAsia="zh-CN"/>
        </w:rPr>
      </w:pPr>
      <w:r>
        <w:rPr>
          <w:rFonts w:ascii="Times New Roman" w:hAnsi="Times New Roman" w:cs="Times New Roman"/>
          <w:color w:val="auto"/>
          <w:position w:val="-12"/>
          <w:szCs w:val="21"/>
          <w:highlight w:val="none"/>
        </w:rPr>
        <w:object>
          <v:shape id="_x0000_i1027" o:spt="75" type="#_x0000_t75" style="height:18pt;width:13.95pt;" o:ole="t" filled="f" o:preferrelative="t" stroked="f" coordsize="21600,21600">
            <v:path/>
            <v:fill on="f" focussize="0,0"/>
            <v:stroke on="f"/>
            <v:imagedata r:id="rId15" o:title=""/>
            <o:lock v:ext="edit" aspectratio="t"/>
            <w10:wrap type="none"/>
            <w10:anchorlock/>
          </v:shape>
          <o:OLEObject Type="Embed" ProgID="Equation.KSEE3" ShapeID="_x0000_i1027" DrawAspect="Content" ObjectID="_1468075727" r:id="rId14">
            <o:LockedField>false</o:LockedField>
          </o:OLEObject>
        </w:object>
      </w:r>
      <w:r>
        <w:rPr>
          <w:rFonts w:ascii="Times New Roman" w:hAnsi="Times New Roman" w:eastAsia="宋体" w:cs="Times New Roman"/>
          <w:color w:val="auto"/>
          <w:szCs w:val="21"/>
          <w:highlight w:val="none"/>
        </w:rPr>
        <w:t>——</w:t>
      </w:r>
      <w:r>
        <w:rPr>
          <w:rFonts w:ascii="Times New Roman" w:hAnsi="Times New Roman" w:cs="Times New Roman"/>
          <w:color w:val="auto"/>
          <w:szCs w:val="21"/>
          <w:highlight w:val="none"/>
        </w:rPr>
        <w:t>桩周土的侧阻力</w:t>
      </w:r>
      <w:r>
        <w:rPr>
          <w:rFonts w:hint="eastAsia" w:ascii="Times New Roman" w:hAnsi="Times New Roman" w:cs="Times New Roman"/>
          <w:color w:val="auto"/>
          <w:szCs w:val="21"/>
          <w:highlight w:val="none"/>
          <w:lang w:eastAsia="zh-CN"/>
        </w:rPr>
        <w:t>；</w:t>
      </w:r>
    </w:p>
    <w:p w14:paraId="73704DE9">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i/>
          <w:iCs/>
          <w:color w:val="auto"/>
          <w:szCs w:val="21"/>
          <w:highlight w:val="none"/>
        </w:rPr>
        <w:t>q</w:t>
      </w:r>
      <w:r>
        <w:rPr>
          <w:rFonts w:ascii="Times New Roman" w:hAnsi="Times New Roman" w:eastAsia="宋体" w:cs="Times New Roman"/>
          <w:color w:val="auto"/>
          <w:szCs w:val="21"/>
          <w:highlight w:val="none"/>
          <w:vertAlign w:val="subscript"/>
        </w:rPr>
        <w:t>u</w:t>
      </w:r>
      <w:r>
        <w:rPr>
          <w:rFonts w:ascii="Times New Roman" w:hAnsi="Times New Roman" w:eastAsia="宋体" w:cs="Times New Roman"/>
          <w:color w:val="auto"/>
          <w:szCs w:val="21"/>
          <w:highlight w:val="none"/>
        </w:rPr>
        <w:t>——无侧限抗压强度</w:t>
      </w:r>
      <w:r>
        <w:rPr>
          <w:rFonts w:hint="eastAsia" w:ascii="Times New Roman" w:hAnsi="Times New Roman" w:eastAsia="宋体" w:cs="Times New Roman"/>
          <w:color w:val="auto"/>
          <w:szCs w:val="21"/>
          <w:highlight w:val="none"/>
          <w:lang w:eastAsia="zh-CN"/>
        </w:rPr>
        <w:t>；</w:t>
      </w:r>
    </w:p>
    <w:p w14:paraId="52735723">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i/>
          <w:color w:val="auto"/>
          <w:szCs w:val="21"/>
          <w:highlight w:val="none"/>
        </w:rPr>
        <w:t>R</w:t>
      </w:r>
      <w:r>
        <w:rPr>
          <w:rFonts w:ascii="Times New Roman" w:hAnsi="Times New Roman" w:cs="Times New Roman"/>
          <w:i/>
          <w:color w:val="auto"/>
          <w:szCs w:val="21"/>
          <w:highlight w:val="none"/>
          <w:vertAlign w:val="subscript"/>
        </w:rPr>
        <w:t>a</w:t>
      </w:r>
      <w:r>
        <w:rPr>
          <w:rFonts w:ascii="Times New Roman" w:hAnsi="Times New Roman" w:eastAsia="宋体" w:cs="Times New Roman"/>
          <w:color w:val="auto"/>
          <w:szCs w:val="21"/>
          <w:highlight w:val="none"/>
        </w:rPr>
        <w:t>——</w:t>
      </w:r>
      <w:r>
        <w:rPr>
          <w:rFonts w:ascii="Times New Roman" w:hAnsi="Times New Roman" w:cs="Times New Roman"/>
          <w:color w:val="auto"/>
          <w:szCs w:val="21"/>
          <w:highlight w:val="none"/>
        </w:rPr>
        <w:t>单桩承载力；</w:t>
      </w:r>
    </w:p>
    <w:p w14:paraId="5E290993">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eastAsia="宋体" w:cs="Times New Roman"/>
                <w:i/>
                <w:color w:val="auto"/>
                <w:sz w:val="21"/>
                <w:szCs w:val="21"/>
                <w:highlight w:val="none"/>
              </w:rPr>
            </m:ctrlPr>
          </m:sSubPr>
          <m:e>
            <m:r>
              <m:rPr/>
              <w:rPr>
                <w:rFonts w:hint="default" w:ascii="Cambria Math" w:hAnsi="Cambria Math" w:eastAsia="宋体" w:cs="Times New Roman"/>
                <w:color w:val="auto"/>
                <w:sz w:val="21"/>
                <w:szCs w:val="21"/>
                <w:highlight w:val="none"/>
              </w:rPr>
              <m:t>S</m:t>
            </m:r>
            <m:ctrlPr>
              <w:rPr>
                <w:rFonts w:ascii="Cambria Math" w:hAnsi="Cambria Math" w:eastAsia="宋体" w:cs="Times New Roman"/>
                <w:i/>
                <w:color w:val="auto"/>
                <w:sz w:val="21"/>
                <w:szCs w:val="21"/>
                <w:highlight w:val="none"/>
              </w:rPr>
            </m:ctrlPr>
          </m:e>
          <m:sub>
            <m:r>
              <m:rPr/>
              <w:rPr>
                <w:rFonts w:ascii="Cambria Math" w:hAnsi="Cambria Math" w:eastAsia="宋体" w:cs="Times New Roman"/>
                <w:color w:val="auto"/>
                <w:sz w:val="21"/>
                <w:szCs w:val="21"/>
                <w:highlight w:val="none"/>
              </w:rPr>
              <m:t>∞</m:t>
            </m:r>
            <m:ctrlPr>
              <w:rPr>
                <w:rFonts w:ascii="Cambria Math" w:hAnsi="Cambria Math" w:eastAsia="宋体" w:cs="Times New Roman"/>
                <w:i/>
                <w:color w:val="auto"/>
                <w:sz w:val="21"/>
                <w:szCs w:val="21"/>
                <w:highlight w:val="none"/>
              </w:rPr>
            </m:ctrlPr>
          </m:sub>
        </m:sSub>
      </m:oMath>
      <w:r>
        <w:rPr>
          <w:rFonts w:ascii="Times New Roman" w:hAnsi="Times New Roman" w:eastAsia="宋体" w:cs="Times New Roman"/>
          <w:color w:val="auto"/>
          <w:szCs w:val="21"/>
          <w:highlight w:val="none"/>
        </w:rPr>
        <w:t>——预测最终沉降量；</w:t>
      </w:r>
    </w:p>
    <w:p w14:paraId="53E42F01">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i/>
          <w:iCs/>
          <w:color w:val="auto"/>
          <w:szCs w:val="21"/>
          <w:highlight w:val="none"/>
        </w:rPr>
        <w:t>T</w:t>
      </w:r>
      <w:r>
        <w:rPr>
          <w:rFonts w:ascii="Times New Roman" w:hAnsi="Times New Roman" w:eastAsia="宋体" w:cs="Times New Roman"/>
          <w:color w:val="auto"/>
          <w:szCs w:val="21"/>
          <w:highlight w:val="none"/>
          <w:vertAlign w:val="subscript"/>
        </w:rPr>
        <w:t>gc</w:t>
      </w:r>
      <w:r>
        <w:rPr>
          <w:rFonts w:ascii="Times New Roman" w:hAnsi="Times New Roman" w:eastAsia="宋体" w:cs="Times New Roman"/>
          <w:color w:val="auto"/>
          <w:szCs w:val="21"/>
          <w:highlight w:val="none"/>
        </w:rPr>
        <w:t>——土工合成材料的设计抗拉强度</w:t>
      </w:r>
      <w:r>
        <w:rPr>
          <w:rFonts w:hint="eastAsia" w:ascii="Times New Roman" w:hAnsi="Times New Roman" w:eastAsia="宋体" w:cs="Times New Roman"/>
          <w:color w:val="auto"/>
          <w:szCs w:val="21"/>
          <w:highlight w:val="none"/>
          <w:lang w:eastAsia="zh-CN"/>
        </w:rPr>
        <w:t>；</w:t>
      </w:r>
    </w:p>
    <w:p w14:paraId="524979F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i/>
          <w:iCs/>
          <w:color w:val="auto"/>
          <w:szCs w:val="21"/>
          <w:highlight w:val="none"/>
        </w:rPr>
        <w:t>T</w:t>
      </w:r>
      <w:r>
        <w:rPr>
          <w:rFonts w:ascii="Times New Roman" w:hAnsi="Times New Roman" w:eastAsia="宋体" w:cs="Times New Roman"/>
          <w:color w:val="auto"/>
          <w:szCs w:val="21"/>
          <w:highlight w:val="none"/>
          <w:vertAlign w:val="subscript"/>
        </w:rPr>
        <w:t>s</w:t>
      </w:r>
      <w:r>
        <w:rPr>
          <w:rFonts w:ascii="Times New Roman" w:hAnsi="Times New Roman" w:eastAsia="宋体" w:cs="Times New Roman"/>
          <w:color w:val="auto"/>
          <w:szCs w:val="21"/>
          <w:highlight w:val="none"/>
        </w:rPr>
        <w:t>——土工合成材料的抗拉强度；</w:t>
      </w:r>
    </w:p>
    <w:p w14:paraId="2CCF2E6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position w:val="-6"/>
          <w:szCs w:val="21"/>
          <w:highlight w:val="none"/>
        </w:rPr>
        <w:object>
          <v:shape id="_x0000_i1028" o:spt="75" type="#_x0000_t75" style="height:11pt;width:10pt;" o:ole="t" filled="f" o:preferrelative="t" stroked="f" coordsize="21600,21600">
            <v:path/>
            <v:fill on="f" focussize="0,0"/>
            <v:stroke on="f"/>
            <v:imagedata r:id="rId17" o:title=""/>
            <o:lock v:ext="edit" aspectratio="t"/>
            <w10:wrap type="none"/>
            <w10:anchorlock/>
          </v:shape>
          <o:OLEObject Type="Embed" ProgID="Equation.KSEE3" ShapeID="_x0000_i1028" DrawAspect="Content" ObjectID="_1468075728" r:id="rId16">
            <o:LockedField>false</o:LockedField>
          </o:OLEObject>
        </w:object>
      </w:r>
      <w:r>
        <w:rPr>
          <w:rFonts w:ascii="Times New Roman" w:hAnsi="Times New Roman" w:eastAsia="宋体" w:cs="Times New Roman"/>
          <w:color w:val="auto"/>
          <w:szCs w:val="21"/>
          <w:highlight w:val="none"/>
        </w:rPr>
        <w:t>——抗剪强度；</w:t>
      </w:r>
    </w:p>
    <w:p w14:paraId="5193B885">
      <w:pPr>
        <w:spacing w:line="360" w:lineRule="auto"/>
        <w:ind w:firstLine="420" w:firstLineChars="200"/>
        <w:rPr>
          <w:rFonts w:hint="eastAsia" w:ascii="Times New Roman" w:hAnsi="Times New Roman" w:eastAsia="宋体" w:cs="Times New Roman"/>
          <w:color w:val="auto"/>
          <w:szCs w:val="21"/>
          <w:highlight w:val="none"/>
          <w:lang w:eastAsia="zh-CN"/>
        </w:rPr>
      </w:pPr>
      <m:oMath>
        <m:sSub>
          <m:sSubPr>
            <m:ctrlPr>
              <w:rPr>
                <w:rFonts w:ascii="Cambria Math" w:hAnsi="Cambria Math" w:eastAsia="宋体" w:cs="Times New Roman"/>
                <w:i/>
                <w:color w:val="auto"/>
                <w:sz w:val="21"/>
                <w:szCs w:val="21"/>
                <w:highlight w:val="none"/>
              </w:rPr>
            </m:ctrlPr>
          </m:sSubPr>
          <m:e>
            <m:r>
              <m:rPr/>
              <w:rPr>
                <w:rFonts w:hint="default" w:ascii="Cambria Math" w:hAnsi="Cambria Math" w:eastAsia="宋体" w:cs="Times New Roman"/>
                <w:color w:val="auto"/>
                <w:sz w:val="21"/>
                <w:szCs w:val="21"/>
                <w:highlight w:val="none"/>
              </w:rPr>
              <m:t>τ</m:t>
            </m:r>
            <m:ctrlPr>
              <w:rPr>
                <w:rFonts w:ascii="Cambria Math" w:hAnsi="Cambria Math" w:eastAsia="宋体" w:cs="Times New Roman"/>
                <w:i/>
                <w:color w:val="auto"/>
                <w:sz w:val="21"/>
                <w:szCs w:val="21"/>
                <w:highlight w:val="none"/>
              </w:rPr>
            </m:ctrlPr>
          </m:e>
          <m:sub>
            <m:r>
              <m:rPr/>
              <w:rPr>
                <w:rFonts w:hint="default" w:ascii="Cambria Math" w:hAnsi="Cambria Math" w:eastAsia="宋体" w:cs="Times New Roman"/>
                <w:color w:val="auto"/>
                <w:sz w:val="21"/>
                <w:szCs w:val="21"/>
                <w:highlight w:val="none"/>
              </w:rPr>
              <m:t>ps</m:t>
            </m:r>
            <m:ctrlPr>
              <w:rPr>
                <w:rFonts w:ascii="Cambria Math" w:hAnsi="Cambria Math" w:eastAsia="宋体" w:cs="Times New Roman"/>
                <w:i/>
                <w:color w:val="auto"/>
                <w:sz w:val="21"/>
                <w:szCs w:val="21"/>
                <w:highlight w:val="none"/>
              </w:rPr>
            </m:ctrlPr>
          </m:sub>
        </m:sSub>
      </m:oMath>
      <w:r>
        <w:rPr>
          <w:rFonts w:ascii="Times New Roman" w:hAnsi="Times New Roman" w:eastAsia="宋体" w:cs="Times New Roman"/>
          <w:color w:val="auto"/>
          <w:szCs w:val="21"/>
          <w:highlight w:val="none"/>
        </w:rPr>
        <w:t>——加固土桩复合地基的抗剪强度</w:t>
      </w:r>
      <w:r>
        <w:rPr>
          <w:rFonts w:hint="eastAsia" w:ascii="Times New Roman" w:hAnsi="Times New Roman" w:eastAsia="宋体" w:cs="Times New Roman"/>
          <w:color w:val="auto"/>
          <w:szCs w:val="21"/>
          <w:highlight w:val="none"/>
          <w:lang w:eastAsia="zh-CN"/>
        </w:rPr>
        <w:t>；</w:t>
      </w:r>
    </w:p>
    <w:p w14:paraId="1962C10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i/>
          <w:iCs/>
          <w:color w:val="auto"/>
          <w:szCs w:val="21"/>
          <w:highlight w:val="none"/>
        </w:rPr>
        <w:t>θ</w:t>
      </w:r>
      <w:r>
        <w:rPr>
          <w:rFonts w:ascii="Times New Roman" w:hAnsi="Times New Roman" w:eastAsia="宋体" w:cs="Times New Roman"/>
          <w:color w:val="auto"/>
          <w:szCs w:val="21"/>
          <w:highlight w:val="none"/>
        </w:rPr>
        <w:t>——压力扩散角</w:t>
      </w:r>
      <w:r>
        <w:rPr>
          <w:rFonts w:hint="eastAsia" w:ascii="Times New Roman" w:hAnsi="Times New Roman" w:eastAsia="宋体" w:cs="Times New Roman"/>
          <w:color w:val="auto"/>
          <w:szCs w:val="21"/>
          <w:highlight w:val="none"/>
          <w:lang w:eastAsia="zh-CN"/>
        </w:rPr>
        <w:t>；</w:t>
      </w:r>
    </w:p>
    <w:p w14:paraId="0EA7FCE8">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i/>
          <w:iCs/>
          <w:color w:val="auto"/>
          <w:szCs w:val="21"/>
          <w:highlight w:val="none"/>
          <w:lang w:val="en-US" w:eastAsia="zh-CN"/>
        </w:rPr>
        <w:t>W</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填土</w:t>
      </w:r>
      <w:r>
        <w:rPr>
          <w:rFonts w:ascii="Times New Roman" w:hAnsi="Times New Roman" w:eastAsia="宋体" w:cs="Times New Roman"/>
          <w:color w:val="auto"/>
          <w:szCs w:val="21"/>
          <w:highlight w:val="none"/>
        </w:rPr>
        <w:t>重</w:t>
      </w:r>
      <w:r>
        <w:rPr>
          <w:rFonts w:hint="eastAsia" w:ascii="Times New Roman" w:hAnsi="Times New Roman" w:eastAsia="宋体" w:cs="Times New Roman"/>
          <w:color w:val="auto"/>
          <w:szCs w:val="21"/>
          <w:highlight w:val="none"/>
          <w:lang w:val="en-US" w:eastAsia="zh-CN"/>
        </w:rPr>
        <w:t>量。</w:t>
      </w:r>
    </w:p>
    <w:p w14:paraId="1B838964">
      <w:pPr>
        <w:spacing w:line="360" w:lineRule="auto"/>
        <w:rPr>
          <w:rFonts w:hint="eastAsia"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 xml:space="preserve">3.2.3 </w:t>
      </w:r>
    </w:p>
    <w:p w14:paraId="14E7D529">
      <w:pPr>
        <w:spacing w:line="360" w:lineRule="auto"/>
        <w:ind w:firstLine="420" w:firstLineChars="200"/>
        <w:rPr>
          <w:rFonts w:hint="eastAsia"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几何参数</w:t>
      </w:r>
    </w:p>
    <w:p w14:paraId="77757D9F">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anchor distT="0" distB="0" distL="0" distR="0" simplePos="0" relativeHeight="251663360" behindDoc="0" locked="0" layoutInCell="1" allowOverlap="1">
            <wp:simplePos x="0" y="0"/>
            <wp:positionH relativeFrom="column">
              <wp:posOffset>183515</wp:posOffset>
            </wp:positionH>
            <wp:positionV relativeFrom="paragraph">
              <wp:posOffset>51435</wp:posOffset>
            </wp:positionV>
            <wp:extent cx="198120" cy="236220"/>
            <wp:effectExtent l="0" t="0" r="0" b="635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8120" cy="236220"/>
                    </a:xfrm>
                    <a:prstGeom prst="rect">
                      <a:avLst/>
                    </a:prstGeom>
                    <a:noFill/>
                    <a:ln>
                      <a:noFill/>
                    </a:ln>
                  </pic:spPr>
                </pic:pic>
              </a:graphicData>
            </a:graphic>
          </wp:anchor>
        </w:drawing>
      </w:r>
      <w:r>
        <w:rPr>
          <w:rFonts w:ascii="Times New Roman" w:hAnsi="Times New Roman" w:eastAsia="宋体" w:cs="Times New Roman"/>
          <w:color w:val="auto"/>
          <w:szCs w:val="21"/>
          <w:highlight w:val="none"/>
        </w:rPr>
        <w:t>——桩的截面积</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w:t>
      </w:r>
    </w:p>
    <w:p w14:paraId="024FF8B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B——方形桩桩帽边长；</w:t>
      </w:r>
    </w:p>
    <w:p w14:paraId="0E12C03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b——矩形基础或条形基础底面的宽度；</w:t>
      </w:r>
    </w:p>
    <w:p w14:paraId="216D845A">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D</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——桩径</w:t>
      </w:r>
      <w:r>
        <w:rPr>
          <w:rFonts w:hint="eastAsia" w:ascii="Times New Roman" w:hAnsi="Times New Roman" w:eastAsia="宋体" w:cs="Times New Roman"/>
          <w:color w:val="auto"/>
          <w:szCs w:val="21"/>
          <w:highlight w:val="none"/>
          <w:lang w:eastAsia="zh-CN"/>
        </w:rPr>
        <w:t>；</w:t>
      </w:r>
    </w:p>
    <w:p w14:paraId="35C6772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d——桥涵结构物基础埋置深度；</w:t>
      </w:r>
    </w:p>
    <w:p w14:paraId="65B3B259">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H——路堤填土高度</w:t>
      </w:r>
      <w:r>
        <w:rPr>
          <w:rFonts w:hint="eastAsia" w:ascii="Times New Roman" w:hAnsi="Times New Roman" w:eastAsia="宋体" w:cs="Times New Roman"/>
          <w:color w:val="auto"/>
          <w:szCs w:val="21"/>
          <w:highlight w:val="none"/>
          <w:lang w:eastAsia="zh-CN"/>
        </w:rPr>
        <w:t>；</w:t>
      </w:r>
    </w:p>
    <w:p w14:paraId="191A1174">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b</w:t>
      </w:r>
      <w:r>
        <w:rPr>
          <w:rFonts w:ascii="Times New Roman" w:hAnsi="Times New Roman" w:eastAsia="宋体" w:cs="Times New Roman"/>
          <w:color w:val="auto"/>
          <w:szCs w:val="21"/>
          <w:highlight w:val="none"/>
        </w:rPr>
        <w:t>——桩端进入持力层深度</w:t>
      </w:r>
      <w:r>
        <w:rPr>
          <w:rFonts w:hint="eastAsia" w:ascii="Times New Roman" w:hAnsi="Times New Roman" w:eastAsia="宋体" w:cs="Times New Roman"/>
          <w:color w:val="auto"/>
          <w:szCs w:val="21"/>
          <w:highlight w:val="none"/>
          <w:lang w:eastAsia="zh-CN"/>
        </w:rPr>
        <w:t>。</w:t>
      </w:r>
    </w:p>
    <w:p w14:paraId="73F97C4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l——矩形基础底面的长度；</w:t>
      </w:r>
    </w:p>
    <w:p w14:paraId="313107A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s——粒料桩间距；</w:t>
      </w:r>
    </w:p>
    <w:p w14:paraId="7AC75986">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u</w:t>
      </w:r>
      <w:r>
        <w:rPr>
          <w:rFonts w:hint="eastAsia" w:ascii="Times New Roman" w:hAnsi="Times New Roman" w:eastAsia="宋体" w:cs="Times New Roman"/>
          <w:color w:val="auto"/>
          <w:szCs w:val="21"/>
          <w:highlight w:val="none"/>
          <w:vertAlign w:val="subscript"/>
          <w:lang w:val="en-US" w:eastAsia="zh-CN"/>
        </w:rPr>
        <w:t>p</w:t>
      </w:r>
      <w:r>
        <w:rPr>
          <w:rFonts w:ascii="Times New Roman" w:hAnsi="Times New Roman" w:eastAsia="宋体" w:cs="Times New Roman"/>
          <w:color w:val="auto"/>
          <w:szCs w:val="21"/>
          <w:highlight w:val="none"/>
        </w:rPr>
        <w:t>——桩周长度；</w:t>
      </w:r>
    </w:p>
    <w:p w14:paraId="54F85872">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z——垫层厚度</w:t>
      </w:r>
      <w:r>
        <w:rPr>
          <w:rFonts w:hint="eastAsia" w:ascii="Times New Roman" w:hAnsi="Times New Roman" w:eastAsia="宋体" w:cs="Times New Roman"/>
          <w:color w:val="auto"/>
          <w:szCs w:val="21"/>
          <w:highlight w:val="none"/>
          <w:lang w:eastAsia="zh-CN"/>
        </w:rPr>
        <w:t>。</w:t>
      </w:r>
    </w:p>
    <w:p w14:paraId="74A565A8">
      <w:pPr>
        <w:spacing w:line="360" w:lineRule="auto"/>
        <w:rPr>
          <w:rFonts w:hint="eastAsia"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3.2.4</w:t>
      </w:r>
    </w:p>
    <w:p w14:paraId="66A7E9D6">
      <w:pPr>
        <w:spacing w:line="360" w:lineRule="auto"/>
        <w:ind w:firstLine="420" w:firstLineChars="200"/>
        <w:rPr>
          <w:rFonts w:hint="default" w:ascii="黑体" w:hAnsi="黑体" w:eastAsia="黑体" w:cs="黑体"/>
          <w:b w:val="0"/>
          <w:bCs w:val="0"/>
          <w:color w:val="auto"/>
          <w:szCs w:val="21"/>
          <w:highlight w:val="none"/>
          <w:lang w:val="en-US" w:eastAsia="zh-CN"/>
        </w:rPr>
      </w:pPr>
      <w:r>
        <w:rPr>
          <w:rFonts w:hint="eastAsia" w:ascii="黑体" w:hAnsi="黑体" w:eastAsia="黑体" w:cs="黑体"/>
          <w:b w:val="0"/>
          <w:bCs w:val="0"/>
          <w:color w:val="auto"/>
          <w:szCs w:val="21"/>
          <w:highlight w:val="none"/>
          <w:lang w:val="en-US" w:eastAsia="zh-CN"/>
        </w:rPr>
        <w:t>设计参数和计算系数</w:t>
      </w:r>
    </w:p>
    <w:p w14:paraId="65B85A4D">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e</w:t>
      </w:r>
      <w:r>
        <w:rPr>
          <w:rFonts w:ascii="Times New Roman" w:hAnsi="Times New Roman" w:eastAsia="宋体" w:cs="Times New Roman"/>
          <w:color w:val="auto"/>
          <w:szCs w:val="21"/>
          <w:highlight w:val="none"/>
        </w:rPr>
        <w:t>——单桩有效处理面积；</w:t>
      </w:r>
    </w:p>
    <w:p w14:paraId="52BB376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α——桩端天然地基土的承载力折减系数；</w:t>
      </w:r>
    </w:p>
    <w:p w14:paraId="3BBEE755">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acc>
              <m:accPr>
                <m:chr m:val="̅"/>
                <m:ctrlPr>
                  <w:rPr>
                    <w:rFonts w:ascii="Cambria Math" w:hAnsi="Cambria Math" w:eastAsia="宋体" w:cs="Times New Roman"/>
                    <w:color w:val="auto"/>
                    <w:szCs w:val="21"/>
                    <w:highlight w:val="none"/>
                  </w:rPr>
                </m:ctrlPr>
              </m:accPr>
              <m:e>
                <m:r>
                  <m:rPr>
                    <m:sty m:val="p"/>
                  </m:rPr>
                  <w:rPr>
                    <w:rFonts w:ascii="Cambria Math" w:hAnsi="Cambria Math" w:eastAsia="宋体" w:cs="Times New Roman"/>
                    <w:color w:val="auto"/>
                    <w:szCs w:val="21"/>
                    <w:highlight w:val="none"/>
                  </w:rPr>
                  <m:t>α</m:t>
                </m:r>
                <m:ctrlPr>
                  <w:rPr>
                    <w:rFonts w:ascii="Cambria Math" w:hAnsi="Cambria Math" w:eastAsia="宋体" w:cs="Times New Roman"/>
                    <w:color w:val="auto"/>
                    <w:szCs w:val="21"/>
                    <w:highlight w:val="none"/>
                  </w:rPr>
                </m:ctrlPr>
              </m:e>
            </m:acc>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——基底至第i层土底面范围内平均附加</w:t>
      </w:r>
      <w:r>
        <w:rPr>
          <w:rFonts w:hint="eastAsia" w:ascii="Times New Roman" w:hAnsi="Times New Roman" w:eastAsia="宋体" w:cs="Times New Roman"/>
          <w:color w:val="auto"/>
          <w:szCs w:val="21"/>
          <w:highlight w:val="none"/>
          <w:lang w:val="en-US" w:eastAsia="zh-CN"/>
        </w:rPr>
        <w:t>应力</w:t>
      </w:r>
      <w:r>
        <w:rPr>
          <w:rFonts w:ascii="Times New Roman" w:hAnsi="Times New Roman" w:eastAsia="宋体" w:cs="Times New Roman"/>
          <w:color w:val="auto"/>
          <w:szCs w:val="21"/>
          <w:highlight w:val="none"/>
        </w:rPr>
        <w:t>系数；</w:t>
      </w:r>
    </w:p>
    <w:p w14:paraId="106836D0">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β——桩间土承载力折减系数</w:t>
      </w:r>
      <w:r>
        <w:rPr>
          <w:rFonts w:hint="eastAsia" w:ascii="Times New Roman" w:hAnsi="Times New Roman" w:eastAsia="宋体" w:cs="Times New Roman"/>
          <w:color w:val="auto"/>
          <w:szCs w:val="21"/>
          <w:highlight w:val="none"/>
          <w:lang w:eastAsia="zh-CN"/>
        </w:rPr>
        <w:t>；</w:t>
      </w:r>
    </w:p>
    <w:p w14:paraId="0B28518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d——加固深度；</w:t>
      </w:r>
    </w:p>
    <w:p w14:paraId="6EDB1BBA">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d</w:t>
      </w:r>
      <w:r>
        <w:rPr>
          <w:rFonts w:ascii="Times New Roman" w:hAnsi="Times New Roman" w:eastAsia="宋体" w:cs="Times New Roman"/>
          <w:color w:val="auto"/>
          <w:szCs w:val="21"/>
          <w:highlight w:val="none"/>
          <w:vertAlign w:val="subscript"/>
        </w:rPr>
        <w:t>e</w:t>
      </w:r>
      <w:r>
        <w:rPr>
          <w:rFonts w:ascii="Times New Roman" w:hAnsi="Times New Roman" w:eastAsia="宋体" w:cs="Times New Roman"/>
          <w:color w:val="auto"/>
          <w:szCs w:val="21"/>
          <w:highlight w:val="none"/>
        </w:rPr>
        <w:t>——单桩有效直径；</w:t>
      </w:r>
    </w:p>
    <w:p w14:paraId="30986795">
      <w:pPr>
        <w:spacing w:line="360" w:lineRule="auto"/>
        <w:ind w:firstLine="420" w:firstLineChars="200"/>
        <w:rPr>
          <w:rFonts w:ascii="Times New Roman" w:hAnsi="Times New Roman" w:eastAsia="宋体" w:cs="Times New Roman"/>
          <w:color w:val="auto"/>
          <w:szCs w:val="21"/>
          <w:highlight w:val="none"/>
        </w:rPr>
      </w:pPr>
      <m:oMath>
        <m:r>
          <m:rPr>
            <m:sty m:val="p"/>
          </m:rPr>
          <w:rPr>
            <w:rFonts w:ascii="Cambria Math" w:hAnsi="Cambria Math" w:eastAsia="宋体" w:cs="Times New Roman"/>
            <w:color w:val="auto"/>
            <w:szCs w:val="21"/>
            <w:highlight w:val="none"/>
          </w:rPr>
          <m:t>η</m:t>
        </m:r>
      </m:oMath>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桩体荷载分担比系数；</w:t>
      </w:r>
    </w:p>
    <w:p w14:paraId="740F4FC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F——稳定安全系数；</w:t>
      </w:r>
    </w:p>
    <w:p w14:paraId="44E5C103">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gs</w:t>
      </w:r>
      <w:r>
        <w:rPr>
          <w:rFonts w:ascii="Times New Roman" w:hAnsi="Times New Roman" w:eastAsia="宋体" w:cs="Times New Roman"/>
          <w:color w:val="auto"/>
          <w:szCs w:val="21"/>
          <w:highlight w:val="none"/>
        </w:rPr>
        <w:t>——土工合成材料与路堤填料接触的界面摩擦系数</w:t>
      </w:r>
      <w:r>
        <w:rPr>
          <w:rFonts w:hint="eastAsia" w:ascii="Times New Roman" w:hAnsi="Times New Roman" w:eastAsia="宋体" w:cs="Times New Roman"/>
          <w:color w:val="auto"/>
          <w:szCs w:val="21"/>
          <w:highlight w:val="none"/>
          <w:lang w:eastAsia="zh-CN"/>
        </w:rPr>
        <w:t>；</w:t>
      </w:r>
    </w:p>
    <w:p w14:paraId="0DC391E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G——夯击能；</w:t>
      </w:r>
    </w:p>
    <w:p w14:paraId="5132D7C8">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h——夯锤落距</w:t>
      </w:r>
      <w:r>
        <w:rPr>
          <w:rFonts w:hint="eastAsia" w:ascii="Times New Roman" w:hAnsi="Times New Roman" w:eastAsia="宋体" w:cs="Times New Roman"/>
          <w:color w:val="auto"/>
          <w:szCs w:val="21"/>
          <w:highlight w:val="none"/>
          <w:lang w:val="en-US" w:eastAsia="zh-CN"/>
        </w:rPr>
        <w:t>；</w:t>
      </w:r>
    </w:p>
    <w:p w14:paraId="21B6A353">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I</w:t>
      </w:r>
      <w:r>
        <w:rPr>
          <w:rFonts w:ascii="Times New Roman" w:hAnsi="Times New Roman" w:eastAsia="宋体" w:cs="Times New Roman"/>
          <w:color w:val="auto"/>
          <w:szCs w:val="21"/>
          <w:highlight w:val="none"/>
          <w:vertAlign w:val="subscript"/>
        </w:rPr>
        <w:t>PB</w:t>
      </w:r>
      <w:r>
        <w:rPr>
          <w:rFonts w:ascii="Times New Roman" w:hAnsi="Times New Roman" w:eastAsia="宋体" w:cs="Times New Roman"/>
          <w:color w:val="auto"/>
          <w:szCs w:val="21"/>
          <w:highlight w:val="none"/>
        </w:rPr>
        <w:t>——跳车指数</w:t>
      </w:r>
      <w:r>
        <w:rPr>
          <w:rFonts w:hint="eastAsia" w:ascii="Times New Roman" w:hAnsi="Times New Roman" w:eastAsia="宋体" w:cs="Times New Roman"/>
          <w:color w:val="auto"/>
          <w:szCs w:val="21"/>
          <w:highlight w:val="none"/>
          <w:lang w:eastAsia="zh-CN"/>
        </w:rPr>
        <w:t>；</w:t>
      </w:r>
    </w:p>
    <w:p w14:paraId="2ADFC65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K</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——主动土压力系数；</w:t>
      </w:r>
    </w:p>
    <w:p w14:paraId="6EAFE90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λ——单桩承载力发挥系数；</w:t>
      </w:r>
    </w:p>
    <w:p w14:paraId="1AA9645B">
      <w:pPr>
        <w:spacing w:line="360" w:lineRule="auto"/>
        <w:ind w:firstLine="420" w:firstLineChars="200"/>
        <w:rPr>
          <w:rFonts w:hint="eastAsia" w:ascii="Times New Roman" w:hAnsi="Times New Roman" w:eastAsia="宋体" w:cs="Times New Roman"/>
          <w:color w:val="auto"/>
          <w:szCs w:val="21"/>
          <w:highlight w:val="none"/>
          <w:lang w:eastAsia="zh-CN"/>
        </w:rPr>
      </w:pPr>
      <m:oMath>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λ</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c</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——材料强度综合修正系数</w:t>
      </w:r>
      <w:r>
        <w:rPr>
          <w:rFonts w:hint="eastAsia" w:ascii="Times New Roman" w:hAnsi="Times New Roman" w:eastAsia="宋体" w:cs="Times New Roman"/>
          <w:color w:val="auto"/>
          <w:szCs w:val="21"/>
          <w:highlight w:val="none"/>
          <w:lang w:eastAsia="zh-CN"/>
        </w:rPr>
        <w:t>；</w:t>
      </w:r>
    </w:p>
    <w:p w14:paraId="69B1D83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m——面积置换率；</w:t>
      </w:r>
    </w:p>
    <w:p w14:paraId="239529E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w:t>
      </w:r>
      <w:r>
        <w:rPr>
          <w:rFonts w:hint="eastAsia" w:ascii="Times New Roman" w:hAnsi="Times New Roman" w:eastAsia="宋体" w:cs="Times New Roman"/>
          <w:color w:val="auto"/>
          <w:szCs w:val="21"/>
          <w:highlight w:val="none"/>
          <w:vertAlign w:val="subscript"/>
          <w:lang w:val="en-US" w:eastAsia="zh-CN"/>
        </w:rPr>
        <w:t>h</w:t>
      </w:r>
      <w:r>
        <w:rPr>
          <w:rFonts w:ascii="Times New Roman" w:hAnsi="Times New Roman" w:eastAsia="宋体" w:cs="Times New Roman"/>
          <w:color w:val="auto"/>
          <w:szCs w:val="21"/>
          <w:highlight w:val="none"/>
        </w:rPr>
        <w:t>——夯锤</w:t>
      </w:r>
      <w:r>
        <w:rPr>
          <w:rFonts w:hint="eastAsia" w:ascii="Times New Roman" w:hAnsi="Times New Roman" w:eastAsia="宋体" w:cs="Times New Roman"/>
          <w:color w:val="auto"/>
          <w:szCs w:val="21"/>
          <w:highlight w:val="none"/>
          <w:lang w:val="en-US" w:eastAsia="zh-CN"/>
        </w:rPr>
        <w:t>质量</w:t>
      </w:r>
      <w:r>
        <w:rPr>
          <w:rFonts w:ascii="Times New Roman" w:hAnsi="Times New Roman" w:eastAsia="宋体" w:cs="Times New Roman"/>
          <w:color w:val="auto"/>
          <w:szCs w:val="21"/>
          <w:highlight w:val="none"/>
        </w:rPr>
        <w:t>；</w:t>
      </w:r>
    </w:p>
    <w:p w14:paraId="1807CF38">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n——复合地基桩土应力比</w:t>
      </w:r>
      <w:r>
        <w:rPr>
          <w:rFonts w:hint="eastAsia" w:ascii="Times New Roman" w:hAnsi="Times New Roman" w:eastAsia="宋体" w:cs="Times New Roman"/>
          <w:color w:val="auto"/>
          <w:szCs w:val="21"/>
          <w:highlight w:val="none"/>
          <w:lang w:val="en-US" w:eastAsia="zh-CN"/>
        </w:rPr>
        <w:t>；</w:t>
      </w:r>
    </w:p>
    <w:p w14:paraId="66FE595A">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ψ</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s</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——沉降计算经验系数</w:t>
      </w:r>
      <w:r>
        <w:rPr>
          <w:rFonts w:hint="eastAsia" w:ascii="Times New Roman" w:hAnsi="Times New Roman" w:eastAsia="宋体" w:cs="Times New Roman"/>
          <w:color w:val="auto"/>
          <w:szCs w:val="21"/>
          <w:highlight w:val="none"/>
          <w:lang w:val="en-US" w:eastAsia="zh-CN"/>
        </w:rPr>
        <w:t>；</w:t>
      </w:r>
    </w:p>
    <w:p w14:paraId="55B851C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R——滑</w:t>
      </w:r>
      <w:r>
        <w:rPr>
          <w:rFonts w:hint="eastAsia" w:ascii="Times New Roman" w:hAnsi="Times New Roman" w:eastAsia="宋体" w:cs="Times New Roman"/>
          <w:color w:val="auto"/>
          <w:szCs w:val="21"/>
          <w:highlight w:val="none"/>
          <w:lang w:val="en-US" w:eastAsia="zh-CN"/>
        </w:rPr>
        <w:t>动圆</w:t>
      </w:r>
      <w:r>
        <w:rPr>
          <w:rFonts w:ascii="Times New Roman" w:hAnsi="Times New Roman" w:eastAsia="宋体" w:cs="Times New Roman"/>
          <w:color w:val="auto"/>
          <w:szCs w:val="21"/>
          <w:highlight w:val="none"/>
        </w:rPr>
        <w:t>弧半径；</w:t>
      </w:r>
    </w:p>
    <w:p w14:paraId="031B7E26">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——桩中心间距</w:t>
      </w:r>
      <w:r>
        <w:rPr>
          <w:rFonts w:hint="eastAsia" w:ascii="Times New Roman" w:hAnsi="Times New Roman" w:eastAsia="宋体" w:cs="Times New Roman"/>
          <w:color w:val="auto"/>
          <w:szCs w:val="21"/>
          <w:highlight w:val="none"/>
          <w:lang w:eastAsia="zh-CN"/>
        </w:rPr>
        <w:t>；</w:t>
      </w:r>
    </w:p>
    <w:p w14:paraId="60EB998D">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t</w:t>
      </w:r>
      <w:r>
        <w:rPr>
          <w:rFonts w:ascii="Times New Roman" w:hAnsi="Times New Roman" w:eastAsia="宋体" w:cs="Times New Roman"/>
          <w:color w:val="auto"/>
          <w:szCs w:val="21"/>
          <w:highlight w:val="none"/>
        </w:rPr>
        <w:t>——拟合曲线上任意点的时间对应的沉降值；</w:t>
      </w:r>
    </w:p>
    <w:p w14:paraId="4D9CEB8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t——拟合曲线上任意点的时间；</w:t>
      </w:r>
    </w:p>
    <w:p w14:paraId="4D5D0BA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U</w:t>
      </w:r>
      <w:r>
        <w:rPr>
          <w:rFonts w:ascii="Times New Roman" w:hAnsi="Times New Roman" w:eastAsia="宋体" w:cs="Times New Roman"/>
          <w:color w:val="auto"/>
          <w:szCs w:val="21"/>
          <w:highlight w:val="none"/>
          <w:vertAlign w:val="subscript"/>
        </w:rPr>
        <w:t>t</w:t>
      </w:r>
      <w:r>
        <w:rPr>
          <w:rFonts w:ascii="Times New Roman" w:hAnsi="Times New Roman" w:eastAsia="宋体" w:cs="Times New Roman"/>
          <w:color w:val="auto"/>
          <w:szCs w:val="21"/>
          <w:highlight w:val="none"/>
        </w:rPr>
        <w:t>——t时刻对应的地基固结度</w:t>
      </w:r>
      <w:r>
        <w:rPr>
          <w:rFonts w:hint="eastAsia" w:ascii="Times New Roman" w:hAnsi="Times New Roman" w:eastAsia="宋体" w:cs="Times New Roman"/>
          <w:color w:val="auto"/>
          <w:szCs w:val="21"/>
          <w:highlight w:val="none"/>
          <w:lang w:eastAsia="zh-CN"/>
        </w:rPr>
        <w:t>；</w:t>
      </w:r>
    </w:p>
    <w:p w14:paraId="1C81B87E">
      <w:pPr>
        <w:spacing w:line="360" w:lineRule="auto"/>
        <w:ind w:firstLine="420" w:firstLineChars="200"/>
        <w:rPr>
          <w:rFonts w:hint="eastAsia" w:ascii="Times New Roman" w:hAnsi="Times New Roman" w:eastAsia="宋体" w:cs="Times New Roman"/>
          <w:color w:val="auto"/>
          <w:szCs w:val="21"/>
          <w:highlight w:val="none"/>
          <w:lang w:eastAsia="zh-CN"/>
        </w:rPr>
      </w:pPr>
      <m:oMath>
        <m:r>
          <m:rPr>
            <m:sty m:val="p"/>
          </m:rPr>
          <w:rPr>
            <w:rFonts w:ascii="Cambria Math" w:hAnsi="Cambria Math" w:eastAsia="宋体" w:cs="Times New Roman"/>
            <w:color w:val="auto"/>
            <w:szCs w:val="21"/>
            <w:highlight w:val="none"/>
          </w:rPr>
          <m:t>ξ</m:t>
        </m:r>
      </m:oMath>
      <w:r>
        <w:rPr>
          <w:rFonts w:ascii="Times New Roman" w:hAnsi="Times New Roman" w:eastAsia="宋体" w:cs="Times New Roman"/>
          <w:color w:val="auto"/>
          <w:szCs w:val="21"/>
          <w:highlight w:val="none"/>
        </w:rPr>
        <w:t>——修正系数</w:t>
      </w:r>
      <w:r>
        <w:rPr>
          <w:rFonts w:hint="eastAsia" w:ascii="Times New Roman" w:hAnsi="Times New Roman" w:eastAsia="宋体" w:cs="Times New Roman"/>
          <w:color w:val="auto"/>
          <w:szCs w:val="21"/>
          <w:highlight w:val="none"/>
          <w:lang w:eastAsia="zh-CN"/>
        </w:rPr>
        <w:t>。</w:t>
      </w:r>
    </w:p>
    <w:p w14:paraId="4FA8CC0B">
      <w:pPr>
        <w:spacing w:line="360" w:lineRule="auto"/>
        <w:ind w:firstLine="420" w:firstLineChars="200"/>
        <w:rPr>
          <w:rFonts w:hint="eastAsia" w:ascii="Times New Roman" w:hAnsi="Times New Roman" w:eastAsia="宋体" w:cs="Times New Roman"/>
          <w:color w:val="auto"/>
          <w:szCs w:val="21"/>
          <w:highlight w:val="none"/>
          <w:lang w:eastAsia="zh-CN"/>
        </w:rPr>
      </w:pPr>
    </w:p>
    <w:p w14:paraId="6BD250EE">
      <w:pPr>
        <w:spacing w:before="156" w:beforeLines="50" w:after="156" w:afterLines="50" w:line="360" w:lineRule="auto"/>
        <w:jc w:val="both"/>
        <w:outlineLvl w:val="0"/>
        <w:rPr>
          <w:rFonts w:hint="eastAsia" w:ascii="黑体" w:hAnsi="黑体" w:eastAsia="黑体" w:cs="黑体"/>
          <w:b w:val="0"/>
          <w:bCs w:val="0"/>
          <w:color w:val="auto"/>
          <w:sz w:val="24"/>
          <w:highlight w:val="none"/>
        </w:rPr>
      </w:pPr>
    </w:p>
    <w:p w14:paraId="774764E9">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both"/>
        <w:textAlignment w:val="auto"/>
        <w:outlineLvl w:val="0"/>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4 基本规定</w:t>
      </w:r>
      <w:bookmarkEnd w:id="5"/>
    </w:p>
    <w:p w14:paraId="3684678E">
      <w:pPr>
        <w:spacing w:before="156" w:beforeLines="50" w:after="156" w:afterLines="50" w:line="360" w:lineRule="auto"/>
        <w:jc w:val="both"/>
        <w:outlineLvl w:val="0"/>
        <w:rPr>
          <w:rFonts w:hint="eastAsia" w:ascii="黑体" w:hAnsi="黑体" w:eastAsia="黑体" w:cs="黑体"/>
          <w:b w:val="0"/>
          <w:bCs w:val="0"/>
          <w:color w:val="auto"/>
          <w:sz w:val="24"/>
          <w:highlight w:val="none"/>
        </w:rPr>
      </w:pPr>
    </w:p>
    <w:p w14:paraId="7A1908A2">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4.1</w:t>
      </w:r>
      <w:r>
        <w:rPr>
          <w:rFonts w:ascii="Times New Roman" w:hAnsi="Times New Roman" w:eastAsia="宋体" w:cs="Times New Roman"/>
          <w:color w:val="auto"/>
          <w:szCs w:val="21"/>
          <w:highlight w:val="none"/>
        </w:rPr>
        <w:t xml:space="preserve"> 公路软弱土地基处治的勘察、设计、施工、检测、监测应贯彻执行国家技术经济政策，做到技术安全可靠、经济合理，确保质量和保护环境。</w:t>
      </w:r>
    </w:p>
    <w:p w14:paraId="3630AFF9">
      <w:pPr>
        <w:spacing w:line="360" w:lineRule="auto"/>
        <w:jc w:val="left"/>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4.2</w:t>
      </w:r>
      <w:r>
        <w:rPr>
          <w:rFonts w:ascii="Times New Roman" w:hAnsi="Times New Roman" w:eastAsia="宋体" w:cs="Times New Roman"/>
          <w:color w:val="auto"/>
          <w:szCs w:val="21"/>
          <w:highlight w:val="none"/>
        </w:rPr>
        <w:t xml:space="preserve"> 公路软弱土地基处治的勘察设计属公路工程项目的勘察设计内容，包含在公路勘察设计成果报告中；当软弱土路段较长、厚度较大、施工环境受限制、采用新技术或者需与桥梁跨越方案进行对比时，应开展专项勘察设计工作，单独提交勘察设计成果文件。</w:t>
      </w:r>
    </w:p>
    <w:p w14:paraId="71BEF413">
      <w:pPr>
        <w:spacing w:line="360" w:lineRule="auto"/>
        <w:rPr>
          <w:rFonts w:hint="eastAsia" w:ascii="Times New Roman" w:hAnsi="Times New Roman" w:eastAsia="宋体" w:cs="Times New Roman"/>
          <w:color w:val="auto"/>
          <w:szCs w:val="21"/>
          <w:highlight w:val="none"/>
          <w:lang w:eastAsia="zh-CN"/>
        </w:rPr>
      </w:pPr>
      <w:r>
        <w:rPr>
          <w:rFonts w:hint="eastAsia" w:ascii="黑体" w:hAnsi="黑体" w:eastAsia="黑体" w:cs="黑体"/>
          <w:color w:val="auto"/>
          <w:szCs w:val="21"/>
          <w:highlight w:val="none"/>
          <w:lang w:val="en-US" w:eastAsia="zh-CN"/>
        </w:rPr>
        <w:t>4.3</w:t>
      </w:r>
      <w:r>
        <w:rPr>
          <w:rFonts w:ascii="Times New Roman" w:hAnsi="Times New Roman" w:eastAsia="宋体" w:cs="Times New Roman"/>
          <w:color w:val="auto"/>
          <w:szCs w:val="21"/>
          <w:highlight w:val="none"/>
        </w:rPr>
        <w:t xml:space="preserve"> 软弱土地基路段设置</w:t>
      </w:r>
      <w:r>
        <w:rPr>
          <w:rFonts w:hint="eastAsia" w:ascii="Times New Roman" w:hAnsi="Times New Roman" w:eastAsia="宋体" w:cs="Times New Roman"/>
          <w:color w:val="auto"/>
          <w:szCs w:val="21"/>
          <w:highlight w:val="none"/>
          <w:lang w:val="en-US" w:eastAsia="zh-CN"/>
        </w:rPr>
        <w:t>涵</w:t>
      </w:r>
      <w:r>
        <w:rPr>
          <w:rFonts w:ascii="Times New Roman" w:hAnsi="Times New Roman" w:eastAsia="宋体" w:cs="Times New Roman"/>
          <w:color w:val="auto"/>
          <w:szCs w:val="21"/>
          <w:highlight w:val="none"/>
        </w:rPr>
        <w:t>洞、通道等构造物时，地基勘察、处治设计应同时满足构造物设置的需要</w:t>
      </w:r>
      <w:r>
        <w:rPr>
          <w:rFonts w:hint="eastAsia" w:ascii="Times New Roman" w:hAnsi="Times New Roman" w:eastAsia="宋体" w:cs="Times New Roman"/>
          <w:color w:val="auto"/>
          <w:szCs w:val="21"/>
          <w:highlight w:val="none"/>
          <w:lang w:eastAsia="zh-CN"/>
        </w:rPr>
        <w:t>。</w:t>
      </w:r>
    </w:p>
    <w:p w14:paraId="7ED27F23">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4.4</w:t>
      </w:r>
      <w:r>
        <w:rPr>
          <w:rFonts w:ascii="Times New Roman" w:hAnsi="Times New Roman" w:eastAsia="宋体" w:cs="Times New Roman"/>
          <w:color w:val="auto"/>
          <w:szCs w:val="21"/>
          <w:highlight w:val="none"/>
        </w:rPr>
        <w:t xml:space="preserve"> 公路软弱土地基处治提倡积极推广应用经工程验证的新技术、新材</w:t>
      </w:r>
      <w:r>
        <w:rPr>
          <w:rFonts w:hint="eastAsia" w:ascii="Times New Roman" w:hAnsi="Times New Roman" w:eastAsia="宋体" w:cs="Times New Roman"/>
          <w:color w:val="auto"/>
          <w:szCs w:val="21"/>
          <w:highlight w:val="none"/>
          <w:lang w:val="en-US" w:eastAsia="zh-CN"/>
        </w:rPr>
        <w:t>料</w:t>
      </w:r>
      <w:r>
        <w:rPr>
          <w:rFonts w:ascii="Times New Roman" w:hAnsi="Times New Roman" w:eastAsia="宋体" w:cs="Times New Roman"/>
          <w:color w:val="auto"/>
          <w:szCs w:val="21"/>
          <w:highlight w:val="none"/>
        </w:rPr>
        <w:t>、新工艺和新设备。</w:t>
      </w:r>
    </w:p>
    <w:p w14:paraId="07452B73">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4.5</w:t>
      </w:r>
      <w:r>
        <w:rPr>
          <w:rFonts w:ascii="Times New Roman" w:hAnsi="Times New Roman" w:eastAsia="宋体" w:cs="Times New Roman"/>
          <w:color w:val="auto"/>
          <w:szCs w:val="21"/>
          <w:highlight w:val="none"/>
        </w:rPr>
        <w:t xml:space="preserve"> 公路软弱土地基处治应采取动态设计</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进行施工监控，及时检测和控制地基承载力及变形稳定情况，调整优化设计和施工技术方案；软弱土地基规模较大、填方高度较高和特殊路段软弱土地基处治时，应进行工后沉降观测，以评价路基变形及稳定状况。</w:t>
      </w:r>
    </w:p>
    <w:p w14:paraId="7A8BA0B9">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4.6</w:t>
      </w:r>
      <w:r>
        <w:rPr>
          <w:rFonts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rPr>
        <w:t>以竖向加速度为指标的行车舒适性控制标准如</w:t>
      </w:r>
      <w:r>
        <w:rPr>
          <w:rFonts w:hint="eastAsia" w:ascii="Times New Roman" w:hAnsi="Times New Roman" w:eastAsia="宋体" w:cs="Times New Roman"/>
          <w:color w:val="auto"/>
          <w:szCs w:val="21"/>
          <w:highlight w:val="none"/>
          <w:lang w:val="en-US" w:eastAsia="zh-CN"/>
        </w:rPr>
        <w:t>表1</w:t>
      </w:r>
      <w:r>
        <w:rPr>
          <w:rFonts w:hint="eastAsia" w:ascii="Times New Roman" w:hAnsi="Times New Roman" w:eastAsia="宋体" w:cs="Times New Roman"/>
          <w:color w:val="auto"/>
          <w:szCs w:val="21"/>
          <w:highlight w:val="none"/>
        </w:rPr>
        <w:t>：</w:t>
      </w:r>
    </w:p>
    <w:p w14:paraId="4DF2BA1B">
      <w:pPr>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表1  行车舒适性控制标准</w:t>
      </w:r>
    </w:p>
    <w:tbl>
      <w:tblPr>
        <w:tblStyle w:val="15"/>
        <w:tblW w:w="488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83"/>
        <w:gridCol w:w="1683"/>
        <w:gridCol w:w="1683"/>
        <w:gridCol w:w="1683"/>
        <w:gridCol w:w="1688"/>
      </w:tblGrid>
      <w:tr w14:paraId="130839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999" w:type="pct"/>
            <w:vAlign w:val="center"/>
          </w:tcPr>
          <w:p w14:paraId="3E6162AA">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竖向加速度</w:t>
            </w:r>
            <w:r>
              <w:rPr>
                <w:rFonts w:ascii="Times New Roman" w:hAnsi="Times New Roman" w:eastAsia="宋体" w:cs="Times New Roman"/>
                <w:color w:val="auto"/>
                <w:position w:val="-6"/>
                <w:sz w:val="18"/>
                <w:szCs w:val="18"/>
                <w:highlight w:val="none"/>
              </w:rPr>
              <w:object>
                <v:shape id="_x0000_i1029" o:spt="75" type="#_x0000_t75" style="height:9.2pt;width:9.75pt;" o:ole="t" filled="f" o:preferrelative="t" stroked="f" coordsize="21600,21600">
                  <v:path/>
                  <v:fill on="f" focussize="0,0"/>
                  <v:stroke on="f"/>
                  <v:imagedata r:id="rId20" o:title=""/>
                  <o:lock v:ext="edit" aspectratio="t"/>
                  <w10:wrap type="none"/>
                  <w10:anchorlock/>
                </v:shape>
                <o:OLEObject Type="Embed" ProgID="Equation.DSMT4" ShapeID="_x0000_i1029" DrawAspect="Content" ObjectID="_1468075729" r:id="rId19">
                  <o:LockedField>false</o:LockedField>
                </o:OLEObject>
              </w:object>
            </w:r>
            <w:r>
              <w:rPr>
                <w:rFonts w:ascii="Times New Roman" w:hAnsi="Times New Roman" w:eastAsia="宋体" w:cs="Times New Roman"/>
                <w:color w:val="auto"/>
                <w:sz w:val="18"/>
                <w:szCs w:val="18"/>
                <w:highlight w:val="none"/>
              </w:rPr>
              <w:t>（m/s</w:t>
            </w:r>
            <w:r>
              <w:rPr>
                <w:rFonts w:ascii="Times New Roman" w:hAnsi="Times New Roman" w:eastAsia="宋体" w:cs="Times New Roman"/>
                <w:color w:val="auto"/>
                <w:sz w:val="18"/>
                <w:szCs w:val="18"/>
                <w:highlight w:val="none"/>
                <w:vertAlign w:val="superscript"/>
              </w:rPr>
              <w:t>2</w:t>
            </w:r>
            <w:r>
              <w:rPr>
                <w:rFonts w:ascii="Times New Roman" w:hAnsi="Times New Roman" w:eastAsia="宋体" w:cs="Times New Roman"/>
                <w:color w:val="auto"/>
                <w:sz w:val="18"/>
                <w:szCs w:val="18"/>
                <w:highlight w:val="none"/>
              </w:rPr>
              <w:t>）</w:t>
            </w:r>
          </w:p>
        </w:tc>
        <w:tc>
          <w:tcPr>
            <w:tcW w:w="999" w:type="pct"/>
            <w:vAlign w:val="center"/>
          </w:tcPr>
          <w:p w14:paraId="7A3AAAA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position w:val="-6"/>
                <w:sz w:val="18"/>
                <w:szCs w:val="18"/>
                <w:highlight w:val="none"/>
              </w:rPr>
              <w:object>
                <v:shape id="_x0000_i1030" o:spt="75" type="#_x0000_t75" style="height:9.2pt;width:9.75pt;" o:ole="t" filled="f" o:preferrelative="t" stroked="f" coordsize="21600,21600">
                  <v:path/>
                  <v:fill on="f" focussize="0,0"/>
                  <v:stroke on="f"/>
                  <v:imagedata r:id="rId20" o:title=""/>
                  <o:lock v:ext="edit" aspectratio="t"/>
                  <w10:wrap type="none"/>
                  <w10:anchorlock/>
                </v:shape>
                <o:OLEObject Type="Embed" ProgID="Equation.DSMT4" ShapeID="_x0000_i1030" DrawAspect="Content" ObjectID="_1468075730" r:id="rId21">
                  <o:LockedField>false</o:LockedField>
                </o:OLEObject>
              </w:object>
            </w:r>
            <w:r>
              <w:rPr>
                <w:rFonts w:ascii="Times New Roman" w:hAnsi="Times New Roman" w:eastAsia="宋体" w:cs="Times New Roman"/>
                <w:color w:val="auto"/>
                <w:sz w:val="18"/>
                <w:szCs w:val="18"/>
                <w:highlight w:val="none"/>
              </w:rPr>
              <w:t>＜1.0</w:t>
            </w:r>
          </w:p>
        </w:tc>
        <w:tc>
          <w:tcPr>
            <w:tcW w:w="999" w:type="pct"/>
            <w:vAlign w:val="center"/>
          </w:tcPr>
          <w:p w14:paraId="52055C2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position w:val="-6"/>
                <w:sz w:val="18"/>
                <w:szCs w:val="18"/>
                <w:highlight w:val="none"/>
              </w:rPr>
              <w:object>
                <v:shape id="_x0000_i1031" o:spt="75" type="#_x0000_t75" style="height:9.2pt;width:9.75pt;" o:ole="t" filled="f" o:preferrelative="t" stroked="f" coordsize="21600,21600">
                  <v:path/>
                  <v:fill on="f" focussize="0,0"/>
                  <v:stroke on="f"/>
                  <v:imagedata r:id="rId20" o:title=""/>
                  <o:lock v:ext="edit" aspectratio="t"/>
                  <w10:wrap type="none"/>
                  <w10:anchorlock/>
                </v:shape>
                <o:OLEObject Type="Embed" ProgID="Equation.DSMT4" ShapeID="_x0000_i1031" DrawAspect="Content" ObjectID="_1468075731" r:id="rId22">
                  <o:LockedField>false</o:LockedField>
                </o:OLEObject>
              </w:object>
            </w:r>
            <w:r>
              <w:rPr>
                <w:rFonts w:ascii="Times New Roman" w:hAnsi="Times New Roman" w:eastAsia="宋体" w:cs="Times New Roman"/>
                <w:color w:val="auto"/>
                <w:sz w:val="18"/>
                <w:szCs w:val="18"/>
                <w:highlight w:val="none"/>
              </w:rPr>
              <w:t>＜1.6</w:t>
            </w:r>
          </w:p>
        </w:tc>
        <w:tc>
          <w:tcPr>
            <w:tcW w:w="999" w:type="pct"/>
            <w:vAlign w:val="center"/>
          </w:tcPr>
          <w:p w14:paraId="4D7705F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1.6</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position w:val="-6"/>
                <w:sz w:val="18"/>
                <w:szCs w:val="18"/>
                <w:highlight w:val="none"/>
              </w:rPr>
              <w:object>
                <v:shape id="_x0000_i1032" o:spt="75" type="#_x0000_t75" style="height:9.2pt;width:9.75pt;" o:ole="t" filled="f" o:preferrelative="t" stroked="f" coordsize="21600,21600">
                  <v:path/>
                  <v:fill on="f" focussize="0,0"/>
                  <v:stroke on="f"/>
                  <v:imagedata r:id="rId20" o:title=""/>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eastAsia="宋体" w:cs="Times New Roman"/>
                <w:color w:val="auto"/>
                <w:sz w:val="18"/>
                <w:szCs w:val="18"/>
                <w:highlight w:val="none"/>
              </w:rPr>
              <w:t>＜2.5</w:t>
            </w:r>
          </w:p>
        </w:tc>
        <w:tc>
          <w:tcPr>
            <w:tcW w:w="1001" w:type="pct"/>
            <w:vAlign w:val="center"/>
          </w:tcPr>
          <w:p w14:paraId="2621E2D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position w:val="-6"/>
                <w:sz w:val="18"/>
                <w:szCs w:val="18"/>
                <w:highlight w:val="none"/>
              </w:rPr>
              <w:object>
                <v:shape id="_x0000_i1033" o:spt="75" type="#_x0000_t75" style="height:9.2pt;width:9.75pt;" o:ole="t" filled="f" o:preferrelative="t" stroked="f" coordsize="21600,21600">
                  <v:path/>
                  <v:fill on="f" focussize="0,0"/>
                  <v:stroke on="f"/>
                  <v:imagedata r:id="rId20" o:title=""/>
                  <o:lock v:ext="edit" aspectratio="t"/>
                  <w10:wrap type="none"/>
                  <w10:anchorlock/>
                </v:shape>
                <o:OLEObject Type="Embed" ProgID="Equation.DSMT4" ShapeID="_x0000_i1033" DrawAspect="Content" ObjectID="_1468075733" r:id="rId24">
                  <o:LockedField>false</o:LockedField>
                </o:OLEObject>
              </w:object>
            </w:r>
            <w:r>
              <w:rPr>
                <w:rFonts w:hint="eastAsia" w:ascii="Times New Roman" w:hAnsi="Times New Roman" w:eastAsia="宋体" w:cs="Times New Roman"/>
                <w:color w:val="auto"/>
                <w:position w:val="-6"/>
                <w:sz w:val="18"/>
                <w:szCs w:val="18"/>
                <w:highlight w:val="none"/>
                <w:lang w:val="en-US" w:eastAsia="zh-CN"/>
              </w:rPr>
              <w:t>≥</w:t>
            </w:r>
            <w:r>
              <w:rPr>
                <w:rFonts w:ascii="Times New Roman" w:hAnsi="Times New Roman" w:eastAsia="宋体" w:cs="Times New Roman"/>
                <w:color w:val="auto"/>
                <w:sz w:val="18"/>
                <w:szCs w:val="18"/>
                <w:highlight w:val="none"/>
              </w:rPr>
              <w:t>2.5</w:t>
            </w:r>
          </w:p>
        </w:tc>
      </w:tr>
      <w:tr w14:paraId="463690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999" w:type="pct"/>
            <w:vAlign w:val="center"/>
          </w:tcPr>
          <w:p w14:paraId="4E0728B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人体舒适感</w:t>
            </w:r>
          </w:p>
        </w:tc>
        <w:tc>
          <w:tcPr>
            <w:tcW w:w="999" w:type="pct"/>
            <w:vAlign w:val="center"/>
          </w:tcPr>
          <w:p w14:paraId="55873A8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舒适</w:t>
            </w:r>
          </w:p>
        </w:tc>
        <w:tc>
          <w:tcPr>
            <w:tcW w:w="999" w:type="pct"/>
            <w:vAlign w:val="center"/>
          </w:tcPr>
          <w:p w14:paraId="69B49BC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不舒适</w:t>
            </w:r>
          </w:p>
        </w:tc>
        <w:tc>
          <w:tcPr>
            <w:tcW w:w="999" w:type="pct"/>
            <w:vAlign w:val="center"/>
          </w:tcPr>
          <w:p w14:paraId="19B709B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非常不舒适</w:t>
            </w:r>
          </w:p>
        </w:tc>
        <w:tc>
          <w:tcPr>
            <w:tcW w:w="1001" w:type="pct"/>
            <w:vAlign w:val="center"/>
          </w:tcPr>
          <w:p w14:paraId="4ED08E1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极不舒适</w:t>
            </w:r>
          </w:p>
        </w:tc>
      </w:tr>
    </w:tbl>
    <w:p w14:paraId="0D0F97A4">
      <w:pPr>
        <w:spacing w:line="360" w:lineRule="auto"/>
        <w:rPr>
          <w:rFonts w:hint="eastAsia" w:ascii="Times New Roman" w:hAnsi="Times New Roman" w:eastAsia="宋体" w:cs="Times New Roman"/>
          <w:color w:val="auto"/>
          <w:szCs w:val="21"/>
          <w:highlight w:val="none"/>
        </w:rPr>
      </w:pPr>
    </w:p>
    <w:p w14:paraId="44ABCABE">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4.7</w:t>
      </w:r>
      <w:r>
        <w:rPr>
          <w:rFonts w:ascii="Times New Roman" w:hAnsi="Times New Roman" w:eastAsia="宋体" w:cs="Times New Roman"/>
          <w:color w:val="auto"/>
          <w:szCs w:val="21"/>
          <w:highlight w:val="none"/>
        </w:rPr>
        <w:t xml:space="preserve"> 软弱土地基工程地质测试，应根据软弱土厚度、性质、地基处治方法、构筑物类型等条件合理选择室内试验和原位测试方法，为地基变形与稳定评价提供必要资料；对于换填路段，可仅做现场原位测试，涉及沉降与稳定计算的复合地基路段，应采取原状土样进行室内试验，室内试验应符合JTG／TD31的相关要求，不同软基处治方法的软弱土试验与测试项目可按表2选用。</w:t>
      </w:r>
    </w:p>
    <w:p w14:paraId="0EB0A74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color w:val="auto"/>
          <w:szCs w:val="21"/>
          <w:highlight w:val="none"/>
          <w:lang w:val="en-US" w:eastAsia="zh-CN"/>
        </w:rPr>
      </w:pPr>
      <w:r>
        <w:rPr>
          <w:rFonts w:hint="eastAsia" w:ascii="黑体" w:hAnsi="黑体" w:eastAsia="黑体" w:cs="黑体"/>
          <w:color w:val="auto"/>
          <w:szCs w:val="21"/>
          <w:highlight w:val="none"/>
          <w:lang w:val="en-US" w:eastAsia="zh-CN"/>
        </w:rPr>
        <w:t>4.8</w:t>
      </w:r>
      <w:r>
        <w:rPr>
          <w:rFonts w:ascii="Times New Roman" w:hAnsi="Times New Roman" w:eastAsia="宋体" w:cs="Times New Roman"/>
          <w:color w:val="auto"/>
          <w:szCs w:val="21"/>
          <w:highlight w:val="none"/>
        </w:rPr>
        <w:t xml:space="preserve"> 软弱土地基上的路堤稳定安全系数和工后沉降应满足</w:t>
      </w:r>
      <w:r>
        <w:rPr>
          <w:rFonts w:hint="eastAsia" w:ascii="Times New Roman" w:hAnsi="Times New Roman" w:eastAsia="宋体" w:cs="Times New Roman"/>
          <w:color w:val="auto"/>
          <w:szCs w:val="21"/>
          <w:highlight w:val="none"/>
          <w:lang w:val="en-US" w:eastAsia="zh-CN"/>
        </w:rPr>
        <w:t>如下</w:t>
      </w:r>
      <w:r>
        <w:rPr>
          <w:rFonts w:ascii="Times New Roman" w:hAnsi="Times New Roman" w:eastAsia="宋体" w:cs="Times New Roman"/>
          <w:color w:val="auto"/>
          <w:szCs w:val="21"/>
          <w:highlight w:val="none"/>
        </w:rPr>
        <w:t>要求</w:t>
      </w:r>
      <w:r>
        <w:rPr>
          <w:rFonts w:hint="eastAsia" w:ascii="Times New Roman" w:hAnsi="Times New Roman" w:eastAsia="宋体" w:cs="Times New Roman"/>
          <w:color w:val="auto"/>
          <w:szCs w:val="21"/>
          <w:highlight w:val="none"/>
          <w:lang w:eastAsia="zh-CN"/>
        </w:rPr>
        <w:t>。</w:t>
      </w:r>
    </w:p>
    <w:p w14:paraId="792486EA">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rPr>
        <w:tab/>
      </w:r>
      <w:r>
        <w:rPr>
          <w:rFonts w:ascii="Times New Roman" w:hAnsi="Times New Roman" w:eastAsia="宋体" w:cs="Times New Roman"/>
          <w:color w:val="auto"/>
          <w:szCs w:val="21"/>
          <w:highlight w:val="none"/>
        </w:rPr>
        <w:t>路堤稳定安全系数应符合表3的要求</w:t>
      </w:r>
      <w:r>
        <w:rPr>
          <w:rFonts w:hint="eastAsia" w:ascii="Times New Roman" w:hAnsi="Times New Roman" w:eastAsia="宋体" w:cs="Times New Roman"/>
          <w:color w:val="auto"/>
          <w:szCs w:val="21"/>
          <w:highlight w:val="none"/>
          <w:lang w:eastAsia="zh-CN"/>
        </w:rPr>
        <w:t>。</w:t>
      </w:r>
    </w:p>
    <w:p w14:paraId="06D17D7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路基工后沉降应符合表4的要求：</w:t>
      </w:r>
    </w:p>
    <w:p w14:paraId="679ABDC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路基稳定性验算和沉降计算方法应符合JTG／TD31的相关要求，当计算稳定安全</w:t>
      </w:r>
    </w:p>
    <w:p w14:paraId="3AF8E86B">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系数和工后沉降不满足要求时，应针对稳定和沉降进行软弱土地基处治设计。</w:t>
      </w:r>
    </w:p>
    <w:p w14:paraId="68858B7A">
      <w:pPr>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表2 </w:t>
      </w:r>
      <w:r>
        <w:rPr>
          <w:rFonts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软弱土试验与测试项目</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28"/>
        <w:gridCol w:w="1012"/>
        <w:gridCol w:w="1073"/>
        <w:gridCol w:w="997"/>
        <w:gridCol w:w="1214"/>
        <w:gridCol w:w="1410"/>
        <w:gridCol w:w="1186"/>
      </w:tblGrid>
      <w:tr w14:paraId="508F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08" w:type="pct"/>
            <w:vMerge w:val="restart"/>
            <w:vAlign w:val="center"/>
          </w:tcPr>
          <w:p w14:paraId="640F2B3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测试项目</w:t>
            </w:r>
          </w:p>
        </w:tc>
        <w:tc>
          <w:tcPr>
            <w:tcW w:w="4091" w:type="pct"/>
            <w:gridSpan w:val="6"/>
            <w:vAlign w:val="center"/>
          </w:tcPr>
          <w:p w14:paraId="02593A2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处治方法</w:t>
            </w:r>
          </w:p>
        </w:tc>
      </w:tr>
      <w:tr w14:paraId="31D4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Merge w:val="continue"/>
            <w:vAlign w:val="center"/>
          </w:tcPr>
          <w:p w14:paraId="02E3A8F5">
            <w:pPr>
              <w:spacing w:line="360" w:lineRule="auto"/>
              <w:jc w:val="center"/>
              <w:rPr>
                <w:rFonts w:ascii="Times New Roman" w:hAnsi="Times New Roman" w:eastAsia="宋体" w:cs="Times New Roman"/>
                <w:color w:val="auto"/>
                <w:sz w:val="18"/>
                <w:szCs w:val="18"/>
                <w:highlight w:val="none"/>
              </w:rPr>
            </w:pPr>
          </w:p>
        </w:tc>
        <w:tc>
          <w:tcPr>
            <w:tcW w:w="601" w:type="pct"/>
            <w:vAlign w:val="center"/>
          </w:tcPr>
          <w:p w14:paraId="650E62F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换填法</w:t>
            </w:r>
          </w:p>
        </w:tc>
        <w:tc>
          <w:tcPr>
            <w:tcW w:w="637" w:type="pct"/>
            <w:vAlign w:val="center"/>
          </w:tcPr>
          <w:p w14:paraId="2207CB5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加筋法</w:t>
            </w:r>
          </w:p>
        </w:tc>
        <w:tc>
          <w:tcPr>
            <w:tcW w:w="592" w:type="pct"/>
            <w:vAlign w:val="center"/>
          </w:tcPr>
          <w:p w14:paraId="79D3E92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强夯法</w:t>
            </w:r>
          </w:p>
        </w:tc>
        <w:tc>
          <w:tcPr>
            <w:tcW w:w="721" w:type="pct"/>
            <w:vAlign w:val="center"/>
          </w:tcPr>
          <w:p w14:paraId="2020945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粒料桩法</w:t>
            </w:r>
          </w:p>
        </w:tc>
        <w:tc>
          <w:tcPr>
            <w:tcW w:w="837" w:type="pct"/>
            <w:vAlign w:val="center"/>
          </w:tcPr>
          <w:p w14:paraId="5CD2847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加固土桩法</w:t>
            </w:r>
          </w:p>
        </w:tc>
        <w:tc>
          <w:tcPr>
            <w:tcW w:w="702" w:type="pct"/>
            <w:vAlign w:val="center"/>
          </w:tcPr>
          <w:p w14:paraId="1B2FDFE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刚性桩法</w:t>
            </w:r>
          </w:p>
        </w:tc>
      </w:tr>
      <w:tr w14:paraId="2B0D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2DB1F66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天然含水率</w:t>
            </w:r>
          </w:p>
        </w:tc>
        <w:tc>
          <w:tcPr>
            <w:tcW w:w="601" w:type="pct"/>
            <w:vAlign w:val="center"/>
          </w:tcPr>
          <w:p w14:paraId="69F8AA5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153E5B8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6079F18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7ADFA87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3C7EA7B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4E87C4A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51C2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0A5D1D5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天然密度</w:t>
            </w:r>
          </w:p>
        </w:tc>
        <w:tc>
          <w:tcPr>
            <w:tcW w:w="601" w:type="pct"/>
            <w:vAlign w:val="center"/>
          </w:tcPr>
          <w:p w14:paraId="28B3D59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55C13E2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670D328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557E68A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306A3BD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1DE0E08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1F34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6ACC0AB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天然孔隙比</w:t>
            </w:r>
          </w:p>
        </w:tc>
        <w:tc>
          <w:tcPr>
            <w:tcW w:w="601" w:type="pct"/>
            <w:vAlign w:val="center"/>
          </w:tcPr>
          <w:p w14:paraId="7E90ECA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2325519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06A105D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5C172AA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5D18CCB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20FC674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2C49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602C96E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液限</w:t>
            </w:r>
          </w:p>
        </w:tc>
        <w:tc>
          <w:tcPr>
            <w:tcW w:w="601" w:type="pct"/>
            <w:vAlign w:val="center"/>
          </w:tcPr>
          <w:p w14:paraId="4CBD70B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73EEE3E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657BC0B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7808CF5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4C6CDEF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28F6184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5575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5618235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塑限</w:t>
            </w:r>
          </w:p>
        </w:tc>
        <w:tc>
          <w:tcPr>
            <w:tcW w:w="601" w:type="pct"/>
            <w:vAlign w:val="center"/>
          </w:tcPr>
          <w:p w14:paraId="58FB941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7294A13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5DD4653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0434851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3C26F45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70EB9CA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6086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7900F42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压缩</w:t>
            </w:r>
          </w:p>
        </w:tc>
        <w:tc>
          <w:tcPr>
            <w:tcW w:w="601" w:type="pct"/>
            <w:vAlign w:val="center"/>
          </w:tcPr>
          <w:p w14:paraId="051BABC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4BD78A2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3155C0A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0F2F770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65C8D5C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14CE687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2303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490ADC4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直接快剪</w:t>
            </w:r>
          </w:p>
        </w:tc>
        <w:tc>
          <w:tcPr>
            <w:tcW w:w="601" w:type="pct"/>
            <w:vAlign w:val="center"/>
          </w:tcPr>
          <w:p w14:paraId="6145AB3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56434CE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21C10A7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0365635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4B61CB4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433802E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0FEC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4BDA1CC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固结快剪</w:t>
            </w:r>
          </w:p>
        </w:tc>
        <w:tc>
          <w:tcPr>
            <w:tcW w:w="601" w:type="pct"/>
            <w:vAlign w:val="center"/>
          </w:tcPr>
          <w:p w14:paraId="7A767ED8">
            <w:pPr>
              <w:spacing w:line="360" w:lineRule="auto"/>
              <w:jc w:val="center"/>
              <w:rPr>
                <w:rFonts w:ascii="Times New Roman" w:hAnsi="Times New Roman" w:eastAsia="宋体" w:cs="Times New Roman"/>
                <w:color w:val="auto"/>
                <w:sz w:val="18"/>
                <w:szCs w:val="18"/>
                <w:highlight w:val="none"/>
              </w:rPr>
            </w:pPr>
          </w:p>
        </w:tc>
        <w:tc>
          <w:tcPr>
            <w:tcW w:w="637" w:type="pct"/>
            <w:vAlign w:val="center"/>
          </w:tcPr>
          <w:p w14:paraId="7D47BA29">
            <w:pPr>
              <w:spacing w:line="360" w:lineRule="auto"/>
              <w:jc w:val="center"/>
              <w:rPr>
                <w:rFonts w:ascii="Times New Roman" w:hAnsi="Times New Roman" w:eastAsia="宋体" w:cs="Times New Roman"/>
                <w:color w:val="auto"/>
                <w:sz w:val="18"/>
                <w:szCs w:val="18"/>
                <w:highlight w:val="none"/>
              </w:rPr>
            </w:pPr>
          </w:p>
        </w:tc>
        <w:tc>
          <w:tcPr>
            <w:tcW w:w="592" w:type="pct"/>
            <w:vAlign w:val="center"/>
          </w:tcPr>
          <w:p w14:paraId="4B2F95A8">
            <w:pPr>
              <w:spacing w:line="360" w:lineRule="auto"/>
              <w:jc w:val="center"/>
              <w:rPr>
                <w:rFonts w:ascii="Times New Roman" w:hAnsi="Times New Roman" w:eastAsia="宋体" w:cs="Times New Roman"/>
                <w:color w:val="auto"/>
                <w:sz w:val="18"/>
                <w:szCs w:val="18"/>
                <w:highlight w:val="none"/>
              </w:rPr>
            </w:pPr>
          </w:p>
        </w:tc>
        <w:tc>
          <w:tcPr>
            <w:tcW w:w="721" w:type="pct"/>
            <w:vAlign w:val="center"/>
          </w:tcPr>
          <w:p w14:paraId="6B0C4F4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70103AC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5301299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2442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10A73D9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三轴剪切</w:t>
            </w:r>
          </w:p>
        </w:tc>
        <w:tc>
          <w:tcPr>
            <w:tcW w:w="601" w:type="pct"/>
            <w:vAlign w:val="center"/>
          </w:tcPr>
          <w:p w14:paraId="2DC5E703">
            <w:pPr>
              <w:spacing w:line="360" w:lineRule="auto"/>
              <w:jc w:val="center"/>
              <w:rPr>
                <w:rFonts w:ascii="Times New Roman" w:hAnsi="Times New Roman" w:eastAsia="宋体" w:cs="Times New Roman"/>
                <w:color w:val="auto"/>
                <w:sz w:val="18"/>
                <w:szCs w:val="18"/>
                <w:highlight w:val="none"/>
              </w:rPr>
            </w:pPr>
          </w:p>
        </w:tc>
        <w:tc>
          <w:tcPr>
            <w:tcW w:w="637" w:type="pct"/>
            <w:vAlign w:val="center"/>
          </w:tcPr>
          <w:p w14:paraId="06DBFB5C">
            <w:pPr>
              <w:spacing w:line="360" w:lineRule="auto"/>
              <w:jc w:val="center"/>
              <w:rPr>
                <w:rFonts w:ascii="Times New Roman" w:hAnsi="Times New Roman" w:eastAsia="宋体" w:cs="Times New Roman"/>
                <w:color w:val="auto"/>
                <w:sz w:val="18"/>
                <w:szCs w:val="18"/>
                <w:highlight w:val="none"/>
              </w:rPr>
            </w:pPr>
          </w:p>
        </w:tc>
        <w:tc>
          <w:tcPr>
            <w:tcW w:w="592" w:type="pct"/>
            <w:vAlign w:val="center"/>
          </w:tcPr>
          <w:p w14:paraId="7A77883D">
            <w:pPr>
              <w:spacing w:line="360" w:lineRule="auto"/>
              <w:jc w:val="center"/>
              <w:rPr>
                <w:rFonts w:ascii="Times New Roman" w:hAnsi="Times New Roman" w:eastAsia="宋体" w:cs="Times New Roman"/>
                <w:color w:val="auto"/>
                <w:sz w:val="18"/>
                <w:szCs w:val="18"/>
                <w:highlight w:val="none"/>
              </w:rPr>
            </w:pPr>
          </w:p>
        </w:tc>
        <w:tc>
          <w:tcPr>
            <w:tcW w:w="721" w:type="pct"/>
            <w:vAlign w:val="center"/>
          </w:tcPr>
          <w:p w14:paraId="1549ED1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0022F0E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3C34F63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2DDA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2E89728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渗透试验</w:t>
            </w:r>
          </w:p>
        </w:tc>
        <w:tc>
          <w:tcPr>
            <w:tcW w:w="601" w:type="pct"/>
            <w:vAlign w:val="center"/>
          </w:tcPr>
          <w:p w14:paraId="5C096E60">
            <w:pPr>
              <w:spacing w:line="360" w:lineRule="auto"/>
              <w:jc w:val="center"/>
              <w:rPr>
                <w:rFonts w:ascii="Times New Roman" w:hAnsi="Times New Roman" w:eastAsia="宋体" w:cs="Times New Roman"/>
                <w:color w:val="auto"/>
                <w:sz w:val="18"/>
                <w:szCs w:val="18"/>
                <w:highlight w:val="none"/>
              </w:rPr>
            </w:pPr>
          </w:p>
        </w:tc>
        <w:tc>
          <w:tcPr>
            <w:tcW w:w="637" w:type="pct"/>
            <w:vAlign w:val="center"/>
          </w:tcPr>
          <w:p w14:paraId="17581C8B">
            <w:pPr>
              <w:spacing w:line="360" w:lineRule="auto"/>
              <w:jc w:val="center"/>
              <w:rPr>
                <w:rFonts w:ascii="Times New Roman" w:hAnsi="Times New Roman" w:eastAsia="宋体" w:cs="Times New Roman"/>
                <w:color w:val="auto"/>
                <w:sz w:val="18"/>
                <w:szCs w:val="18"/>
                <w:highlight w:val="none"/>
              </w:rPr>
            </w:pPr>
          </w:p>
        </w:tc>
        <w:tc>
          <w:tcPr>
            <w:tcW w:w="592" w:type="pct"/>
            <w:vAlign w:val="center"/>
          </w:tcPr>
          <w:p w14:paraId="7D89235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70D1D05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6DEC983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277708D2">
            <w:pPr>
              <w:spacing w:line="360" w:lineRule="auto"/>
              <w:jc w:val="center"/>
              <w:rPr>
                <w:rFonts w:ascii="Times New Roman" w:hAnsi="Times New Roman" w:eastAsia="宋体" w:cs="Times New Roman"/>
                <w:color w:val="auto"/>
                <w:sz w:val="18"/>
                <w:szCs w:val="18"/>
                <w:highlight w:val="none"/>
              </w:rPr>
            </w:pPr>
          </w:p>
        </w:tc>
      </w:tr>
      <w:tr w14:paraId="32E7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5A409D0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有机质含量</w:t>
            </w:r>
          </w:p>
        </w:tc>
        <w:tc>
          <w:tcPr>
            <w:tcW w:w="601" w:type="pct"/>
            <w:vAlign w:val="center"/>
          </w:tcPr>
          <w:p w14:paraId="3C9EDD24">
            <w:pPr>
              <w:spacing w:line="360" w:lineRule="auto"/>
              <w:jc w:val="center"/>
              <w:rPr>
                <w:rFonts w:ascii="Times New Roman" w:hAnsi="Times New Roman" w:eastAsia="宋体" w:cs="Times New Roman"/>
                <w:color w:val="auto"/>
                <w:sz w:val="18"/>
                <w:szCs w:val="18"/>
                <w:highlight w:val="none"/>
              </w:rPr>
            </w:pPr>
          </w:p>
        </w:tc>
        <w:tc>
          <w:tcPr>
            <w:tcW w:w="637" w:type="pct"/>
            <w:vAlign w:val="center"/>
          </w:tcPr>
          <w:p w14:paraId="7F253D08">
            <w:pPr>
              <w:spacing w:line="360" w:lineRule="auto"/>
              <w:jc w:val="center"/>
              <w:rPr>
                <w:rFonts w:ascii="Times New Roman" w:hAnsi="Times New Roman" w:eastAsia="宋体" w:cs="Times New Roman"/>
                <w:color w:val="auto"/>
                <w:sz w:val="18"/>
                <w:szCs w:val="18"/>
                <w:highlight w:val="none"/>
              </w:rPr>
            </w:pPr>
          </w:p>
        </w:tc>
        <w:tc>
          <w:tcPr>
            <w:tcW w:w="592" w:type="pct"/>
            <w:vAlign w:val="center"/>
          </w:tcPr>
          <w:p w14:paraId="06CB70C7">
            <w:pPr>
              <w:spacing w:line="360" w:lineRule="auto"/>
              <w:jc w:val="center"/>
              <w:rPr>
                <w:rFonts w:ascii="Times New Roman" w:hAnsi="Times New Roman" w:eastAsia="宋体" w:cs="Times New Roman"/>
                <w:color w:val="auto"/>
                <w:sz w:val="18"/>
                <w:szCs w:val="18"/>
                <w:highlight w:val="none"/>
              </w:rPr>
            </w:pPr>
          </w:p>
        </w:tc>
        <w:tc>
          <w:tcPr>
            <w:tcW w:w="721" w:type="pct"/>
            <w:vAlign w:val="center"/>
          </w:tcPr>
          <w:p w14:paraId="7357A617">
            <w:pPr>
              <w:spacing w:line="360" w:lineRule="auto"/>
              <w:jc w:val="center"/>
              <w:rPr>
                <w:rFonts w:ascii="Times New Roman" w:hAnsi="Times New Roman" w:eastAsia="宋体" w:cs="Times New Roman"/>
                <w:color w:val="auto"/>
                <w:sz w:val="18"/>
                <w:szCs w:val="18"/>
                <w:highlight w:val="none"/>
              </w:rPr>
            </w:pPr>
          </w:p>
        </w:tc>
        <w:tc>
          <w:tcPr>
            <w:tcW w:w="837" w:type="pct"/>
            <w:vAlign w:val="center"/>
          </w:tcPr>
          <w:p w14:paraId="13C922F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2590F383">
            <w:pPr>
              <w:spacing w:line="360" w:lineRule="auto"/>
              <w:jc w:val="center"/>
              <w:rPr>
                <w:rFonts w:ascii="Times New Roman" w:hAnsi="Times New Roman" w:eastAsia="宋体" w:cs="Times New Roman"/>
                <w:color w:val="auto"/>
                <w:sz w:val="18"/>
                <w:szCs w:val="18"/>
                <w:highlight w:val="none"/>
              </w:rPr>
            </w:pPr>
          </w:p>
        </w:tc>
      </w:tr>
      <w:tr w14:paraId="2A53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52522FB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轻型动力触探</w:t>
            </w:r>
          </w:p>
        </w:tc>
        <w:tc>
          <w:tcPr>
            <w:tcW w:w="601" w:type="pct"/>
            <w:vAlign w:val="center"/>
          </w:tcPr>
          <w:p w14:paraId="27476E9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4DDF24F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0E757C5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7D26A3C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40DBFBD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6EE3FC8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338B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151E0C6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标准贯入试验</w:t>
            </w:r>
          </w:p>
        </w:tc>
        <w:tc>
          <w:tcPr>
            <w:tcW w:w="601" w:type="pct"/>
            <w:vAlign w:val="center"/>
          </w:tcPr>
          <w:p w14:paraId="7CE7B5B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7FA4FCE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14073FF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0A45787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0AE6C78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1825468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3089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08" w:type="pct"/>
            <w:vAlign w:val="center"/>
          </w:tcPr>
          <w:p w14:paraId="2E0DEC7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静力触探</w:t>
            </w:r>
          </w:p>
        </w:tc>
        <w:tc>
          <w:tcPr>
            <w:tcW w:w="601" w:type="pct"/>
            <w:vAlign w:val="center"/>
          </w:tcPr>
          <w:p w14:paraId="3D8EC90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637" w:type="pct"/>
            <w:vAlign w:val="center"/>
          </w:tcPr>
          <w:p w14:paraId="7202D5F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592" w:type="pct"/>
            <w:vAlign w:val="center"/>
          </w:tcPr>
          <w:p w14:paraId="207C936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21" w:type="pct"/>
            <w:vAlign w:val="center"/>
          </w:tcPr>
          <w:p w14:paraId="778D989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837" w:type="pct"/>
            <w:vAlign w:val="center"/>
          </w:tcPr>
          <w:p w14:paraId="6A7502D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702" w:type="pct"/>
            <w:vAlign w:val="center"/>
          </w:tcPr>
          <w:p w14:paraId="7D9A8EA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4C2A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80" w:hRule="exact"/>
          <w:jc w:val="center"/>
        </w:trPr>
        <w:tc>
          <w:tcPr>
            <w:tcW w:w="5000" w:type="pct"/>
            <w:gridSpan w:val="7"/>
            <w:vAlign w:val="center"/>
          </w:tcPr>
          <w:p w14:paraId="63455DBD">
            <w:pPr>
              <w:keepNext w:val="0"/>
              <w:keepLines w:val="0"/>
              <w:pageBreakBefore w:val="0"/>
              <w:widowControl w:val="0"/>
              <w:kinsoku/>
              <w:wordWrap/>
              <w:overflowPunct/>
              <w:topLinePunct w:val="0"/>
              <w:autoSpaceDE/>
              <w:autoSpaceDN/>
              <w:bidi w:val="0"/>
              <w:adjustRightInd/>
              <w:snapToGrid/>
              <w:spacing w:line="240" w:lineRule="auto"/>
              <w:ind w:firstLine="180" w:firstLineChars="1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“＋”表示应做室内试验或原位测试。</w:t>
            </w:r>
          </w:p>
          <w:p w14:paraId="01F58A29">
            <w:pPr>
              <w:keepNext w:val="0"/>
              <w:keepLines w:val="0"/>
              <w:pageBreakBefore w:val="0"/>
              <w:widowControl w:val="0"/>
              <w:kinsoku/>
              <w:wordWrap/>
              <w:overflowPunct/>
              <w:topLinePunct w:val="0"/>
              <w:autoSpaceDE/>
              <w:autoSpaceDN/>
              <w:bidi w:val="0"/>
              <w:adjustRightInd/>
              <w:snapToGrid/>
              <w:spacing w:line="240" w:lineRule="auto"/>
              <w:ind w:firstLine="180" w:firstLineChars="1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“（＋）”表示可根据需要做室内试验或原位测试。</w:t>
            </w:r>
          </w:p>
          <w:p w14:paraId="05AB4783">
            <w:pPr>
              <w:keepNext w:val="0"/>
              <w:keepLines w:val="0"/>
              <w:pageBreakBefore w:val="0"/>
              <w:widowControl w:val="0"/>
              <w:kinsoku/>
              <w:wordWrap/>
              <w:overflowPunct/>
              <w:topLinePunct w:val="0"/>
              <w:autoSpaceDE/>
              <w:autoSpaceDN/>
              <w:bidi w:val="0"/>
              <w:adjustRightInd/>
              <w:snapToGrid/>
              <w:spacing w:line="240" w:lineRule="auto"/>
              <w:ind w:firstLine="180" w:firstLineChars="1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对于彻底清淤换填路段，软弱土均已挖除，通常采用麻花钻或轻型动力触探等轻便勘探手段，故取样试验不作严格要求。</w:t>
            </w:r>
          </w:p>
        </w:tc>
      </w:tr>
    </w:tbl>
    <w:p w14:paraId="57904CE9">
      <w:pPr>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表3  稳定安全系数容许值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33"/>
        <w:gridCol w:w="1243"/>
        <w:gridCol w:w="1053"/>
        <w:gridCol w:w="1295"/>
        <w:gridCol w:w="1001"/>
        <w:gridCol w:w="1595"/>
      </w:tblGrid>
      <w:tr w14:paraId="3DB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326" w:type="pct"/>
            <w:vMerge w:val="restart"/>
            <w:vAlign w:val="center"/>
          </w:tcPr>
          <w:p w14:paraId="5B85AFB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指标</w:t>
            </w:r>
          </w:p>
        </w:tc>
        <w:tc>
          <w:tcPr>
            <w:tcW w:w="1363" w:type="pct"/>
            <w:gridSpan w:val="2"/>
            <w:vAlign w:val="center"/>
          </w:tcPr>
          <w:p w14:paraId="04EB4E4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有效固结应力法</w:t>
            </w:r>
          </w:p>
        </w:tc>
        <w:tc>
          <w:tcPr>
            <w:tcW w:w="1363" w:type="pct"/>
            <w:gridSpan w:val="2"/>
            <w:vAlign w:val="center"/>
          </w:tcPr>
          <w:p w14:paraId="6E515B7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改进总强度法</w:t>
            </w:r>
          </w:p>
        </w:tc>
        <w:tc>
          <w:tcPr>
            <w:tcW w:w="947" w:type="pct"/>
            <w:vMerge w:val="restart"/>
            <w:vAlign w:val="center"/>
          </w:tcPr>
          <w:p w14:paraId="4FE8287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简化Bishop法</w:t>
            </w:r>
          </w:p>
          <w:p w14:paraId="690028E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或Janbu条分法</w:t>
            </w:r>
          </w:p>
        </w:tc>
      </w:tr>
      <w:tr w14:paraId="6369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326" w:type="pct"/>
            <w:vMerge w:val="continue"/>
            <w:vAlign w:val="center"/>
          </w:tcPr>
          <w:p w14:paraId="512930FB">
            <w:pPr>
              <w:spacing w:line="360" w:lineRule="auto"/>
              <w:jc w:val="center"/>
              <w:rPr>
                <w:rFonts w:ascii="Times New Roman" w:hAnsi="Times New Roman" w:eastAsia="宋体" w:cs="Times New Roman"/>
                <w:color w:val="auto"/>
                <w:sz w:val="18"/>
                <w:szCs w:val="18"/>
                <w:highlight w:val="none"/>
              </w:rPr>
            </w:pPr>
          </w:p>
        </w:tc>
        <w:tc>
          <w:tcPr>
            <w:tcW w:w="738" w:type="pct"/>
            <w:vAlign w:val="center"/>
          </w:tcPr>
          <w:p w14:paraId="62F8864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不考虑固结</w:t>
            </w:r>
          </w:p>
        </w:tc>
        <w:tc>
          <w:tcPr>
            <w:tcW w:w="625" w:type="pct"/>
            <w:vAlign w:val="center"/>
          </w:tcPr>
          <w:p w14:paraId="630400D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考虑固结</w:t>
            </w:r>
          </w:p>
        </w:tc>
        <w:tc>
          <w:tcPr>
            <w:tcW w:w="769" w:type="pct"/>
            <w:vAlign w:val="center"/>
          </w:tcPr>
          <w:p w14:paraId="4E7B49C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不考虑固结</w:t>
            </w:r>
          </w:p>
        </w:tc>
        <w:tc>
          <w:tcPr>
            <w:tcW w:w="593" w:type="pct"/>
            <w:vAlign w:val="center"/>
          </w:tcPr>
          <w:p w14:paraId="2D4B54B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考虑固结</w:t>
            </w:r>
          </w:p>
        </w:tc>
        <w:tc>
          <w:tcPr>
            <w:tcW w:w="947" w:type="pct"/>
            <w:vMerge w:val="continue"/>
            <w:vAlign w:val="center"/>
          </w:tcPr>
          <w:p w14:paraId="4739BFF3">
            <w:pPr>
              <w:spacing w:line="360" w:lineRule="auto"/>
              <w:jc w:val="center"/>
              <w:rPr>
                <w:rFonts w:ascii="Times New Roman" w:hAnsi="Times New Roman" w:eastAsia="宋体" w:cs="Times New Roman"/>
                <w:color w:val="auto"/>
                <w:sz w:val="18"/>
                <w:szCs w:val="18"/>
                <w:highlight w:val="none"/>
              </w:rPr>
            </w:pPr>
          </w:p>
        </w:tc>
      </w:tr>
      <w:tr w14:paraId="47EC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326" w:type="pct"/>
            <w:vAlign w:val="center"/>
          </w:tcPr>
          <w:p w14:paraId="0A4338C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直接快剪</w:t>
            </w:r>
          </w:p>
        </w:tc>
        <w:tc>
          <w:tcPr>
            <w:tcW w:w="738" w:type="pct"/>
            <w:vAlign w:val="center"/>
          </w:tcPr>
          <w:p w14:paraId="04DBC63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1.1</w:t>
            </w:r>
          </w:p>
        </w:tc>
        <w:tc>
          <w:tcPr>
            <w:tcW w:w="625" w:type="pct"/>
            <w:vAlign w:val="center"/>
          </w:tcPr>
          <w:p w14:paraId="2B81044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w:t>
            </w:r>
          </w:p>
        </w:tc>
        <w:tc>
          <w:tcPr>
            <w:tcW w:w="769" w:type="pct"/>
            <w:vAlign w:val="center"/>
          </w:tcPr>
          <w:p w14:paraId="5FBB15A8">
            <w:pPr>
              <w:spacing w:line="360" w:lineRule="auto"/>
              <w:jc w:val="center"/>
              <w:rPr>
                <w:rFonts w:ascii="Times New Roman" w:hAnsi="Times New Roman" w:eastAsia="宋体" w:cs="Times New Roman"/>
                <w:color w:val="auto"/>
                <w:sz w:val="18"/>
                <w:szCs w:val="18"/>
                <w:highlight w:val="none"/>
              </w:rPr>
            </w:pPr>
          </w:p>
        </w:tc>
        <w:tc>
          <w:tcPr>
            <w:tcW w:w="593" w:type="pct"/>
            <w:vAlign w:val="center"/>
          </w:tcPr>
          <w:p w14:paraId="513CBA8B">
            <w:pPr>
              <w:spacing w:line="360" w:lineRule="auto"/>
              <w:jc w:val="center"/>
              <w:rPr>
                <w:rFonts w:ascii="Times New Roman" w:hAnsi="Times New Roman" w:eastAsia="宋体" w:cs="Times New Roman"/>
                <w:color w:val="auto"/>
                <w:sz w:val="18"/>
                <w:szCs w:val="18"/>
                <w:highlight w:val="none"/>
              </w:rPr>
            </w:pPr>
          </w:p>
        </w:tc>
        <w:tc>
          <w:tcPr>
            <w:tcW w:w="947" w:type="pct"/>
            <w:vAlign w:val="center"/>
          </w:tcPr>
          <w:p w14:paraId="29880427">
            <w:pPr>
              <w:spacing w:line="360" w:lineRule="auto"/>
              <w:jc w:val="center"/>
              <w:rPr>
                <w:rFonts w:ascii="Times New Roman" w:hAnsi="Times New Roman" w:eastAsia="宋体" w:cs="Times New Roman"/>
                <w:color w:val="auto"/>
                <w:sz w:val="18"/>
                <w:szCs w:val="18"/>
                <w:highlight w:val="none"/>
              </w:rPr>
            </w:pPr>
          </w:p>
        </w:tc>
      </w:tr>
      <w:tr w14:paraId="60C6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326" w:type="pct"/>
            <w:vAlign w:val="center"/>
          </w:tcPr>
          <w:p w14:paraId="48C7F8D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静力触探、十字板剪切</w:t>
            </w:r>
          </w:p>
        </w:tc>
        <w:tc>
          <w:tcPr>
            <w:tcW w:w="738" w:type="pct"/>
            <w:vAlign w:val="center"/>
          </w:tcPr>
          <w:p w14:paraId="71DEF7E6">
            <w:pPr>
              <w:spacing w:line="360" w:lineRule="auto"/>
              <w:jc w:val="center"/>
              <w:rPr>
                <w:rFonts w:ascii="Times New Roman" w:hAnsi="Times New Roman" w:eastAsia="宋体" w:cs="Times New Roman"/>
                <w:color w:val="auto"/>
                <w:sz w:val="18"/>
                <w:szCs w:val="18"/>
                <w:highlight w:val="none"/>
              </w:rPr>
            </w:pPr>
          </w:p>
        </w:tc>
        <w:tc>
          <w:tcPr>
            <w:tcW w:w="625" w:type="pct"/>
            <w:vAlign w:val="center"/>
          </w:tcPr>
          <w:p w14:paraId="7E4B2B3F">
            <w:pPr>
              <w:spacing w:line="360" w:lineRule="auto"/>
              <w:jc w:val="center"/>
              <w:rPr>
                <w:rFonts w:ascii="Times New Roman" w:hAnsi="Times New Roman" w:eastAsia="宋体" w:cs="Times New Roman"/>
                <w:color w:val="auto"/>
                <w:sz w:val="18"/>
                <w:szCs w:val="18"/>
                <w:highlight w:val="none"/>
              </w:rPr>
            </w:pPr>
          </w:p>
        </w:tc>
        <w:tc>
          <w:tcPr>
            <w:tcW w:w="769" w:type="pct"/>
            <w:vAlign w:val="center"/>
          </w:tcPr>
          <w:p w14:paraId="622B6C6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w:t>
            </w:r>
          </w:p>
        </w:tc>
        <w:tc>
          <w:tcPr>
            <w:tcW w:w="593" w:type="pct"/>
            <w:vAlign w:val="center"/>
          </w:tcPr>
          <w:p w14:paraId="3F647C6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1.3</w:t>
            </w:r>
          </w:p>
        </w:tc>
        <w:tc>
          <w:tcPr>
            <w:tcW w:w="947" w:type="pct"/>
            <w:vAlign w:val="center"/>
          </w:tcPr>
          <w:p w14:paraId="613883E7">
            <w:pPr>
              <w:spacing w:line="360" w:lineRule="auto"/>
              <w:jc w:val="center"/>
              <w:rPr>
                <w:rFonts w:ascii="Times New Roman" w:hAnsi="Times New Roman" w:eastAsia="宋体" w:cs="Times New Roman"/>
                <w:color w:val="auto"/>
                <w:sz w:val="18"/>
                <w:szCs w:val="18"/>
                <w:highlight w:val="none"/>
              </w:rPr>
            </w:pPr>
          </w:p>
        </w:tc>
      </w:tr>
      <w:tr w14:paraId="7EF4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1326" w:type="pct"/>
            <w:vAlign w:val="center"/>
          </w:tcPr>
          <w:p w14:paraId="145E7DB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三轴有效剪切指标</w:t>
            </w:r>
          </w:p>
        </w:tc>
        <w:tc>
          <w:tcPr>
            <w:tcW w:w="738" w:type="pct"/>
            <w:vAlign w:val="center"/>
          </w:tcPr>
          <w:p w14:paraId="1725BD89">
            <w:pPr>
              <w:spacing w:line="360" w:lineRule="auto"/>
              <w:jc w:val="center"/>
              <w:rPr>
                <w:rFonts w:ascii="Times New Roman" w:hAnsi="Times New Roman" w:eastAsia="宋体" w:cs="Times New Roman"/>
                <w:color w:val="auto"/>
                <w:sz w:val="18"/>
                <w:szCs w:val="18"/>
                <w:highlight w:val="none"/>
              </w:rPr>
            </w:pPr>
          </w:p>
        </w:tc>
        <w:tc>
          <w:tcPr>
            <w:tcW w:w="625" w:type="pct"/>
            <w:vAlign w:val="center"/>
          </w:tcPr>
          <w:p w14:paraId="26FED330">
            <w:pPr>
              <w:spacing w:line="360" w:lineRule="auto"/>
              <w:jc w:val="center"/>
              <w:rPr>
                <w:rFonts w:ascii="Times New Roman" w:hAnsi="Times New Roman" w:eastAsia="宋体" w:cs="Times New Roman"/>
                <w:color w:val="auto"/>
                <w:sz w:val="18"/>
                <w:szCs w:val="18"/>
                <w:highlight w:val="none"/>
              </w:rPr>
            </w:pPr>
          </w:p>
        </w:tc>
        <w:tc>
          <w:tcPr>
            <w:tcW w:w="769" w:type="pct"/>
            <w:vAlign w:val="center"/>
          </w:tcPr>
          <w:p w14:paraId="3449AB31">
            <w:pPr>
              <w:spacing w:line="360" w:lineRule="auto"/>
              <w:jc w:val="center"/>
              <w:rPr>
                <w:rFonts w:ascii="Times New Roman" w:hAnsi="Times New Roman" w:eastAsia="宋体" w:cs="Times New Roman"/>
                <w:color w:val="auto"/>
                <w:sz w:val="18"/>
                <w:szCs w:val="18"/>
                <w:highlight w:val="none"/>
              </w:rPr>
            </w:pPr>
          </w:p>
        </w:tc>
        <w:tc>
          <w:tcPr>
            <w:tcW w:w="593" w:type="pct"/>
            <w:vAlign w:val="center"/>
          </w:tcPr>
          <w:p w14:paraId="0889A09F">
            <w:pPr>
              <w:spacing w:line="360" w:lineRule="auto"/>
              <w:jc w:val="center"/>
              <w:rPr>
                <w:rFonts w:ascii="Times New Roman" w:hAnsi="Times New Roman" w:eastAsia="宋体" w:cs="Times New Roman"/>
                <w:color w:val="auto"/>
                <w:sz w:val="18"/>
                <w:szCs w:val="18"/>
                <w:highlight w:val="none"/>
              </w:rPr>
            </w:pPr>
          </w:p>
        </w:tc>
        <w:tc>
          <w:tcPr>
            <w:tcW w:w="947" w:type="pct"/>
            <w:vAlign w:val="center"/>
          </w:tcPr>
          <w:p w14:paraId="1290DCD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1.4</w:t>
            </w:r>
          </w:p>
        </w:tc>
      </w:tr>
    </w:tbl>
    <w:p w14:paraId="269591AF">
      <w:pPr>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表4  </w:t>
      </w:r>
      <w:r>
        <w:rPr>
          <w:rFonts w:hint="eastAsia" w:ascii="Times New Roman" w:hAnsi="Times New Roman" w:eastAsia="宋体" w:cs="Times New Roman"/>
          <w:b/>
          <w:color w:val="auto"/>
          <w:szCs w:val="21"/>
          <w:highlight w:val="none"/>
          <w:lang w:val="en-US" w:eastAsia="zh-CN"/>
        </w:rPr>
        <w:t>路基</w:t>
      </w:r>
      <w:r>
        <w:rPr>
          <w:rFonts w:ascii="Times New Roman" w:hAnsi="Times New Roman" w:eastAsia="宋体" w:cs="Times New Roman"/>
          <w:b/>
          <w:color w:val="auto"/>
          <w:szCs w:val="21"/>
          <w:highlight w:val="none"/>
        </w:rPr>
        <w:t>工后沉降容许值</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418"/>
        <w:gridCol w:w="2225"/>
        <w:gridCol w:w="2447"/>
        <w:gridCol w:w="1330"/>
      </w:tblGrid>
      <w:tr w14:paraId="69A9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1436" w:type="pct"/>
            <w:vAlign w:val="center"/>
          </w:tcPr>
          <w:p w14:paraId="6C554C4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公路等级</w:t>
            </w:r>
          </w:p>
        </w:tc>
        <w:tc>
          <w:tcPr>
            <w:tcW w:w="1321" w:type="pct"/>
            <w:vAlign w:val="center"/>
          </w:tcPr>
          <w:p w14:paraId="05B54AF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桥台与路堤相邻处</w:t>
            </w:r>
          </w:p>
        </w:tc>
        <w:tc>
          <w:tcPr>
            <w:tcW w:w="1453" w:type="pct"/>
            <w:vAlign w:val="center"/>
          </w:tcPr>
          <w:p w14:paraId="75EC96F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涵洞、箱涵、通道处</w:t>
            </w:r>
          </w:p>
        </w:tc>
        <w:tc>
          <w:tcPr>
            <w:tcW w:w="789" w:type="pct"/>
            <w:vAlign w:val="center"/>
          </w:tcPr>
          <w:p w14:paraId="4210546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一般路段</w:t>
            </w:r>
          </w:p>
        </w:tc>
      </w:tr>
      <w:tr w14:paraId="2A6B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exact"/>
        </w:trPr>
        <w:tc>
          <w:tcPr>
            <w:tcW w:w="1436" w:type="pct"/>
            <w:vAlign w:val="center"/>
          </w:tcPr>
          <w:p w14:paraId="19993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高速、一级</w:t>
            </w:r>
          </w:p>
          <w:p w14:paraId="19BBB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（新建公路）</w:t>
            </w:r>
          </w:p>
        </w:tc>
        <w:tc>
          <w:tcPr>
            <w:tcW w:w="1321" w:type="pct"/>
            <w:vAlign w:val="center"/>
          </w:tcPr>
          <w:p w14:paraId="381B0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10cm</w:t>
            </w:r>
          </w:p>
        </w:tc>
        <w:tc>
          <w:tcPr>
            <w:tcW w:w="1453" w:type="pct"/>
            <w:vAlign w:val="center"/>
          </w:tcPr>
          <w:p w14:paraId="7A807F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20cm</w:t>
            </w:r>
          </w:p>
        </w:tc>
        <w:tc>
          <w:tcPr>
            <w:tcW w:w="789" w:type="pct"/>
            <w:vAlign w:val="center"/>
          </w:tcPr>
          <w:p w14:paraId="0BE6C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30cm</w:t>
            </w:r>
          </w:p>
        </w:tc>
      </w:tr>
      <w:tr w14:paraId="53BD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exact"/>
        </w:trPr>
        <w:tc>
          <w:tcPr>
            <w:tcW w:w="1436" w:type="pct"/>
            <w:vAlign w:val="center"/>
          </w:tcPr>
          <w:p w14:paraId="2969C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高速、一级</w:t>
            </w:r>
          </w:p>
          <w:p w14:paraId="72B27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（改扩建公路）</w:t>
            </w:r>
          </w:p>
        </w:tc>
        <w:tc>
          <w:tcPr>
            <w:tcW w:w="1321" w:type="pct"/>
            <w:vAlign w:val="center"/>
          </w:tcPr>
          <w:p w14:paraId="05018076">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5cm</w:t>
            </w:r>
          </w:p>
        </w:tc>
        <w:tc>
          <w:tcPr>
            <w:tcW w:w="1453" w:type="pct"/>
            <w:vAlign w:val="center"/>
          </w:tcPr>
          <w:p w14:paraId="5D4EFC0D">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10cm</w:t>
            </w:r>
          </w:p>
        </w:tc>
        <w:tc>
          <w:tcPr>
            <w:tcW w:w="789" w:type="pct"/>
            <w:vAlign w:val="center"/>
          </w:tcPr>
          <w:p w14:paraId="72FC8013">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15cm</w:t>
            </w:r>
          </w:p>
        </w:tc>
      </w:tr>
      <w:tr w14:paraId="489E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1436" w:type="pct"/>
            <w:vAlign w:val="center"/>
          </w:tcPr>
          <w:p w14:paraId="7DE7BEF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二级</w:t>
            </w:r>
          </w:p>
        </w:tc>
        <w:tc>
          <w:tcPr>
            <w:tcW w:w="1321" w:type="pct"/>
            <w:vAlign w:val="center"/>
          </w:tcPr>
          <w:p w14:paraId="4408F90B">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20cm</w:t>
            </w:r>
          </w:p>
        </w:tc>
        <w:tc>
          <w:tcPr>
            <w:tcW w:w="1453" w:type="pct"/>
            <w:vAlign w:val="center"/>
          </w:tcPr>
          <w:p w14:paraId="7405C338">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30cm</w:t>
            </w:r>
          </w:p>
        </w:tc>
        <w:tc>
          <w:tcPr>
            <w:tcW w:w="789" w:type="pct"/>
            <w:vAlign w:val="center"/>
          </w:tcPr>
          <w:p w14:paraId="1F0F6599">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50cm</w:t>
            </w:r>
          </w:p>
        </w:tc>
      </w:tr>
      <w:tr w14:paraId="362D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50" w:hRule="exact"/>
        </w:trPr>
        <w:tc>
          <w:tcPr>
            <w:tcW w:w="5000" w:type="pct"/>
            <w:gridSpan w:val="4"/>
            <w:vAlign w:val="center"/>
          </w:tcPr>
          <w:p w14:paraId="6D6DF6E2">
            <w:pPr>
              <w:keepNext w:val="0"/>
              <w:keepLines w:val="0"/>
              <w:pageBreakBefore w:val="0"/>
              <w:widowControl w:val="0"/>
              <w:kinsoku/>
              <w:wordWrap/>
              <w:overflowPunct/>
              <w:topLinePunct w:val="0"/>
              <w:autoSpaceDE/>
              <w:autoSpaceDN/>
              <w:bidi w:val="0"/>
              <w:adjustRightInd/>
              <w:snapToGrid/>
              <w:spacing w:line="240" w:lineRule="auto"/>
              <w:ind w:firstLine="180" w:firstLineChars="1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高速公路改扩建工程应控制拓宽路基的差异沉降，需满足拓宽路基的路拱横坡度增大值不大于0.5％、相邻路段差异沉降引起的纵坡变化不大于0.4％的要求。</w:t>
            </w:r>
          </w:p>
        </w:tc>
      </w:tr>
    </w:tbl>
    <w:p w14:paraId="1C30EB2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bookmarkStart w:id="19" w:name="_Toc170244936"/>
      <w:r>
        <w:rPr>
          <w:rFonts w:hint="eastAsia" w:ascii="黑体" w:hAnsi="黑体" w:eastAsia="黑体" w:cs="黑体"/>
          <w:color w:val="auto"/>
          <w:szCs w:val="21"/>
          <w:highlight w:val="none"/>
          <w:lang w:val="en-US" w:eastAsia="zh-CN"/>
        </w:rPr>
        <w:t>4.9</w:t>
      </w:r>
      <w:r>
        <w:rPr>
          <w:rFonts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河北省</w:t>
      </w:r>
      <w:r>
        <w:rPr>
          <w:rFonts w:ascii="Times New Roman" w:hAnsi="Times New Roman" w:eastAsia="宋体" w:cs="Times New Roman"/>
          <w:color w:val="auto"/>
          <w:szCs w:val="21"/>
          <w:highlight w:val="none"/>
        </w:rPr>
        <w:t>软弱土工程特性见附录A。</w:t>
      </w:r>
    </w:p>
    <w:p w14:paraId="6A75B0A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p>
    <w:p w14:paraId="73133832">
      <w:pPr>
        <w:spacing w:before="156" w:beforeLines="50" w:after="156" w:afterLines="50" w:line="360" w:lineRule="auto"/>
        <w:jc w:val="both"/>
        <w:outlineLvl w:val="0"/>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5</w:t>
      </w:r>
      <w:r>
        <w:rPr>
          <w:rFonts w:hint="eastAsia" w:ascii="黑体" w:hAnsi="黑体" w:eastAsia="黑体" w:cs="黑体"/>
          <w:b w:val="0"/>
          <w:bCs w:val="0"/>
          <w:color w:val="auto"/>
          <w:sz w:val="24"/>
          <w:highlight w:val="none"/>
        </w:rPr>
        <w:t xml:space="preserve"> </w:t>
      </w:r>
      <w:r>
        <w:rPr>
          <w:rFonts w:hint="eastAsia" w:ascii="Times New Roman" w:hAnsi="Times New Roman" w:eastAsia="宋体" w:cs="Times New Roman"/>
          <w:b/>
          <w:bCs/>
          <w:color w:val="auto"/>
          <w:sz w:val="24"/>
          <w:highlight w:val="none"/>
        </w:rPr>
        <w:t>特殊路段软弱土地基设计</w:t>
      </w:r>
      <w:bookmarkEnd w:id="19"/>
    </w:p>
    <w:p w14:paraId="6E64B299">
      <w:pPr>
        <w:spacing w:before="156" w:beforeLines="50" w:after="156" w:afterLines="50" w:line="360" w:lineRule="auto"/>
        <w:jc w:val="both"/>
        <w:outlineLvl w:val="0"/>
        <w:rPr>
          <w:rFonts w:hint="eastAsia" w:ascii="黑体" w:hAnsi="黑体" w:eastAsia="黑体" w:cs="黑体"/>
          <w:b w:val="0"/>
          <w:bCs w:val="0"/>
          <w:color w:val="auto"/>
          <w:sz w:val="24"/>
          <w:highlight w:val="none"/>
        </w:rPr>
      </w:pPr>
    </w:p>
    <w:p w14:paraId="787D94DE">
      <w:pPr>
        <w:keepNext w:val="0"/>
        <w:keepLines w:val="0"/>
        <w:pageBreakBefore w:val="0"/>
        <w:widowControl w:val="0"/>
        <w:kinsoku/>
        <w:wordWrap/>
        <w:overflowPunct/>
        <w:topLinePunct w:val="0"/>
        <w:autoSpaceDE/>
        <w:autoSpaceDN/>
        <w:bidi w:val="0"/>
        <w:adjustRightInd w:val="0"/>
        <w:snapToGrid w:val="0"/>
        <w:spacing w:after="157" w:afterLines="50" w:line="360" w:lineRule="auto"/>
        <w:textAlignment w:val="auto"/>
        <w:outlineLvl w:val="1"/>
        <w:rPr>
          <w:rFonts w:hint="eastAsia" w:ascii="黑体" w:hAnsi="黑体" w:eastAsia="黑体" w:cs="黑体"/>
          <w:b w:val="0"/>
          <w:bCs/>
          <w:color w:val="auto"/>
          <w:szCs w:val="21"/>
          <w:highlight w:val="none"/>
        </w:rPr>
      </w:pPr>
      <w:bookmarkStart w:id="20" w:name="_Toc170244937"/>
      <w:r>
        <w:rPr>
          <w:rFonts w:hint="eastAsia" w:ascii="黑体" w:hAnsi="黑体" w:eastAsia="黑体" w:cs="黑体"/>
          <w:b w:val="0"/>
          <w:bCs/>
          <w:color w:val="auto"/>
          <w:szCs w:val="21"/>
          <w:highlight w:val="none"/>
          <w:lang w:val="en-US" w:eastAsia="zh-CN"/>
        </w:rPr>
        <w:t>5</w:t>
      </w:r>
      <w:r>
        <w:rPr>
          <w:rFonts w:hint="eastAsia" w:ascii="黑体" w:hAnsi="黑体" w:eastAsia="黑体" w:cs="黑体"/>
          <w:b w:val="0"/>
          <w:bCs/>
          <w:color w:val="auto"/>
          <w:szCs w:val="21"/>
          <w:highlight w:val="none"/>
        </w:rPr>
        <w:t xml:space="preserve">.1 </w:t>
      </w:r>
      <w:r>
        <w:rPr>
          <w:rFonts w:hint="eastAsia" w:ascii="黑体" w:hAnsi="黑体" w:eastAsia="黑体" w:cs="黑体"/>
          <w:b w:val="0"/>
          <w:bCs w:val="0"/>
          <w:color w:val="auto"/>
          <w:szCs w:val="21"/>
          <w:highlight w:val="none"/>
          <w:lang w:val="en-US" w:eastAsia="zh-CN"/>
        </w:rPr>
        <w:t>路基拓宽</w:t>
      </w:r>
      <w:bookmarkEnd w:id="20"/>
    </w:p>
    <w:p w14:paraId="740FB94F">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Cs w:val="21"/>
          <w:highlight w:val="none"/>
          <w:lang w:val="en-US" w:eastAsia="zh-CN"/>
        </w:rPr>
        <w:t>5.1.1</w:t>
      </w:r>
      <w:r>
        <w:rPr>
          <w:rFonts w:ascii="Times New Roman" w:hAnsi="Times New Roman" w:eastAsia="宋体" w:cs="Times New Roman"/>
          <w:color w:val="auto"/>
          <w:szCs w:val="21"/>
          <w:highlight w:val="none"/>
        </w:rPr>
        <w:t xml:space="preserve"> 在已有公路软弱土路基拓宽勘察设计之前，应重点收集既有公路地基与路基的勘察设计文件、竣工图、养护记录、监测等方面的资料，充分利用已有成果资料。</w:t>
      </w:r>
    </w:p>
    <w:p w14:paraId="2CF69099">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Cs w:val="21"/>
          <w:highlight w:val="none"/>
          <w:lang w:val="en-US" w:eastAsia="zh-CN"/>
        </w:rPr>
        <w:t>5.1.2</w:t>
      </w:r>
      <w:r>
        <w:rPr>
          <w:rFonts w:ascii="Times New Roman" w:hAnsi="Times New Roman" w:eastAsia="宋体" w:cs="Times New Roman"/>
          <w:color w:val="auto"/>
          <w:szCs w:val="21"/>
          <w:highlight w:val="none"/>
        </w:rPr>
        <w:t xml:space="preserve"> 路基拓宽分单侧拓宽和两侧拓宽两种形式，当路基拓宽一侧遇到大面积深厚软弱土、水塘等软弱土发育路段时，路基拓宽方式应充分考虑地质选线要求，尽可能避开或从地质条件相对较好的一侧拓宽路基。</w:t>
      </w:r>
    </w:p>
    <w:p w14:paraId="7BAF169C">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Cs w:val="21"/>
          <w:highlight w:val="none"/>
          <w:lang w:val="en-US" w:eastAsia="zh-CN"/>
        </w:rPr>
        <w:t>5.1.3</w:t>
      </w:r>
      <w:r>
        <w:rPr>
          <w:rFonts w:ascii="Times New Roman" w:hAnsi="Times New Roman" w:eastAsia="宋体" w:cs="Times New Roman"/>
          <w:color w:val="auto"/>
          <w:szCs w:val="21"/>
          <w:highlight w:val="none"/>
        </w:rPr>
        <w:t xml:space="preserve"> 在软弱土工程地质调绘时，应加强既有公路软弱土路基的现状调查，重点调查软弱土病害路段的分布范围、发育特征、路基结构与断面形式等，扩建新路基部分应辅助以简易勘探手段进行工程地质调绘，避免遗漏软弱土或软弱土发育路段。</w:t>
      </w:r>
    </w:p>
    <w:p w14:paraId="7926EAF6">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Cs w:val="21"/>
          <w:highlight w:val="none"/>
          <w:lang w:val="en-US" w:eastAsia="zh-CN"/>
        </w:rPr>
        <w:t>5.1.4</w:t>
      </w:r>
      <w:r>
        <w:rPr>
          <w:rFonts w:ascii="Times New Roman" w:hAnsi="Times New Roman" w:eastAsia="宋体" w:cs="Times New Roman"/>
          <w:color w:val="auto"/>
          <w:szCs w:val="21"/>
          <w:highlight w:val="none"/>
        </w:rPr>
        <w:t xml:space="preserve"> 既有公路软弱土路基勘察手段以机械钻探为主，拓宽新建软弱土地基勘察手段可采用简易勘探和机械钻探，对于软弱土厚度较小的路段，可以简易勘探手段为主，对于软弱土分布范围和厚度较大的路段，应采用机械钻探进行软弱土勘察。</w:t>
      </w:r>
    </w:p>
    <w:p w14:paraId="58A19626">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Cs w:val="21"/>
          <w:highlight w:val="none"/>
          <w:lang w:val="en-US" w:eastAsia="zh-CN"/>
        </w:rPr>
        <w:t>5.1.5</w:t>
      </w:r>
      <w:r>
        <w:rPr>
          <w:rFonts w:ascii="Times New Roman" w:hAnsi="Times New Roman" w:eastAsia="宋体" w:cs="Times New Roman"/>
          <w:color w:val="auto"/>
          <w:szCs w:val="21"/>
          <w:highlight w:val="none"/>
        </w:rPr>
        <w:t xml:space="preserve"> 应加强高填路堤、陡坡路堤、病害路段等与软弱土、软弱土相关位置的勘探布置工作，既有公路的高填、陡坡软弱土路基宜布置横向勘探线，既有公路软弱土病害路段宜沿裂缝和垂直路线方向布置纵横向勘探线，横向勘探线上钻孔宜布设在既有路基的路面、边坡、坡脚等部位，新建路基部分勘探点可沿路线方向布置，同一横向勘探剖面应包括新旧路基钻孔，以查明既有路基和扩宽</w:t>
      </w:r>
      <w:r>
        <w:rPr>
          <w:rFonts w:hint="eastAsia" w:ascii="Times New Roman" w:hAnsi="Times New Roman" w:eastAsia="宋体" w:cs="Times New Roman"/>
          <w:color w:val="auto"/>
          <w:szCs w:val="21"/>
          <w:highlight w:val="none"/>
          <w:lang w:val="en-US" w:eastAsia="zh-CN"/>
        </w:rPr>
        <w:t>路</w:t>
      </w:r>
      <w:r>
        <w:rPr>
          <w:rFonts w:ascii="Times New Roman" w:hAnsi="Times New Roman" w:eastAsia="宋体" w:cs="Times New Roman"/>
          <w:color w:val="auto"/>
          <w:szCs w:val="21"/>
          <w:highlight w:val="none"/>
        </w:rPr>
        <w:t>基的地质条件现状。</w:t>
      </w:r>
    </w:p>
    <w:p w14:paraId="45078111">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Cs w:val="21"/>
          <w:highlight w:val="none"/>
          <w:lang w:val="en-US" w:eastAsia="zh-CN"/>
        </w:rPr>
        <w:t>5.1.6</w:t>
      </w:r>
      <w:r>
        <w:rPr>
          <w:rFonts w:ascii="Times New Roman" w:hAnsi="Times New Roman" w:eastAsia="宋体" w:cs="Times New Roman"/>
          <w:color w:val="auto"/>
          <w:szCs w:val="21"/>
          <w:highlight w:val="none"/>
        </w:rPr>
        <w:t xml:space="preserve"> 既有软弱土路基勘探点深度应穿过路基填土层至下卧持力层3m～5m，拓宽部分的软基勘探点深度可按一般新建软弱土路段的勘察要求执行，对于软弱土厚度较大的路段，勘察孔深度应不小于地基压缩层的计算深度或达到地基附加应力与地基土自重应力比为0.10所对应的深度。</w:t>
      </w:r>
    </w:p>
    <w:p w14:paraId="7CFFB047">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Cs w:val="21"/>
          <w:highlight w:val="none"/>
          <w:lang w:val="en-US" w:eastAsia="zh-CN"/>
        </w:rPr>
        <w:t>5.1.7</w:t>
      </w:r>
      <w:r>
        <w:rPr>
          <w:rFonts w:ascii="Times New Roman" w:hAnsi="Times New Roman" w:eastAsia="宋体" w:cs="Times New Roman"/>
          <w:color w:val="auto"/>
          <w:szCs w:val="21"/>
          <w:highlight w:val="none"/>
        </w:rPr>
        <w:t xml:space="preserve"> 应通过既有路堤与地基的取样与原位测试，查明既有路基填料的含水率、液限、塑限、CBR值、压实度等，以及路基沉降完成情况。</w:t>
      </w:r>
    </w:p>
    <w:p w14:paraId="0AD3F44B">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18"/>
          <w:szCs w:val="18"/>
          <w:highlight w:val="none"/>
          <w:lang w:val="en-US" w:eastAsia="zh-CN"/>
        </w:rPr>
        <w:t>5.1.8</w:t>
      </w:r>
      <w:r>
        <w:rPr>
          <w:rFonts w:ascii="Times New Roman" w:hAnsi="Times New Roman" w:eastAsia="宋体" w:cs="Times New Roman"/>
          <w:color w:val="auto"/>
          <w:szCs w:val="21"/>
          <w:highlight w:val="none"/>
        </w:rPr>
        <w:t xml:space="preserve"> 应加强既有软弱土地基分析评价工作，主要内容包括：</w:t>
      </w:r>
    </w:p>
    <w:p w14:paraId="11F02B49">
      <w:pPr>
        <w:spacing w:line="360" w:lineRule="auto"/>
        <w:ind w:left="840" w:leftChars="200" w:hanging="420" w:hangingChars="200"/>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 xml:space="preserve">a）  </w:t>
      </w:r>
      <w:r>
        <w:rPr>
          <w:rFonts w:hint="eastAsia" w:asciiTheme="minorEastAsia" w:hAnsiTheme="minorEastAsia" w:eastAsiaTheme="minorEastAsia" w:cstheme="minorEastAsia"/>
          <w:color w:val="auto"/>
          <w:szCs w:val="21"/>
          <w:highlight w:val="none"/>
        </w:rPr>
        <w:t>通过调查既有公路软弱土路基的工后沉降情况，分析既有公路软弱土地基的固结度、固结系数、压缩系数、强度增长或剩余沉降等；</w:t>
      </w:r>
    </w:p>
    <w:p w14:paraId="68AA13A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b)</w:t>
      </w:r>
      <w:r>
        <w:rPr>
          <w:rFonts w:hint="eastAsia" w:asciiTheme="minorEastAsia" w:hAnsi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分析评价拓宽路基与既有路基的稳定性和差异沉降，以及拓宽路基对既有路基稳</w:t>
      </w:r>
    </w:p>
    <w:p w14:paraId="63B38CB9">
      <w:pPr>
        <w:spacing w:line="360" w:lineRule="auto"/>
        <w:ind w:firstLine="840"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定</w:t>
      </w:r>
      <w:r>
        <w:rPr>
          <w:rFonts w:hint="eastAsia" w:asciiTheme="minorEastAsia" w:hAnsiTheme="minorEastAsia" w:eastAsiaTheme="minorEastAsia" w:cstheme="minorEastAsia"/>
          <w:color w:val="auto"/>
          <w:szCs w:val="21"/>
          <w:highlight w:val="none"/>
        </w:rPr>
        <w:t>和沉降的影响程度，并提出拓宽路堤软弱土地基处理措施的建议；</w:t>
      </w:r>
    </w:p>
    <w:p w14:paraId="74C60A08">
      <w:pPr>
        <w:spacing w:line="360" w:lineRule="auto"/>
        <w:ind w:left="840" w:leftChars="200" w:hanging="420" w:hangingChars="200"/>
        <w:rPr>
          <w:rFonts w:ascii="Times New Roman" w:hAnsi="Times New Roman" w:eastAsia="宋体" w:cs="Times New Roman"/>
          <w:color w:val="auto"/>
          <w:szCs w:val="21"/>
          <w:highlight w:val="none"/>
        </w:rPr>
      </w:pPr>
      <w:r>
        <w:rPr>
          <w:rFonts w:hint="eastAsia" w:asciiTheme="minorEastAsia" w:hAnsiTheme="minorEastAsia" w:eastAsiaTheme="minorEastAsia" w:cstheme="minorEastAsia"/>
          <w:color w:val="auto"/>
          <w:szCs w:val="21"/>
          <w:highlight w:val="none"/>
        </w:rPr>
        <w:t>c)</w:t>
      </w:r>
      <w:r>
        <w:rPr>
          <w:rFonts w:hint="eastAsia" w:asciiTheme="minorEastAsia" w:hAnsi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对于软弱土病害路段，应根据勘察资料综合分析病害成因，评价既有路基的沉降和稳定性状况，对既有软弱土路基的可利用程度进行分析与评价，提出病害处治建议和选择有效的处治方案。</w:t>
      </w:r>
    </w:p>
    <w:p w14:paraId="16DE1E74">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18"/>
          <w:szCs w:val="18"/>
          <w:highlight w:val="none"/>
          <w:lang w:val="en-US" w:eastAsia="zh-CN"/>
        </w:rPr>
        <w:t>5.1.9</w:t>
      </w:r>
      <w:r>
        <w:rPr>
          <w:rFonts w:ascii="Times New Roman" w:hAnsi="Times New Roman" w:eastAsia="宋体" w:cs="Times New Roman"/>
          <w:color w:val="auto"/>
          <w:szCs w:val="21"/>
          <w:highlight w:val="none"/>
        </w:rPr>
        <w:t xml:space="preserve"> 既有路基拓宽工程软弱土地基处治方法以换填法和复合地基法为主，在地基处治设计时，应符合下列规定：</w:t>
      </w:r>
    </w:p>
    <w:p w14:paraId="7044DBF7">
      <w:pPr>
        <w:spacing w:line="360" w:lineRule="auto"/>
        <w:ind w:left="840" w:leftChars="200" w:hanging="420" w:hanging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换填法主要适用于软弱土厚度小于</w:t>
      </w:r>
      <w:r>
        <w:rPr>
          <w:rFonts w:hint="eastAsia" w:ascii="Times New Roman" w:hAnsi="Times New Roman" w:eastAsia="宋体" w:cs="Times New Roman"/>
          <w:color w:val="auto"/>
          <w:szCs w:val="21"/>
          <w:highlight w:val="none"/>
          <w:lang w:val="en-US" w:eastAsia="zh-CN"/>
        </w:rPr>
        <w:t>3</w:t>
      </w:r>
      <w:r>
        <w:rPr>
          <w:rFonts w:ascii="Times New Roman" w:hAnsi="Times New Roman" w:eastAsia="宋体" w:cs="Times New Roman"/>
          <w:color w:val="auto"/>
          <w:szCs w:val="21"/>
          <w:highlight w:val="none"/>
        </w:rPr>
        <w:t>m</w:t>
      </w:r>
      <w:r>
        <w:rPr>
          <w:rFonts w:ascii="Times New Roman" w:hAnsi="Times New Roman" w:eastAsia="宋体" w:cs="Times New Roman"/>
          <w:color w:val="auto"/>
          <w:szCs w:val="21"/>
          <w:highlight w:val="none"/>
        </w:rPr>
        <w:t>的软弱土路段，当软弱土性质相对较好时</w:t>
      </w:r>
      <w:r>
        <w:rPr>
          <w:rFonts w:hint="eastAsia" w:ascii="Times New Roman" w:hAnsi="Times New Roman" w:eastAsia="宋体" w:cs="Times New Roman"/>
          <w:color w:val="auto"/>
          <w:szCs w:val="21"/>
          <w:highlight w:val="none"/>
          <w:lang w:eastAsia="zh-CN"/>
        </w:rPr>
        <w:t>，</w:t>
      </w:r>
    </w:p>
    <w:p w14:paraId="36BE5C4E">
      <w:pPr>
        <w:spacing w:line="360" w:lineRule="auto"/>
        <w:ind w:left="840" w:leftChars="400" w:firstLine="0" w:firstLineChars="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软弱土换填厚度可适当加深，但应确保既有路基的稳定；</w:t>
      </w:r>
    </w:p>
    <w:p w14:paraId="42FD1C09">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复合地基法适用于软弱土厚度大于</w:t>
      </w:r>
      <w:r>
        <w:rPr>
          <w:rFonts w:hint="eastAsia" w:ascii="Times New Roman" w:hAnsi="Times New Roman" w:eastAsia="宋体" w:cs="Times New Roman"/>
          <w:color w:val="auto"/>
          <w:szCs w:val="21"/>
          <w:highlight w:val="none"/>
          <w:lang w:val="en-US" w:eastAsia="zh-CN"/>
        </w:rPr>
        <w:t>3</w:t>
      </w:r>
      <w:r>
        <w:rPr>
          <w:rFonts w:ascii="Times New Roman" w:hAnsi="Times New Roman" w:eastAsia="宋体" w:cs="Times New Roman"/>
          <w:color w:val="auto"/>
          <w:szCs w:val="21"/>
          <w:highlight w:val="none"/>
        </w:rPr>
        <w:t>m</w:t>
      </w:r>
      <w:r>
        <w:rPr>
          <w:rFonts w:ascii="Times New Roman" w:hAnsi="Times New Roman" w:eastAsia="宋体" w:cs="Times New Roman"/>
          <w:color w:val="auto"/>
          <w:szCs w:val="21"/>
          <w:highlight w:val="none"/>
        </w:rPr>
        <w:t>，且路段长度大于100m的软弱土路段。当软弱土性质相对较好时，也可考虑刚度较低的水泥搅拌桩；当软弱土性质较差时，宜选用刚性桩复合地基；当软弱土性质特别差时，宜选用</w:t>
      </w:r>
      <w:r>
        <w:rPr>
          <w:rFonts w:ascii="Times New Roman" w:hAnsi="Times New Roman" w:eastAsia="宋体" w:cs="Times New Roman"/>
          <w:color w:val="auto"/>
          <w:szCs w:val="21"/>
          <w:highlight w:val="none"/>
        </w:rPr>
        <w:t>带桩帽的桩承式复合</w:t>
      </w:r>
      <w:r>
        <w:rPr>
          <w:rFonts w:hint="eastAsia" w:ascii="Times New Roman" w:hAnsi="Times New Roman" w:eastAsia="宋体" w:cs="Times New Roman"/>
          <w:color w:val="auto"/>
          <w:szCs w:val="21"/>
          <w:highlight w:val="none"/>
          <w:lang w:val="en-US" w:eastAsia="zh-CN"/>
        </w:rPr>
        <w:t>地基</w:t>
      </w:r>
      <w:r>
        <w:rPr>
          <w:rFonts w:ascii="Times New Roman" w:hAnsi="Times New Roman" w:eastAsia="宋体" w:cs="Times New Roman"/>
          <w:color w:val="auto"/>
          <w:szCs w:val="21"/>
          <w:highlight w:val="none"/>
        </w:rPr>
        <w:t>或轻质材料填筑方案等；</w:t>
      </w:r>
    </w:p>
    <w:p w14:paraId="5F1F660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可根据需要在路基底、路堤中部、路床等部位加铺土工加筋材料，增加拓宽软弱土路基的稳定性，减少新旧路基之间的差异沉降。</w:t>
      </w:r>
    </w:p>
    <w:p w14:paraId="3BEC85D6">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18"/>
          <w:szCs w:val="18"/>
          <w:highlight w:val="none"/>
          <w:lang w:val="en-US" w:eastAsia="zh-CN"/>
        </w:rPr>
        <w:t>5.1.10</w:t>
      </w:r>
      <w:r>
        <w:rPr>
          <w:rFonts w:ascii="Times New Roman" w:hAnsi="Times New Roman" w:eastAsia="宋体" w:cs="Times New Roman"/>
          <w:color w:val="auto"/>
          <w:szCs w:val="21"/>
          <w:highlight w:val="none"/>
        </w:rPr>
        <w:t xml:space="preserve"> 采用换填法处治时，应考虑软弱土基坑开挖对既有路基稳定的影响，基坑开挖时宜根据现场地质条件和旧路填土高度等情况设置临时支护措施。</w:t>
      </w:r>
    </w:p>
    <w:p w14:paraId="3B40DFD0">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18"/>
          <w:szCs w:val="18"/>
          <w:highlight w:val="none"/>
          <w:lang w:val="en-US" w:eastAsia="zh-CN"/>
        </w:rPr>
        <w:t>5.1.11</w:t>
      </w:r>
      <w:r>
        <w:rPr>
          <w:rFonts w:ascii="Times New Roman" w:hAnsi="Times New Roman" w:eastAsia="宋体" w:cs="Times New Roman"/>
          <w:color w:val="auto"/>
          <w:szCs w:val="21"/>
          <w:highlight w:val="none"/>
        </w:rPr>
        <w:t xml:space="preserve"> 采用换填法处治时，换填材料应优先选用片石、碎石或硬质挖方石碴等水稳性和透水性好的优质材料；在硬质换填材料匮乏的路段，施工常水位以下采用优质换填材料，施工常水位以上部位可适当放宽条件采用合格粗粒土填筑。</w:t>
      </w:r>
    </w:p>
    <w:p w14:paraId="6A582422">
      <w:pPr>
        <w:spacing w:line="360" w:lineRule="auto"/>
        <w:jc w:val="left"/>
        <w:rPr>
          <w:rFonts w:ascii="Times New Roman" w:hAnsi="Times New Roman" w:eastAsia="宋体" w:cs="Times New Roman"/>
          <w:b/>
          <w:color w:val="auto"/>
          <w:szCs w:val="21"/>
          <w:highlight w:val="none"/>
        </w:rPr>
      </w:pPr>
      <w:r>
        <w:rPr>
          <w:rFonts w:hint="eastAsia" w:ascii="黑体" w:hAnsi="黑体" w:eastAsia="黑体" w:cs="黑体"/>
          <w:b w:val="0"/>
          <w:bCs/>
          <w:color w:val="auto"/>
          <w:sz w:val="18"/>
          <w:szCs w:val="18"/>
          <w:highlight w:val="none"/>
          <w:lang w:val="en-US" w:eastAsia="zh-CN"/>
        </w:rPr>
        <w:t>5.1.12</w:t>
      </w:r>
      <w:r>
        <w:rPr>
          <w:rFonts w:ascii="Times New Roman" w:hAnsi="Times New Roman" w:eastAsia="宋体" w:cs="Times New Roman"/>
          <w:color w:val="auto"/>
          <w:szCs w:val="21"/>
          <w:highlight w:val="none"/>
        </w:rPr>
        <w:t xml:space="preserve"> 换填法可参照图1设计；复合地基法可参照图2设计。</w:t>
      </w:r>
      <w:r>
        <w:rPr>
          <w:rFonts w:ascii="Times New Roman" w:hAnsi="Times New Roman" w:eastAsia="宋体" w:cs="Times New Roman"/>
          <w:color w:val="auto"/>
          <w:szCs w:val="21"/>
          <w:highlight w:val="none"/>
        </w:rPr>
        <w:drawing>
          <wp:inline distT="0" distB="0" distL="114300" distR="114300">
            <wp:extent cx="5521960" cy="1661795"/>
            <wp:effectExtent l="0" t="0" r="2540" b="1905"/>
            <wp:docPr id="6" name="图片 6" descr="C:/Users/22308/Desktop/微信图片_20240806101207.jpg微信图片_2024080610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22308/Desktop/微信图片_20240806101207.jpg微信图片_20240806101207"/>
                    <pic:cNvPicPr>
                      <a:picLocks noChangeAspect="1"/>
                    </pic:cNvPicPr>
                  </pic:nvPicPr>
                  <pic:blipFill>
                    <a:blip r:embed="rId25"/>
                    <a:srcRect t="12" b="12"/>
                    <a:stretch>
                      <a:fillRect/>
                    </a:stretch>
                  </pic:blipFill>
                  <pic:spPr>
                    <a:xfrm>
                      <a:off x="0" y="0"/>
                      <a:ext cx="5521960" cy="1661795"/>
                    </a:xfrm>
                    <a:prstGeom prst="rect">
                      <a:avLst/>
                    </a:prstGeom>
                  </pic:spPr>
                </pic:pic>
              </a:graphicData>
            </a:graphic>
          </wp:inline>
        </w:drawing>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b/>
          <w:color w:val="auto"/>
          <w:szCs w:val="21"/>
          <w:highlight w:val="none"/>
        </w:rPr>
        <w:t>图1  路基拓宽换填法处治设计示意图</w:t>
      </w:r>
    </w:p>
    <w:p w14:paraId="6F068BE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4972685" cy="2091055"/>
            <wp:effectExtent l="0" t="0" r="5715" b="4445"/>
            <wp:docPr id="7" name="图片 7" descr="C:/Users/22308/Desktop/微信图片_20240806101955.jpg微信图片_202408061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2308/Desktop/微信图片_20240806101955.jpg微信图片_20240806101955"/>
                    <pic:cNvPicPr>
                      <a:picLocks noChangeAspect="1"/>
                    </pic:cNvPicPr>
                  </pic:nvPicPr>
                  <pic:blipFill>
                    <a:blip r:embed="rId26"/>
                    <a:srcRect t="6" b="6"/>
                    <a:stretch>
                      <a:fillRect/>
                    </a:stretch>
                  </pic:blipFill>
                  <pic:spPr>
                    <a:xfrm>
                      <a:off x="0" y="0"/>
                      <a:ext cx="4972685" cy="2091055"/>
                    </a:xfrm>
                    <a:prstGeom prst="rect">
                      <a:avLst/>
                    </a:prstGeom>
                  </pic:spPr>
                </pic:pic>
              </a:graphicData>
            </a:graphic>
          </wp:inline>
        </w:drawing>
      </w:r>
    </w:p>
    <w:p w14:paraId="436D8606">
      <w:pPr>
        <w:keepNext/>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图2  路基拓宽复合地基处治设计示意图</w:t>
      </w:r>
    </w:p>
    <w:p w14:paraId="44CA8ABE">
      <w:pPr>
        <w:spacing w:after="156" w:afterLines="50"/>
        <w:jc w:val="center"/>
        <w:rPr>
          <w:rFonts w:ascii="Times New Roman" w:hAnsi="Times New Roman" w:eastAsia="宋体" w:cs="Times New Roman"/>
          <w:b/>
          <w:color w:val="auto"/>
          <w:szCs w:val="21"/>
          <w:highlight w:val="none"/>
        </w:rPr>
      </w:pPr>
    </w:p>
    <w:p w14:paraId="08D36D1F">
      <w:pPr>
        <w:keepNext w:val="0"/>
        <w:keepLines w:val="0"/>
        <w:pageBreakBefore w:val="0"/>
        <w:widowControl w:val="0"/>
        <w:kinsoku/>
        <w:wordWrap/>
        <w:overflowPunct/>
        <w:topLinePunct w:val="0"/>
        <w:autoSpaceDE/>
        <w:autoSpaceDN/>
        <w:bidi w:val="0"/>
        <w:adjustRightInd/>
        <w:snapToGrid/>
        <w:spacing w:after="157" w:afterLines="50" w:line="360" w:lineRule="auto"/>
        <w:jc w:val="left"/>
        <w:textAlignment w:val="auto"/>
        <w:rPr>
          <w:rFonts w:hint="eastAsia" w:ascii="黑体" w:hAnsi="黑体" w:eastAsia="黑体" w:cs="黑体"/>
          <w:b w:val="0"/>
          <w:bCs/>
          <w:color w:val="auto"/>
          <w:sz w:val="21"/>
          <w:szCs w:val="21"/>
          <w:highlight w:val="none"/>
          <w:lang w:val="en-US" w:eastAsia="zh-CN"/>
        </w:rPr>
      </w:pPr>
      <w:bookmarkStart w:id="21" w:name="_Toc170244938"/>
      <w:r>
        <w:rPr>
          <w:rFonts w:hint="eastAsia" w:ascii="黑体" w:hAnsi="黑体" w:eastAsia="黑体" w:cs="黑体"/>
          <w:b w:val="0"/>
          <w:bCs/>
          <w:color w:val="auto"/>
          <w:sz w:val="21"/>
          <w:szCs w:val="21"/>
          <w:highlight w:val="none"/>
          <w:lang w:val="en-US" w:eastAsia="zh-CN"/>
        </w:rPr>
        <w:t>5.2 桥头路段</w:t>
      </w:r>
      <w:bookmarkEnd w:id="21"/>
    </w:p>
    <w:p w14:paraId="7C614D4F">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5.2.1</w:t>
      </w:r>
      <w:r>
        <w:rPr>
          <w:rFonts w:ascii="Times New Roman" w:hAnsi="Times New Roman" w:eastAsia="宋体" w:cs="Times New Roman"/>
          <w:color w:val="auto"/>
          <w:szCs w:val="21"/>
          <w:highlight w:val="none"/>
        </w:rPr>
        <w:t xml:space="preserve"> 桥梁方案布置时，应避免将桥头布置在深厚软弱土路段。</w:t>
      </w:r>
    </w:p>
    <w:p w14:paraId="21A1565A">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5.2.2</w:t>
      </w:r>
      <w:r>
        <w:rPr>
          <w:rFonts w:ascii="Times New Roman" w:hAnsi="Times New Roman" w:eastAsia="宋体" w:cs="Times New Roman"/>
          <w:color w:val="auto"/>
          <w:szCs w:val="21"/>
          <w:highlight w:val="none"/>
        </w:rPr>
        <w:t xml:space="preserve"> 桥头软基勘察除按常规软弱土路段的勘察要求执行外，应充分利用桥台钻孔资料成果，加强取样试验与现场原位测试工作。</w:t>
      </w:r>
    </w:p>
    <w:p w14:paraId="365F503A">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5.2.3</w:t>
      </w:r>
      <w:r>
        <w:rPr>
          <w:rFonts w:ascii="Times New Roman" w:hAnsi="Times New Roman" w:eastAsia="宋体" w:cs="Times New Roman"/>
          <w:color w:val="auto"/>
          <w:szCs w:val="21"/>
          <w:highlight w:val="none"/>
        </w:rPr>
        <w:t xml:space="preserve"> 桥头路段设计时应充分考虑桥台结构、桥头路堤和软弱土地基处理等3个方面协调关系，采取相应的衔接措施，避免桥台推移，实现桥台与台后路堤的平顺过渡。</w:t>
      </w:r>
    </w:p>
    <w:p w14:paraId="4675C21B">
      <w:pPr>
        <w:spacing w:line="360" w:lineRule="auto"/>
        <w:rPr>
          <w:rFonts w:hint="eastAsia" w:ascii="Times New Roman" w:hAnsi="Times New Roman" w:eastAsia="宋体" w:cs="Times New Roman"/>
          <w:color w:val="auto"/>
          <w:szCs w:val="21"/>
          <w:highlight w:val="none"/>
          <w:lang w:eastAsia="zh-CN"/>
        </w:rPr>
      </w:pPr>
      <w:r>
        <w:rPr>
          <w:rFonts w:hint="eastAsia" w:ascii="黑体" w:hAnsi="黑体" w:eastAsia="黑体" w:cs="黑体"/>
          <w:b w:val="0"/>
          <w:bCs/>
          <w:color w:val="auto"/>
          <w:sz w:val="21"/>
          <w:szCs w:val="21"/>
          <w:highlight w:val="none"/>
          <w:lang w:val="en-US" w:eastAsia="zh-CN"/>
        </w:rPr>
        <w:t>5.2.4</w:t>
      </w:r>
      <w:r>
        <w:rPr>
          <w:rFonts w:ascii="Times New Roman" w:hAnsi="Times New Roman" w:eastAsia="宋体" w:cs="Times New Roman"/>
          <w:color w:val="auto"/>
          <w:szCs w:val="21"/>
          <w:highlight w:val="none"/>
        </w:rPr>
        <w:t xml:space="preserve"> 跳车指数（I</w:t>
      </w:r>
      <w:r>
        <w:rPr>
          <w:rFonts w:ascii="Times New Roman" w:hAnsi="Times New Roman" w:eastAsia="宋体" w:cs="Times New Roman"/>
          <w:color w:val="auto"/>
          <w:szCs w:val="21"/>
          <w:highlight w:val="none"/>
          <w:vertAlign w:val="subscript"/>
        </w:rPr>
        <w:t>PB</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由路面跳车扣分</w:t>
      </w:r>
      <w:r>
        <w:rPr>
          <w:rFonts w:hint="eastAsia" w:ascii="Times New Roman" w:hAnsi="Times New Roman" w:eastAsia="宋体" w:cs="Times New Roman"/>
          <w:color w:val="auto"/>
          <w:szCs w:val="21"/>
          <w:highlight w:val="none"/>
          <w:lang w:val="en-US" w:eastAsia="zh-CN"/>
        </w:rPr>
        <w:t>累加</w:t>
      </w:r>
      <w:r>
        <w:rPr>
          <w:rFonts w:ascii="Times New Roman" w:hAnsi="Times New Roman" w:eastAsia="宋体" w:cs="Times New Roman"/>
          <w:color w:val="auto"/>
          <w:szCs w:val="21"/>
          <w:highlight w:val="none"/>
        </w:rPr>
        <w:t>所得。路面跳车根据路面纵断面高差划分跳车程度，不同跳车程度扣分标准不一。跳车指数</w:t>
      </w:r>
      <w:r>
        <w:rPr>
          <w:rFonts w:hint="eastAsia" w:ascii="Times New Roman" w:hAnsi="Times New Roman" w:eastAsia="宋体" w:cs="Times New Roman"/>
          <w:color w:val="auto"/>
          <w:szCs w:val="21"/>
          <w:highlight w:val="none"/>
          <w:lang w:val="en-US" w:eastAsia="zh-CN"/>
        </w:rPr>
        <w:t>按公式（1）</w:t>
      </w:r>
      <w:r>
        <w:rPr>
          <w:rFonts w:ascii="Times New Roman" w:hAnsi="Times New Roman" w:eastAsia="宋体" w:cs="Times New Roman"/>
          <w:color w:val="auto"/>
          <w:szCs w:val="21"/>
          <w:highlight w:val="none"/>
        </w:rPr>
        <w:t>计算</w:t>
      </w:r>
      <w:r>
        <w:rPr>
          <w:rFonts w:hint="eastAsia" w:ascii="Times New Roman" w:hAnsi="Times New Roman" w:eastAsia="宋体" w:cs="Times New Roman"/>
          <w:color w:val="auto"/>
          <w:szCs w:val="21"/>
          <w:highlight w:val="none"/>
          <w:lang w:eastAsia="zh-CN"/>
        </w:rPr>
        <w:t>。</w:t>
      </w:r>
    </w:p>
    <w:p w14:paraId="5DFD003A">
      <w:pPr>
        <w:spacing w:line="360" w:lineRule="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position w:val="-28"/>
          <w:szCs w:val="21"/>
          <w:highlight w:val="none"/>
          <w:lang w:eastAsia="zh-CN"/>
        </w:rPr>
        <w:pict>
          <v:shape id="_x0000_s1028" o:spid="_x0000_s1028" o:spt="75" type="#_x0000_t75" style="position:absolute;left:0pt;margin-left:167.35pt;margin-top:18.4pt;height:31.8pt;width:88.5pt;z-index:-251652096;mso-width-relative:page;mso-height-relative:page;" o:ole="t" filled="f" o:preferrelative="t" stroked="f" coordsize="21600,21600">
            <v:path/>
            <v:fill on="f" focussize="0,0"/>
            <v:stroke on="f"/>
            <v:imagedata r:id="rId28" o:title=""/>
            <o:lock v:ext="edit" aspectratio="t"/>
          </v:shape>
          <o:OLEObject Type="Embed" ProgID="Equation.KSEE3" ShapeID="_x0000_s1028" DrawAspect="Content" ObjectID="_1468075734" r:id="rId27">
            <o:LockedField>false</o:LockedField>
          </o:OLEObject>
        </w:pict>
      </w:r>
      <w:r>
        <w:rPr>
          <w:rFonts w:hint="eastAsia" w:ascii="Times New Roman" w:hAnsi="Times New Roman" w:eastAsia="宋体" w:cs="Times New Roman"/>
          <w:color w:val="auto"/>
          <w:szCs w:val="21"/>
          <w:highlight w:val="none"/>
          <w:lang w:val="en-US" w:eastAsia="zh-CN"/>
        </w:rPr>
        <w:t xml:space="preserve">              </w:t>
      </w:r>
    </w:p>
    <w:p w14:paraId="7340A47B">
      <w:pPr>
        <w:tabs>
          <w:tab w:val="left" w:pos="7560"/>
          <w:tab w:val="left" w:pos="8400"/>
        </w:tabs>
        <w:spacing w:line="360" w:lineRule="auto"/>
        <w:ind w:firstLine="5250" w:firstLineChars="25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...................................................（1）                    </w:t>
      </w:r>
    </w:p>
    <w:p w14:paraId="14B63AC5">
      <w:pPr>
        <w:spacing w:after="156" w:afterLines="50" w:line="400" w:lineRule="exact"/>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48269828">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i</w:t>
      </w:r>
      <w:r>
        <w:rPr>
          <w:rFonts w:ascii="Times New Roman" w:hAnsi="Times New Roman" w:eastAsia="宋体" w:cs="Times New Roman"/>
          <w:color w:val="auto"/>
          <w:szCs w:val="21"/>
          <w:highlight w:val="none"/>
          <w:vertAlign w:val="subscript"/>
        </w:rPr>
        <w:t>P</w:t>
      </w:r>
      <w:r>
        <w:rPr>
          <w:rFonts w:hint="eastAsia" w:ascii="Times New Roman" w:hAnsi="Times New Roman" w:eastAsia="宋体" w:cs="Times New Roman"/>
          <w:color w:val="auto"/>
          <w:szCs w:val="21"/>
          <w:highlight w:val="none"/>
          <w:vertAlign w:val="subscript"/>
          <w:lang w:val="en-US" w:eastAsia="zh-CN"/>
        </w:rPr>
        <w:t>B</w:t>
      </w:r>
      <w:r>
        <w:rPr>
          <w:rFonts w:ascii="Times New Roman" w:hAnsi="Times New Roman" w:eastAsia="宋体" w:cs="Times New Roman"/>
          <w:color w:val="auto"/>
          <w:szCs w:val="21"/>
          <w:highlight w:val="none"/>
        </w:rPr>
        <w:t>——第i类程度的路面跳车；</w:t>
      </w:r>
    </w:p>
    <w:p w14:paraId="1D9B060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position w:val="-10"/>
          <w:szCs w:val="21"/>
          <w:highlight w:val="none"/>
          <w:vertAlign w:val="subscript"/>
        </w:rPr>
        <w:object>
          <v:shape id="_x0000_i1034" o:spt="75" type="#_x0000_t75" style="height:17pt;width:13pt;" o:ole="t" filled="f" o:preferrelative="t" stroked="f" coordsize="21600,21600">
            <v:path/>
            <v:fill on="f" focussize="0,0"/>
            <v:stroke on="f"/>
            <v:imagedata r:id="rId30" o:title=""/>
            <o:lock v:ext="edit" aspectratio="t"/>
            <w10:wrap type="none"/>
            <w10:anchorlock/>
          </v:shape>
          <o:OLEObject Type="Embed" ProgID="Equation.KSEE3" ShapeID="_x0000_i1034" DrawAspect="Content" ObjectID="_1468075735" r:id="rId29">
            <o:LockedField>false</o:LockedField>
          </o:OLEObject>
        </w:object>
      </w:r>
      <w:r>
        <w:rPr>
          <w:rFonts w:ascii="Times New Roman" w:hAnsi="Times New Roman" w:eastAsia="宋体" w:cs="Times New Roman"/>
          <w:color w:val="auto"/>
          <w:szCs w:val="21"/>
          <w:highlight w:val="none"/>
        </w:rPr>
        <w:t>——第i类程度的路面跳车单位扣分；</w:t>
      </w:r>
    </w:p>
    <w:p w14:paraId="5728477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i——路面跳车类型；</w:t>
      </w:r>
    </w:p>
    <w:p w14:paraId="0F51F3F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i</w:t>
      </w:r>
      <w:r>
        <w:rPr>
          <w:rFonts w:ascii="Times New Roman" w:hAnsi="Times New Roman" w:eastAsia="宋体" w:cs="Times New Roman"/>
          <w:color w:val="auto"/>
          <w:szCs w:val="21"/>
          <w:highlight w:val="none"/>
          <w:vertAlign w:val="subscript"/>
        </w:rPr>
        <w:t>0</w:t>
      </w:r>
      <w:r>
        <w:rPr>
          <w:rFonts w:ascii="Times New Roman" w:hAnsi="Times New Roman" w:eastAsia="宋体" w:cs="Times New Roman"/>
          <w:color w:val="auto"/>
          <w:szCs w:val="21"/>
          <w:highlight w:val="none"/>
        </w:rPr>
        <w:t>——路面跳车类型总数，取3。</w:t>
      </w:r>
    </w:p>
    <w:p w14:paraId="17D5593D">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5.2.5</w:t>
      </w:r>
      <w:r>
        <w:rPr>
          <w:rFonts w:ascii="Times New Roman" w:hAnsi="Times New Roman" w:eastAsia="宋体" w:cs="Times New Roman"/>
          <w:color w:val="auto"/>
          <w:szCs w:val="21"/>
          <w:highlight w:val="none"/>
        </w:rPr>
        <w:t xml:space="preserve"> 路面跳车由路面纵断面高差确定</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按</w:t>
      </w:r>
      <w:r>
        <w:rPr>
          <w:rFonts w:hint="eastAsia" w:ascii="Times New Roman" w:hAnsi="Times New Roman" w:eastAsia="宋体" w:cs="Times New Roman"/>
          <w:color w:val="auto"/>
          <w:szCs w:val="21"/>
          <w:highlight w:val="none"/>
          <w:lang w:val="en-US" w:eastAsia="zh-CN"/>
        </w:rPr>
        <w:t>公式（2）</w:t>
      </w:r>
      <w:r>
        <w:rPr>
          <w:rFonts w:ascii="Times New Roman" w:hAnsi="Times New Roman" w:eastAsia="宋体" w:cs="Times New Roman"/>
          <w:color w:val="auto"/>
          <w:szCs w:val="21"/>
          <w:highlight w:val="none"/>
        </w:rPr>
        <w:t>计算得出：</w:t>
      </w:r>
    </w:p>
    <w:p w14:paraId="685F9A57">
      <w:pPr>
        <w:spacing w:line="360" w:lineRule="auto"/>
        <w:ind w:firstLine="1260" w:firstLineChars="600"/>
        <w:jc w:val="both"/>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Δh=max{h</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shd w:val="clear" w:color="auto" w:fill="FFFFFF"/>
        </w:rPr>
        <w:t>···</w:t>
      </w: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shd w:val="clear" w:color="auto" w:fill="FFFFFF"/>
        </w:rPr>
        <w:t>···</w:t>
      </w:r>
      <w:r>
        <w:rPr>
          <w:rFonts w:ascii="Times New Roman" w:hAnsi="Times New Roman" w:eastAsia="宋体" w:cs="Times New Roman"/>
          <w:color w:val="auto"/>
          <w:szCs w:val="21"/>
          <w:highlight w:val="none"/>
        </w:rPr>
        <w:t xml:space="preserve"> ，h</w:t>
      </w:r>
      <w:r>
        <w:rPr>
          <w:rFonts w:ascii="Times New Roman" w:hAnsi="Times New Roman" w:eastAsia="宋体" w:cs="Times New Roman"/>
          <w:color w:val="auto"/>
          <w:szCs w:val="21"/>
          <w:highlight w:val="none"/>
          <w:vertAlign w:val="subscript"/>
        </w:rPr>
        <w:t>100</w:t>
      </w:r>
      <w:r>
        <w:rPr>
          <w:rFonts w:ascii="Times New Roman" w:hAnsi="Times New Roman" w:eastAsia="宋体" w:cs="Times New Roman"/>
          <w:color w:val="auto"/>
          <w:szCs w:val="21"/>
          <w:highlight w:val="none"/>
        </w:rPr>
        <w:t>}-min{h</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shd w:val="clear" w:color="auto" w:fill="FFFFFF"/>
        </w:rPr>
        <w:t>···</w:t>
      </w: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shd w:val="clear" w:color="auto" w:fill="FFFFFF"/>
        </w:rPr>
        <w:t>···</w:t>
      </w: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100</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 xml:space="preserve"> .........（2）</w:t>
      </w:r>
    </w:p>
    <w:p w14:paraId="7440177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5911CAB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Δh——路面纵断面高差（cm），为10cm路面纵断面最大高程和最小高程之差；</w:t>
      </w:r>
    </w:p>
    <w:p w14:paraId="6BF9EC2E">
      <w:pPr>
        <w:spacing w:line="360" w:lineRule="auto"/>
        <w:ind w:left="1050" w:leftChars="200" w:hanging="630" w:hanging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——第i点的路面纵断面高程</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应</w:t>
      </w:r>
      <w:r>
        <w:rPr>
          <w:rFonts w:ascii="Times New Roman" w:hAnsi="Times New Roman" w:eastAsia="宋体" w:cs="Times New Roman"/>
          <w:color w:val="auto"/>
          <w:szCs w:val="21"/>
          <w:highlight w:val="none"/>
        </w:rPr>
        <w:t>为自动化设备检测数据，每0.1m计一个高程，10m共计100个高程数据。</w:t>
      </w:r>
    </w:p>
    <w:p w14:paraId="6F0BBA6C">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5.2.6</w:t>
      </w:r>
      <w:r>
        <w:rPr>
          <w:rFonts w:ascii="Times New Roman" w:hAnsi="Times New Roman" w:eastAsia="宋体" w:cs="Times New Roman"/>
          <w:color w:val="auto"/>
          <w:szCs w:val="21"/>
          <w:highlight w:val="none"/>
        </w:rPr>
        <w:t xml:space="preserve"> 路面跳车应按表</w:t>
      </w:r>
      <w:r>
        <w:rPr>
          <w:rFonts w:hint="eastAsia" w:ascii="Times New Roman" w:hAnsi="Times New Roman" w:eastAsia="宋体" w:cs="Times New Roman"/>
          <w:color w:val="auto"/>
          <w:szCs w:val="21"/>
          <w:highlight w:val="none"/>
          <w:lang w:val="en-US" w:eastAsia="zh-CN"/>
        </w:rPr>
        <w:t>5</w:t>
      </w:r>
      <w:r>
        <w:rPr>
          <w:rFonts w:ascii="Times New Roman" w:hAnsi="Times New Roman" w:eastAsia="宋体" w:cs="Times New Roman"/>
          <w:color w:val="auto"/>
          <w:szCs w:val="21"/>
          <w:highlight w:val="none"/>
        </w:rPr>
        <w:t>规定划分跳车程度。</w:t>
      </w:r>
    </w:p>
    <w:p w14:paraId="003528D1">
      <w:pPr>
        <w:keepNext/>
        <w:spacing w:before="156" w:beforeLines="50"/>
        <w:jc w:val="center"/>
        <w:rPr>
          <w:rFonts w:hint="default" w:ascii="Times New Roman" w:hAnsi="Times New Roman" w:eastAsia="宋体" w:cs="Times New Roman"/>
          <w:b/>
          <w:color w:val="auto"/>
          <w:szCs w:val="21"/>
          <w:highlight w:val="none"/>
          <w:lang w:val="en-US" w:eastAsia="zh-CN"/>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5</w:t>
      </w:r>
      <w:r>
        <w:rPr>
          <w:rFonts w:ascii="Times New Roman" w:hAnsi="Times New Roman" w:eastAsia="宋体" w:cs="Times New Roman"/>
          <w:b/>
          <w:color w:val="auto"/>
          <w:szCs w:val="21"/>
          <w:highlight w:val="none"/>
        </w:rPr>
        <w:t xml:space="preserve">  路面跳车程度划分标准</w:t>
      </w:r>
      <w:r>
        <w:rPr>
          <w:rFonts w:hint="eastAsia" w:ascii="Times New Roman" w:hAnsi="Times New Roman" w:eastAsia="宋体" w:cs="Times New Roman"/>
          <w:b/>
          <w:color w:val="auto"/>
          <w:szCs w:val="21"/>
          <w:highlight w:val="none"/>
          <w:lang w:val="en-US" w:eastAsia="zh-CN"/>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shd w:val="clear" w:color="auto" w:fill="auto"/>
        <w:tblLayout w:type="autofit"/>
        <w:tblCellMar>
          <w:top w:w="0" w:type="dxa"/>
          <w:left w:w="108" w:type="dxa"/>
          <w:bottom w:w="0" w:type="dxa"/>
          <w:right w:w="108" w:type="dxa"/>
        </w:tblCellMar>
      </w:tblPr>
      <w:tblGrid>
        <w:gridCol w:w="2074"/>
        <w:gridCol w:w="2074"/>
        <w:gridCol w:w="2074"/>
        <w:gridCol w:w="2074"/>
      </w:tblGrid>
      <w:tr w14:paraId="7683EE9E">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shd w:val="clear" w:color="auto" w:fill="auto"/>
          <w:tblCellMar>
            <w:top w:w="0" w:type="dxa"/>
            <w:left w:w="108" w:type="dxa"/>
            <w:bottom w:w="0" w:type="dxa"/>
            <w:right w:w="108" w:type="dxa"/>
          </w:tblCellMar>
        </w:tblPrEx>
        <w:trPr>
          <w:trHeight w:val="454" w:hRule="exact"/>
          <w:jc w:val="center"/>
        </w:trPr>
        <w:tc>
          <w:tcPr>
            <w:tcW w:w="2074" w:type="dxa"/>
            <w:tcBorders>
              <w:tl2br w:val="nil"/>
              <w:tr2bl w:val="nil"/>
            </w:tcBorders>
            <w:shd w:val="clear" w:color="auto" w:fill="auto"/>
            <w:vAlign w:val="center"/>
          </w:tcPr>
          <w:p w14:paraId="5C689047">
            <w:pPr>
              <w:spacing w:before="50" w:after="5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检测指标</w:t>
            </w:r>
          </w:p>
        </w:tc>
        <w:tc>
          <w:tcPr>
            <w:tcW w:w="2074" w:type="dxa"/>
            <w:tcBorders>
              <w:tl2br w:val="nil"/>
              <w:tr2bl w:val="nil"/>
            </w:tcBorders>
            <w:shd w:val="clear" w:color="auto" w:fill="auto"/>
            <w:vAlign w:val="center"/>
          </w:tcPr>
          <w:p w14:paraId="62E83E8B">
            <w:pPr>
              <w:spacing w:before="50" w:after="5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轻度</w:t>
            </w:r>
          </w:p>
        </w:tc>
        <w:tc>
          <w:tcPr>
            <w:tcW w:w="2074" w:type="dxa"/>
            <w:tcBorders>
              <w:tl2br w:val="nil"/>
              <w:tr2bl w:val="nil"/>
            </w:tcBorders>
            <w:shd w:val="clear" w:color="auto" w:fill="auto"/>
            <w:vAlign w:val="center"/>
          </w:tcPr>
          <w:p w14:paraId="6B69CA71">
            <w:pPr>
              <w:spacing w:before="50" w:after="5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中度</w:t>
            </w:r>
          </w:p>
        </w:tc>
        <w:tc>
          <w:tcPr>
            <w:tcW w:w="2074" w:type="dxa"/>
            <w:tcBorders>
              <w:tl2br w:val="nil"/>
              <w:tr2bl w:val="nil"/>
            </w:tcBorders>
            <w:shd w:val="clear" w:color="auto" w:fill="auto"/>
            <w:vAlign w:val="center"/>
          </w:tcPr>
          <w:p w14:paraId="08650B78">
            <w:pPr>
              <w:spacing w:before="50" w:after="5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重度</w:t>
            </w:r>
          </w:p>
        </w:tc>
      </w:tr>
      <w:tr w14:paraId="752221FD">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shd w:val="clear" w:color="auto" w:fill="auto"/>
          <w:tblCellMar>
            <w:top w:w="0" w:type="dxa"/>
            <w:left w:w="108" w:type="dxa"/>
            <w:bottom w:w="0" w:type="dxa"/>
            <w:right w:w="108" w:type="dxa"/>
          </w:tblCellMar>
        </w:tblPrEx>
        <w:trPr>
          <w:trHeight w:val="454" w:hRule="exact"/>
          <w:jc w:val="center"/>
        </w:trPr>
        <w:tc>
          <w:tcPr>
            <w:tcW w:w="2074" w:type="dxa"/>
            <w:tcBorders>
              <w:tl2br w:val="nil"/>
              <w:tr2bl w:val="nil"/>
            </w:tcBorders>
            <w:shd w:val="clear" w:color="auto" w:fill="auto"/>
            <w:vAlign w:val="center"/>
          </w:tcPr>
          <w:p w14:paraId="0510B890">
            <w:pPr>
              <w:spacing w:before="50" w:after="50"/>
              <w:jc w:val="center"/>
              <w:rPr>
                <w:rFonts w:hint="default"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路面纵断面高差</w:t>
            </w:r>
            <w:r>
              <w:rPr>
                <w:rFonts w:hint="eastAsia" w:ascii="Times New Roman" w:hAnsi="Times New Roman" w:eastAsia="宋体" w:cs="Times New Roman"/>
                <w:color w:val="auto"/>
                <w:sz w:val="18"/>
                <w:szCs w:val="18"/>
                <w:highlight w:val="none"/>
                <w:lang w:val="en-US" w:eastAsia="zh-CN"/>
              </w:rPr>
              <w:t xml:space="preserve"> (cm)</w:t>
            </w:r>
          </w:p>
        </w:tc>
        <w:tc>
          <w:tcPr>
            <w:tcW w:w="2074" w:type="dxa"/>
            <w:tcBorders>
              <w:tl2br w:val="nil"/>
              <w:tr2bl w:val="nil"/>
            </w:tcBorders>
            <w:shd w:val="clear" w:color="auto" w:fill="auto"/>
            <w:vAlign w:val="center"/>
          </w:tcPr>
          <w:p w14:paraId="5E7954CD">
            <w:pPr>
              <w:spacing w:before="50" w:after="50"/>
              <w:jc w:val="center"/>
              <w:rPr>
                <w:rFonts w:hint="default"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≥2，＜5</w:t>
            </w:r>
          </w:p>
        </w:tc>
        <w:tc>
          <w:tcPr>
            <w:tcW w:w="2074" w:type="dxa"/>
            <w:tcBorders>
              <w:tl2br w:val="nil"/>
              <w:tr2bl w:val="nil"/>
            </w:tcBorders>
            <w:shd w:val="clear" w:color="auto" w:fill="auto"/>
            <w:vAlign w:val="center"/>
          </w:tcPr>
          <w:p w14:paraId="5D3664C9">
            <w:pPr>
              <w:spacing w:before="50" w:after="50"/>
              <w:jc w:val="center"/>
              <w:rPr>
                <w:rFonts w:hint="default"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≥5，＜8</w:t>
            </w:r>
          </w:p>
        </w:tc>
        <w:tc>
          <w:tcPr>
            <w:tcW w:w="2074" w:type="dxa"/>
            <w:tcBorders>
              <w:tl2br w:val="nil"/>
              <w:tr2bl w:val="nil"/>
            </w:tcBorders>
            <w:shd w:val="clear" w:color="auto" w:fill="auto"/>
            <w:vAlign w:val="center"/>
          </w:tcPr>
          <w:p w14:paraId="4D056142">
            <w:pPr>
              <w:spacing w:before="50" w:after="50"/>
              <w:jc w:val="center"/>
              <w:rPr>
                <w:rFonts w:hint="default"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≥8</w:t>
            </w:r>
          </w:p>
        </w:tc>
      </w:tr>
    </w:tbl>
    <w:p w14:paraId="061D580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5.2.7</w:t>
      </w:r>
      <w:r>
        <w:rPr>
          <w:rFonts w:ascii="Times New Roman" w:hAnsi="Times New Roman" w:eastAsia="宋体" w:cs="Times New Roman"/>
          <w:color w:val="auto"/>
          <w:szCs w:val="21"/>
          <w:highlight w:val="none"/>
        </w:rPr>
        <w:t xml:space="preserve"> 桥头路段路基设计应符合下列要求：</w:t>
      </w:r>
    </w:p>
    <w:p w14:paraId="3778AB3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桥台与路线斜交角度较大时，应加强结构措施，不得出现土压力不平衡造成的位移和开裂；</w:t>
      </w:r>
    </w:p>
    <w:p w14:paraId="072F63C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搭板长度不宜小于8m；</w:t>
      </w:r>
    </w:p>
    <w:p w14:paraId="3C3757E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桥台锥坡范围存在软弱土时，应进行软弱土处治；</w:t>
      </w:r>
    </w:p>
    <w:p w14:paraId="25C10DD3">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应合理控制桥头软弱土路段的填土高度，不宜大于10m，避免桥头工后沉降过大或地基处理难度过大、造价过高；</w:t>
      </w:r>
    </w:p>
    <w:p w14:paraId="21D51CD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桥头台背回填材料应选择透水性好、易压实、固结完成快、压缩变形小的砂性土、砂砾土、碎石土等填料；有特殊要求时，可采用级配碎石</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无砂大孔混凝土</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流</w:t>
      </w:r>
      <w:r>
        <w:rPr>
          <w:rFonts w:hint="eastAsia" w:ascii="Times New Roman" w:hAnsi="Times New Roman" w:eastAsia="宋体" w:cs="Times New Roman"/>
          <w:color w:val="auto"/>
          <w:szCs w:val="21"/>
          <w:highlight w:val="none"/>
        </w:rPr>
        <w:t>态粉煤灰</w:t>
      </w:r>
      <w:r>
        <w:rPr>
          <w:rFonts w:hint="eastAsia" w:ascii="Times New Roman" w:hAnsi="Times New Roman" w:eastAsia="宋体" w:cs="Times New Roman"/>
          <w:color w:val="auto"/>
          <w:szCs w:val="21"/>
          <w:highlight w:val="none"/>
          <w:lang w:val="en-US" w:eastAsia="zh-CN"/>
        </w:rPr>
        <w:t>、</w:t>
      </w:r>
      <w:r>
        <w:rPr>
          <w:rFonts w:ascii="Times New Roman" w:hAnsi="Times New Roman" w:eastAsia="宋体"/>
          <w:color w:val="auto"/>
          <w:highlight w:val="none"/>
        </w:rPr>
        <w:t>煤矸石</w:t>
      </w:r>
      <w:r>
        <w:rPr>
          <w:rFonts w:hint="eastAsia" w:ascii="Times New Roman" w:hAnsi="Times New Roman" w:eastAsia="宋体"/>
          <w:color w:val="auto"/>
          <w:highlight w:val="none"/>
          <w:lang w:val="en-US" w:eastAsia="zh-CN"/>
        </w:rPr>
        <w:t>或</w:t>
      </w:r>
      <w:r>
        <w:rPr>
          <w:rFonts w:hint="eastAsia" w:ascii="Times New Roman" w:hAnsi="Times New Roman" w:eastAsia="宋体" w:cs="Times New Roman"/>
          <w:color w:val="auto"/>
          <w:szCs w:val="21"/>
          <w:highlight w:val="none"/>
          <w:lang w:val="en-US" w:eastAsia="zh-CN"/>
        </w:rPr>
        <w:t>建筑垃圾</w:t>
      </w:r>
      <w:r>
        <w:rPr>
          <w:rFonts w:hint="default" w:ascii="Times New Roman" w:hAnsi="Times New Roman" w:eastAsia="宋体" w:cs="Times New Roman"/>
          <w:color w:val="auto"/>
          <w:szCs w:val="21"/>
          <w:highlight w:val="none"/>
          <w:lang w:val="en-US"/>
        </w:rPr>
        <w:t>再生材料</w:t>
      </w:r>
      <w:r>
        <w:rPr>
          <w:rFonts w:ascii="Times New Roman" w:hAnsi="Times New Roman" w:eastAsia="宋体" w:cs="Times New Roman"/>
          <w:color w:val="auto"/>
          <w:szCs w:val="21"/>
          <w:highlight w:val="none"/>
        </w:rPr>
        <w:t>；</w:t>
      </w:r>
    </w:p>
    <w:p w14:paraId="1C28D8AC">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当桥头位于深厚软弱土路段时，也可采用气泡混合轻质土以减少桥台侧压力和路基沉降。</w:t>
      </w:r>
    </w:p>
    <w:p w14:paraId="40FB639B">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5.2.8</w:t>
      </w:r>
      <w:r>
        <w:rPr>
          <w:rFonts w:ascii="Times New Roman" w:hAnsi="Times New Roman" w:eastAsia="宋体" w:cs="Times New Roman"/>
          <w:color w:val="auto"/>
          <w:szCs w:val="21"/>
          <w:highlight w:val="none"/>
        </w:rPr>
        <w:t xml:space="preserve"> 桥头软弱土地基处治典型设计</w:t>
      </w:r>
      <w:r>
        <w:rPr>
          <w:rFonts w:hint="eastAsia" w:ascii="Times New Roman" w:hAnsi="Times New Roman" w:eastAsia="宋体" w:cs="Times New Roman"/>
          <w:color w:val="auto"/>
          <w:szCs w:val="21"/>
          <w:highlight w:val="none"/>
          <w:lang w:val="en-US" w:eastAsia="zh-CN"/>
        </w:rPr>
        <w:t>方案</w:t>
      </w:r>
      <w:r>
        <w:rPr>
          <w:rFonts w:ascii="Times New Roman" w:hAnsi="Times New Roman" w:eastAsia="宋体" w:cs="Times New Roman"/>
          <w:color w:val="auto"/>
          <w:szCs w:val="21"/>
          <w:highlight w:val="none"/>
        </w:rPr>
        <w:t>详见图3，应符合下列要求：</w:t>
      </w:r>
    </w:p>
    <w:p w14:paraId="1015FEF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采用换填法处理时，应彻底清除软弱土层，换填材料应优先选用硬质挖方料、片石、碎石、砂砾等透水性和稳定性较好的材料；</w:t>
      </w:r>
    </w:p>
    <w:p w14:paraId="04AAD231">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采用复合地基法处理时，应设置过渡路段，过渡路段通常采用变桩距、桩长等方式来调整变形协调过渡，过渡路段长度不宜小于（2H＋3）m（H为路堤填土高度）。</w:t>
      </w:r>
    </w:p>
    <w:p w14:paraId="4A679D08">
      <w:pPr>
        <w:spacing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color w:val="auto"/>
          <w:szCs w:val="21"/>
          <w:highlight w:val="none"/>
        </w:rPr>
        <w:drawing>
          <wp:inline distT="0" distB="0" distL="114300" distR="114300">
            <wp:extent cx="5271135" cy="1729105"/>
            <wp:effectExtent l="0" t="0" r="12065" b="10795"/>
            <wp:docPr id="8" name="图片 8" descr="C:/Users/22308/Desktop/8933286ff07ac3e15cfe21929489c7d.jpg8933286ff07ac3e15cfe21929489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2308/Desktop/8933286ff07ac3e15cfe21929489c7d.jpg8933286ff07ac3e15cfe21929489c7d"/>
                    <pic:cNvPicPr>
                      <a:picLocks noChangeAspect="1"/>
                    </pic:cNvPicPr>
                  </pic:nvPicPr>
                  <pic:blipFill>
                    <a:blip r:embed="rId31"/>
                    <a:srcRect t="18" b="18"/>
                    <a:stretch>
                      <a:fillRect/>
                    </a:stretch>
                  </pic:blipFill>
                  <pic:spPr>
                    <a:xfrm>
                      <a:off x="0" y="0"/>
                      <a:ext cx="5271135" cy="1729105"/>
                    </a:xfrm>
                    <a:prstGeom prst="rect">
                      <a:avLst/>
                    </a:prstGeom>
                  </pic:spPr>
                </pic:pic>
              </a:graphicData>
            </a:graphic>
          </wp:inline>
        </w:drawing>
      </w:r>
      <w:r>
        <w:rPr>
          <w:rFonts w:ascii="Times New Roman" w:hAnsi="Times New Roman" w:eastAsia="宋体" w:cs="Times New Roman"/>
          <w:b/>
          <w:color w:val="auto"/>
          <w:szCs w:val="21"/>
          <w:highlight w:val="none"/>
        </w:rPr>
        <w:t>图3  桥头软弱土地基处治典型设计示意图</w:t>
      </w:r>
    </w:p>
    <w:p w14:paraId="0F813C1D">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5.2.9</w:t>
      </w:r>
      <w:r>
        <w:rPr>
          <w:rFonts w:ascii="Times New Roman" w:hAnsi="Times New Roman" w:eastAsia="宋体" w:cs="Times New Roman"/>
          <w:color w:val="auto"/>
          <w:szCs w:val="21"/>
          <w:highlight w:val="none"/>
        </w:rPr>
        <w:t xml:space="preserve"> 软基处治施工应优先进行桥台附近的软弱土地基处理和路堤填筑，从桥台向路堤方向施工，以争取足够的预压时间。</w:t>
      </w:r>
    </w:p>
    <w:p w14:paraId="60CFEFA8">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5.2.10</w:t>
      </w:r>
      <w:r>
        <w:rPr>
          <w:rFonts w:ascii="Times New Roman" w:hAnsi="Times New Roman" w:eastAsia="宋体" w:cs="Times New Roman"/>
          <w:color w:val="auto"/>
          <w:szCs w:val="21"/>
          <w:highlight w:val="none"/>
        </w:rPr>
        <w:t xml:space="preserve"> 桥台宜采用反开挖施工，桥台反开挖施工时，应减少反开挖范围，避免大范围的扰动，反开挖施工完成后，应及时回填并继续预压至路面施工。</w:t>
      </w:r>
    </w:p>
    <w:p w14:paraId="203D1FCA">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5.2.11</w:t>
      </w:r>
      <w:r>
        <w:rPr>
          <w:rFonts w:ascii="Times New Roman" w:hAnsi="Times New Roman" w:eastAsia="宋体" w:cs="Times New Roman"/>
          <w:color w:val="auto"/>
          <w:szCs w:val="21"/>
          <w:highlight w:val="none"/>
        </w:rPr>
        <w:t xml:space="preserve"> 台背回填采用分层填筑、分层压实的施工方法。分层压实过程中宜设置2%～4%的横坡以便于排水，且每层应于两侧外超填宽30cm</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以利于路堤边缘的压实。</w:t>
      </w:r>
    </w:p>
    <w:p w14:paraId="6D3D45C5">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5.2.12</w:t>
      </w:r>
      <w:r>
        <w:rPr>
          <w:rFonts w:ascii="Times New Roman" w:hAnsi="Times New Roman" w:eastAsia="宋体" w:cs="Times New Roman"/>
          <w:color w:val="auto"/>
          <w:szCs w:val="21"/>
          <w:highlight w:val="none"/>
        </w:rPr>
        <w:t xml:space="preserve"> 对台背回填</w:t>
      </w:r>
      <w:r>
        <w:rPr>
          <w:rFonts w:hint="eastAsia" w:ascii="Times New Roman" w:hAnsi="Times New Roman" w:eastAsia="宋体" w:cs="Times New Roman"/>
          <w:color w:val="auto"/>
          <w:szCs w:val="21"/>
          <w:highlight w:val="none"/>
        </w:rPr>
        <w:t>过程</w:t>
      </w:r>
      <w:r>
        <w:rPr>
          <w:rFonts w:ascii="Times New Roman" w:hAnsi="Times New Roman" w:eastAsia="宋体" w:cs="Times New Roman"/>
          <w:color w:val="auto"/>
          <w:szCs w:val="21"/>
          <w:highlight w:val="none"/>
        </w:rPr>
        <w:t>中不易压实的死角，应采用小型人工夯实机械辅助压实，增加夯击次数，确保台背达到规定压实度。</w:t>
      </w:r>
    </w:p>
    <w:p w14:paraId="22EA2720">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5.2.13</w:t>
      </w:r>
      <w:r>
        <w:rPr>
          <w:rFonts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rPr>
        <w:t>根据差异沉降控制，</w:t>
      </w:r>
      <w:r>
        <w:rPr>
          <w:rFonts w:ascii="Times New Roman" w:hAnsi="Times New Roman" w:eastAsia="宋体" w:cs="Times New Roman"/>
          <w:color w:val="auto"/>
          <w:szCs w:val="21"/>
          <w:highlight w:val="none"/>
        </w:rPr>
        <w:t>推荐公路路桥过渡段合理长度值，能够保证在曲线型路面变形模式下车辆行驶平顺性等级保持在中或优</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公路路桥过渡段合理长度推荐值</w:t>
      </w:r>
      <w:r>
        <w:rPr>
          <w:rFonts w:hint="eastAsia" w:ascii="Times New Roman" w:hAnsi="Times New Roman" w:eastAsia="宋体" w:cs="Times New Roman"/>
          <w:color w:val="auto"/>
          <w:szCs w:val="21"/>
          <w:highlight w:val="none"/>
          <w:lang w:val="en-US" w:eastAsia="zh-CN"/>
        </w:rPr>
        <w:t>见表6。</w:t>
      </w:r>
    </w:p>
    <w:p w14:paraId="6E01F346">
      <w:pPr>
        <w:keepNext/>
        <w:spacing w:before="156" w:beforeLines="50"/>
        <w:jc w:val="center"/>
        <w:rPr>
          <w:rFonts w:ascii="Times New Roman" w:hAnsi="Times New Roman" w:eastAsia="宋体" w:cs="Times New Roman"/>
          <w:b/>
          <w:color w:val="auto"/>
          <w:szCs w:val="21"/>
          <w:highlight w:val="none"/>
        </w:rPr>
      </w:pPr>
      <w:bookmarkStart w:id="22" w:name="_Hlk533107642"/>
      <w:bookmarkStart w:id="23" w:name="_Toc22785"/>
      <w:bookmarkStart w:id="24" w:name="_Hlk533107720"/>
      <w:r>
        <w:rPr>
          <w:rFonts w:hint="eastAsia"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6</w:t>
      </w:r>
      <w:r>
        <w:rPr>
          <w:rFonts w:ascii="Times New Roman" w:hAnsi="Times New Roman" w:eastAsia="宋体" w:cs="Times New Roman"/>
          <w:b/>
          <w:color w:val="auto"/>
          <w:szCs w:val="21"/>
          <w:highlight w:val="none"/>
        </w:rPr>
        <w:t xml:space="preserve">  公路路桥过渡段合理长度推荐值</w:t>
      </w:r>
      <w:bookmarkEnd w:id="22"/>
      <w:bookmarkEnd w:id="23"/>
    </w:p>
    <w:bookmarkEnd w:id="24"/>
    <w:tbl>
      <w:tblPr>
        <w:tblStyle w:val="15"/>
        <w:tblW w:w="4869" w:type="pct"/>
        <w:jc w:val="center"/>
        <w:tblBorders>
          <w:top w:val="single" w:color="auto" w:sz="4" w:space="0"/>
          <w:left w:val="single" w:color="auto" w:sz="4" w:space="0"/>
          <w:bottom w:val="single" w:color="auto" w:sz="4" w:space="0"/>
          <w:right w:val="single" w:color="auto" w:sz="8" w:space="0"/>
          <w:insideH w:val="single" w:color="auto" w:sz="4" w:space="0"/>
          <w:insideV w:val="single" w:color="auto" w:sz="8" w:space="0"/>
        </w:tblBorders>
        <w:tblLayout w:type="autofit"/>
        <w:tblCellMar>
          <w:top w:w="0" w:type="dxa"/>
          <w:left w:w="108" w:type="dxa"/>
          <w:bottom w:w="0" w:type="dxa"/>
          <w:right w:w="108" w:type="dxa"/>
        </w:tblCellMar>
      </w:tblPr>
      <w:tblGrid>
        <w:gridCol w:w="2133"/>
        <w:gridCol w:w="1268"/>
        <w:gridCol w:w="1266"/>
        <w:gridCol w:w="1266"/>
        <w:gridCol w:w="1268"/>
        <w:gridCol w:w="1189"/>
      </w:tblGrid>
      <w:tr w14:paraId="299A6A01">
        <w:tblPrEx>
          <w:tblBorders>
            <w:top w:val="single" w:color="auto" w:sz="4" w:space="0"/>
            <w:left w:val="single" w:color="auto" w:sz="4" w:space="0"/>
            <w:bottom w:val="single" w:color="auto" w:sz="4"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1271" w:type="pct"/>
            <w:tcBorders>
              <w:tl2br w:val="nil"/>
              <w:tr2bl w:val="nil"/>
            </w:tcBorders>
            <w:vAlign w:val="center"/>
          </w:tcPr>
          <w:p w14:paraId="55F4EC6E">
            <w:pPr>
              <w:keepNex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车速（km/h）</w:t>
            </w:r>
          </w:p>
        </w:tc>
        <w:tc>
          <w:tcPr>
            <w:tcW w:w="755" w:type="pct"/>
            <w:tcBorders>
              <w:tl2br w:val="nil"/>
              <w:tr2bl w:val="nil"/>
            </w:tcBorders>
            <w:vAlign w:val="center"/>
          </w:tcPr>
          <w:p w14:paraId="7A36A443">
            <w:pPr>
              <w:keepNex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120</w:t>
            </w:r>
          </w:p>
        </w:tc>
        <w:tc>
          <w:tcPr>
            <w:tcW w:w="754" w:type="pct"/>
            <w:tcBorders>
              <w:tl2br w:val="nil"/>
              <w:tr2bl w:val="nil"/>
            </w:tcBorders>
            <w:vAlign w:val="center"/>
          </w:tcPr>
          <w:p w14:paraId="59F3AAF4">
            <w:pPr>
              <w:keepNex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w:t>
            </w:r>
          </w:p>
        </w:tc>
        <w:tc>
          <w:tcPr>
            <w:tcW w:w="754" w:type="pct"/>
            <w:tcBorders>
              <w:tl2br w:val="nil"/>
              <w:tr2bl w:val="nil"/>
            </w:tcBorders>
            <w:vAlign w:val="center"/>
          </w:tcPr>
          <w:p w14:paraId="56106330">
            <w:pPr>
              <w:keepNex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w:t>
            </w:r>
          </w:p>
        </w:tc>
        <w:tc>
          <w:tcPr>
            <w:tcW w:w="755" w:type="pct"/>
            <w:tcBorders>
              <w:tl2br w:val="nil"/>
              <w:tr2bl w:val="nil"/>
            </w:tcBorders>
            <w:vAlign w:val="center"/>
          </w:tcPr>
          <w:p w14:paraId="4DA523BF">
            <w:pPr>
              <w:keepNex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w:t>
            </w:r>
          </w:p>
        </w:tc>
        <w:tc>
          <w:tcPr>
            <w:tcW w:w="708" w:type="pct"/>
            <w:tcBorders>
              <w:tl2br w:val="nil"/>
              <w:tr2bl w:val="nil"/>
            </w:tcBorders>
            <w:vAlign w:val="center"/>
          </w:tcPr>
          <w:p w14:paraId="72167F02">
            <w:pPr>
              <w:keepNex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w:t>
            </w:r>
          </w:p>
        </w:tc>
      </w:tr>
      <w:tr w14:paraId="483D65DB">
        <w:tblPrEx>
          <w:tblBorders>
            <w:top w:val="single" w:color="auto" w:sz="4" w:space="0"/>
            <w:left w:val="single" w:color="auto" w:sz="4" w:space="0"/>
            <w:bottom w:val="single" w:color="auto" w:sz="4"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1271" w:type="pct"/>
            <w:tcBorders>
              <w:tl2br w:val="nil"/>
              <w:tr2bl w:val="nil"/>
            </w:tcBorders>
            <w:vAlign w:val="center"/>
          </w:tcPr>
          <w:p w14:paraId="3738E3F9">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过渡段合理长度（m）</w:t>
            </w:r>
          </w:p>
        </w:tc>
        <w:tc>
          <w:tcPr>
            <w:tcW w:w="755" w:type="pct"/>
            <w:tcBorders>
              <w:tl2br w:val="nil"/>
              <w:tr2bl w:val="nil"/>
            </w:tcBorders>
            <w:vAlign w:val="center"/>
          </w:tcPr>
          <w:p w14:paraId="4D2E83AC">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w:t>
            </w:r>
          </w:p>
        </w:tc>
        <w:tc>
          <w:tcPr>
            <w:tcW w:w="754" w:type="pct"/>
            <w:tcBorders>
              <w:tl2br w:val="nil"/>
              <w:tr2bl w:val="nil"/>
            </w:tcBorders>
            <w:vAlign w:val="center"/>
          </w:tcPr>
          <w:p w14:paraId="611A717E">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w:t>
            </w:r>
          </w:p>
        </w:tc>
        <w:tc>
          <w:tcPr>
            <w:tcW w:w="754" w:type="pct"/>
            <w:tcBorders>
              <w:tl2br w:val="nil"/>
              <w:tr2bl w:val="nil"/>
            </w:tcBorders>
            <w:vAlign w:val="center"/>
          </w:tcPr>
          <w:p w14:paraId="7CA2E1BC">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755" w:type="pct"/>
            <w:tcBorders>
              <w:tl2br w:val="nil"/>
              <w:tr2bl w:val="nil"/>
            </w:tcBorders>
            <w:vAlign w:val="center"/>
          </w:tcPr>
          <w:p w14:paraId="5560AA8D">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708" w:type="pct"/>
            <w:tcBorders>
              <w:tl2br w:val="nil"/>
              <w:tr2bl w:val="nil"/>
            </w:tcBorders>
            <w:vAlign w:val="center"/>
          </w:tcPr>
          <w:p w14:paraId="6FBEA5C9">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w:t>
            </w:r>
          </w:p>
        </w:tc>
      </w:tr>
    </w:tbl>
    <w:p w14:paraId="5A59D8EA">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textAlignment w:val="auto"/>
        <w:rPr>
          <w:rFonts w:hint="eastAsia" w:ascii="黑体" w:hAnsi="黑体" w:eastAsia="黑体" w:cs="黑体"/>
          <w:b w:val="0"/>
          <w:bCs/>
          <w:color w:val="auto"/>
          <w:sz w:val="21"/>
          <w:szCs w:val="21"/>
          <w:highlight w:val="none"/>
          <w:lang w:val="en-US" w:eastAsia="zh-CN"/>
        </w:rPr>
      </w:pPr>
      <w:bookmarkStart w:id="25" w:name="_Toc170244939"/>
      <w:r>
        <w:rPr>
          <w:rFonts w:hint="eastAsia" w:ascii="黑体" w:hAnsi="黑体" w:eastAsia="黑体" w:cs="黑体"/>
          <w:b w:val="0"/>
          <w:bCs/>
          <w:color w:val="auto"/>
          <w:sz w:val="21"/>
          <w:szCs w:val="21"/>
          <w:highlight w:val="none"/>
          <w:lang w:val="en-US" w:eastAsia="zh-CN"/>
        </w:rPr>
        <w:t>5.3 涵洞（通道）路段</w:t>
      </w:r>
      <w:bookmarkEnd w:id="25"/>
    </w:p>
    <w:p w14:paraId="1F491F30">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5.3.1</w:t>
      </w:r>
      <w:r>
        <w:rPr>
          <w:rFonts w:ascii="Times New Roman" w:hAnsi="Times New Roman" w:eastAsia="宋体" w:cs="Times New Roman"/>
          <w:color w:val="auto"/>
          <w:szCs w:val="21"/>
          <w:highlight w:val="none"/>
        </w:rPr>
        <w:t xml:space="preserve"> 选址时，宜将涵洞布置在地质条件较好的坡脚地段，不宜将涵洞布置在范围广、厚度大的软弱土路段。</w:t>
      </w:r>
    </w:p>
    <w:p w14:paraId="1157D00E">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5.3.2</w:t>
      </w:r>
      <w:r>
        <w:rPr>
          <w:rFonts w:ascii="Times New Roman" w:hAnsi="Times New Roman" w:eastAsia="宋体" w:cs="Times New Roman"/>
          <w:color w:val="auto"/>
          <w:szCs w:val="21"/>
          <w:highlight w:val="none"/>
        </w:rPr>
        <w:t xml:space="preserve"> 涵洞（通道）软基勘察除按</w:t>
      </w:r>
      <w:r>
        <w:rPr>
          <w:rFonts w:ascii="Times New Roman" w:hAnsi="Times New Roman" w:eastAsia="宋体" w:cs="Times New Roman"/>
          <w:color w:val="auto"/>
          <w:szCs w:val="21"/>
          <w:highlight w:val="none"/>
        </w:rPr>
        <w:t>常规</w:t>
      </w:r>
      <w:r>
        <w:rPr>
          <w:rFonts w:ascii="Times New Roman" w:hAnsi="Times New Roman" w:eastAsia="宋体" w:cs="Times New Roman"/>
          <w:color w:val="auto"/>
          <w:szCs w:val="21"/>
          <w:highlight w:val="none"/>
        </w:rPr>
        <w:t>软弱土路段的勘察要求执行外，应根据软弱土厚度、性质、填土高度等条件布置典型横向勘探线，勘探点数量宜为2～3个，勘探点深度应进入持力层1m～2m，控制性勘探点深度应进入持力层3m～5m。</w:t>
      </w:r>
    </w:p>
    <w:p w14:paraId="0DAD65DC">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5.3.3</w:t>
      </w:r>
      <w:r>
        <w:rPr>
          <w:rFonts w:ascii="Times New Roman" w:hAnsi="Times New Roman" w:eastAsia="宋体" w:cs="Times New Roman"/>
          <w:color w:val="auto"/>
          <w:szCs w:val="21"/>
          <w:highlight w:val="none"/>
        </w:rPr>
        <w:t xml:space="preserve"> 涵洞（通道）路段设计时应处理好涵洞、台背及软弱土地基处理之间的协调关系，采取相应措施，实现涵洞（通道）结构物与相邻路段的平顺过渡。</w:t>
      </w:r>
    </w:p>
    <w:p w14:paraId="32543F6F">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5.3.4</w:t>
      </w:r>
      <w:r>
        <w:rPr>
          <w:rFonts w:ascii="Times New Roman" w:hAnsi="Times New Roman" w:eastAsia="宋体" w:cs="Times New Roman"/>
          <w:color w:val="auto"/>
          <w:szCs w:val="21"/>
          <w:highlight w:val="none"/>
        </w:rPr>
        <w:t xml:space="preserve"> 涵洞（通道）路段路基设计应符合以下要求：</w:t>
      </w:r>
    </w:p>
    <w:p w14:paraId="58EACE9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软弱土地质条件较差的路段涵洞（通道）宜采用钢筋混凝土箱涵；</w:t>
      </w:r>
    </w:p>
    <w:p w14:paraId="2693E6D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软弱土地质条件相对较好或经处理后的软弱土地基可采用盖板涵，盖板涵宜采用整体式基础；</w:t>
      </w:r>
    </w:p>
    <w:p w14:paraId="1BA848B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明涵两侧应设置长度不小于6m的搭板。</w:t>
      </w:r>
    </w:p>
    <w:p w14:paraId="3BD8EC17">
      <w:pPr>
        <w:spacing w:line="360" w:lineRule="auto"/>
        <w:rPr>
          <w:rFonts w:hint="eastAsia" w:ascii="Times New Roman" w:hAnsi="Times New Roman" w:eastAsia="宋体" w:cs="Times New Roman"/>
          <w:color w:val="auto"/>
          <w:szCs w:val="21"/>
          <w:highlight w:val="none"/>
          <w:lang w:val="en-US" w:eastAsia="zh-CN"/>
        </w:rPr>
      </w:pPr>
      <w:r>
        <w:rPr>
          <w:rFonts w:hint="eastAsia" w:ascii="黑体" w:hAnsi="黑体" w:eastAsia="黑体" w:cs="黑体"/>
          <w:b w:val="0"/>
          <w:bCs/>
          <w:color w:val="auto"/>
          <w:sz w:val="21"/>
          <w:szCs w:val="21"/>
          <w:highlight w:val="none"/>
          <w:lang w:val="en-US" w:eastAsia="zh-CN"/>
        </w:rPr>
        <w:t>5.3.5</w:t>
      </w:r>
      <w:r>
        <w:rPr>
          <w:rFonts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涵洞（通道）路段软弱土地基处治</w:t>
      </w:r>
      <w:r>
        <w:rPr>
          <w:rFonts w:hint="eastAsia" w:ascii="Times New Roman" w:hAnsi="Times New Roman" w:eastAsia="宋体" w:cs="Times New Roman"/>
          <w:color w:val="auto"/>
          <w:szCs w:val="21"/>
          <w:highlight w:val="none"/>
          <w:lang w:val="en-US" w:eastAsia="zh-CN"/>
        </w:rPr>
        <w:t>方案</w:t>
      </w:r>
      <w:r>
        <w:rPr>
          <w:rFonts w:ascii="Times New Roman" w:hAnsi="Times New Roman" w:eastAsia="宋体" w:cs="Times New Roman"/>
          <w:color w:val="auto"/>
          <w:szCs w:val="21"/>
          <w:highlight w:val="none"/>
        </w:rPr>
        <w:t>可</w:t>
      </w:r>
      <w:r>
        <w:rPr>
          <w:rFonts w:hint="eastAsia" w:ascii="Times New Roman" w:hAnsi="Times New Roman" w:eastAsia="宋体" w:cs="Times New Roman"/>
          <w:color w:val="auto"/>
          <w:szCs w:val="21"/>
          <w:highlight w:val="none"/>
          <w:lang w:val="en-US" w:eastAsia="zh-CN"/>
        </w:rPr>
        <w:t>采用</w:t>
      </w:r>
      <w:r>
        <w:rPr>
          <w:rFonts w:ascii="Times New Roman" w:hAnsi="Times New Roman" w:eastAsia="宋体" w:cs="Times New Roman"/>
          <w:color w:val="auto"/>
          <w:szCs w:val="21"/>
          <w:highlight w:val="none"/>
        </w:rPr>
        <w:t>换填法</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复合地基法</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加筋法</w:t>
      </w:r>
      <w:r>
        <w:rPr>
          <w:rFonts w:hint="eastAsia" w:ascii="Times New Roman" w:hAnsi="Times New Roman" w:eastAsia="宋体" w:cs="Times New Roman"/>
          <w:color w:val="auto"/>
          <w:szCs w:val="21"/>
          <w:highlight w:val="none"/>
          <w:lang w:val="en-US" w:eastAsia="zh-CN"/>
        </w:rPr>
        <w:t>和</w:t>
      </w:r>
      <w:r>
        <w:rPr>
          <w:rFonts w:hint="eastAsia" w:ascii="Times New Roman" w:hAnsi="Times New Roman" w:eastAsia="宋体" w:cs="Times New Roman"/>
          <w:color w:val="auto"/>
          <w:szCs w:val="21"/>
          <w:highlight w:val="none"/>
        </w:rPr>
        <w:t>排水固结法</w:t>
      </w:r>
      <w:r>
        <w:rPr>
          <w:rFonts w:hint="eastAsia" w:ascii="Times New Roman" w:hAnsi="Times New Roman" w:eastAsia="宋体" w:cs="Times New Roman"/>
          <w:color w:val="auto"/>
          <w:szCs w:val="21"/>
          <w:highlight w:val="none"/>
          <w:lang w:val="en-US" w:eastAsia="zh-CN"/>
        </w:rPr>
        <w:t>等。</w:t>
      </w:r>
    </w:p>
    <w:p w14:paraId="069FF1A1">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5.3.5.1</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换填</w:t>
      </w:r>
      <w:r>
        <w:rPr>
          <w:rFonts w:ascii="Times New Roman" w:hAnsi="Times New Roman" w:eastAsia="宋体" w:cs="Times New Roman"/>
          <w:color w:val="auto"/>
          <w:szCs w:val="21"/>
          <w:highlight w:val="none"/>
        </w:rPr>
        <w:t>法</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复合地基法参考图4进行设计，应符合下列要求：</w:t>
      </w:r>
    </w:p>
    <w:p w14:paraId="59F11E08">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采用换填法处理时，应彻底清除软弱土层，换填材料应优先选用硬质挖方料、片石、碎石、砂砾等水透水性和稳定性较好的材料；</w:t>
      </w:r>
    </w:p>
    <w:p w14:paraId="2CE37DBF">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采用复合地基法处理时，应设置过渡路段，过渡路段通常采用变桩距、桩长等方式来调整变形协调过渡，过渡路段长度不宜小于（2H＋0.5）m（H为路堤填土高度）。</w:t>
      </w:r>
    </w:p>
    <w:p w14:paraId="21A67D23">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0" distR="0">
            <wp:extent cx="5740400" cy="2057400"/>
            <wp:effectExtent l="0" t="0" r="0" b="0"/>
            <wp:docPr id="391" name="Picture 1" descr="C:/Users/22308/Desktop/e39dc5c8894553651d36ee6b05a2f82.jpge39dc5c8894553651d36ee6b05a2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1" descr="C:/Users/22308/Desktop/e39dc5c8894553651d36ee6b05a2f82.jpge39dc5c8894553651d36ee6b05a2f82"/>
                    <pic:cNvPicPr>
                      <a:picLocks noChangeAspect="1"/>
                    </pic:cNvPicPr>
                  </pic:nvPicPr>
                  <pic:blipFill>
                    <a:blip r:embed="rId32"/>
                    <a:srcRect t="17" b="17"/>
                    <a:stretch>
                      <a:fillRect/>
                    </a:stretch>
                  </pic:blipFill>
                  <pic:spPr>
                    <a:xfrm>
                      <a:off x="0" y="0"/>
                      <a:ext cx="5740400" cy="2057400"/>
                    </a:xfrm>
                    <a:prstGeom prst="rect">
                      <a:avLst/>
                    </a:prstGeom>
                  </pic:spPr>
                </pic:pic>
              </a:graphicData>
            </a:graphic>
          </wp:inline>
        </w:drawing>
      </w:r>
    </w:p>
    <w:p w14:paraId="4223A219">
      <w:pPr>
        <w:keepNext/>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图4  涵洞（通道）路段软弱土地基处治典型设计示意图</w:t>
      </w:r>
    </w:p>
    <w:p w14:paraId="45C405DB">
      <w:pPr>
        <w:spacing w:line="360" w:lineRule="auto"/>
        <w:rPr>
          <w:rFonts w:hint="default" w:ascii="Times New Roman" w:hAnsi="Times New Roman" w:eastAsia="宋体" w:cs="Times New Roman"/>
          <w:color w:val="auto"/>
          <w:szCs w:val="21"/>
          <w:highlight w:val="none"/>
          <w:lang w:val="en-US" w:eastAsia="zh-CN"/>
        </w:rPr>
      </w:pPr>
      <w:r>
        <w:rPr>
          <w:rFonts w:hint="eastAsia" w:ascii="黑体" w:hAnsi="黑体" w:eastAsia="黑体" w:cs="黑体"/>
          <w:b w:val="0"/>
          <w:bCs/>
          <w:color w:val="auto"/>
          <w:sz w:val="21"/>
          <w:szCs w:val="21"/>
          <w:highlight w:val="none"/>
          <w:lang w:val="en-US" w:eastAsia="zh-CN"/>
        </w:rPr>
        <w:t>5.3.5.2</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加筋法</w:t>
      </w:r>
      <w:r>
        <w:rPr>
          <w:rFonts w:hint="eastAsia" w:ascii="Times New Roman" w:hAnsi="Times New Roman" w:eastAsia="宋体" w:cs="Times New Roman"/>
          <w:color w:val="auto"/>
          <w:szCs w:val="21"/>
          <w:highlight w:val="none"/>
          <w:lang w:val="en-US" w:eastAsia="zh-CN"/>
        </w:rPr>
        <w:t>见6.2。</w:t>
      </w:r>
    </w:p>
    <w:p w14:paraId="1B6C6998">
      <w:pPr>
        <w:spacing w:line="360" w:lineRule="auto"/>
        <w:rPr>
          <w:rFonts w:hint="default" w:ascii="Times New Roman" w:hAnsi="Times New Roman" w:eastAsia="宋体" w:cs="Times New Roman"/>
          <w:color w:val="auto"/>
          <w:szCs w:val="21"/>
          <w:highlight w:val="none"/>
          <w:lang w:val="en-US" w:eastAsia="zh-CN"/>
        </w:rPr>
      </w:pPr>
      <w:r>
        <w:rPr>
          <w:rFonts w:hint="eastAsia" w:ascii="黑体" w:hAnsi="黑体" w:eastAsia="黑体" w:cs="黑体"/>
          <w:b w:val="0"/>
          <w:bCs/>
          <w:color w:val="auto"/>
          <w:sz w:val="21"/>
          <w:szCs w:val="21"/>
          <w:highlight w:val="none"/>
          <w:lang w:val="en-US" w:eastAsia="zh-CN"/>
        </w:rPr>
        <w:t>5.3.5.3</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排水固结法</w:t>
      </w:r>
      <w:r>
        <w:rPr>
          <w:rFonts w:hint="eastAsia" w:ascii="宋体" w:hAnsi="宋体"/>
          <w:color w:val="auto"/>
          <w:sz w:val="24"/>
          <w:highlight w:val="none"/>
        </w:rPr>
        <w:t>应符合现行</w:t>
      </w:r>
      <w:r>
        <w:rPr>
          <w:rFonts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建筑地基处理技术规范</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JGJ 79</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和</w:t>
      </w:r>
      <w:r>
        <w:rPr>
          <w:rFonts w:hint="eastAsia" w:ascii="宋体" w:hAnsi="宋体"/>
          <w:color w:val="auto"/>
          <w:sz w:val="24"/>
          <w:highlight w:val="none"/>
        </w:rPr>
        <w:t>《</w:t>
      </w:r>
      <w:r>
        <w:rPr>
          <w:rFonts w:ascii="Times New Roman" w:hAnsi="Times New Roman" w:eastAsia="宋体" w:cs="Times New Roman"/>
          <w:color w:val="auto"/>
          <w:szCs w:val="21"/>
          <w:highlight w:val="none"/>
        </w:rPr>
        <w:t>公路软弱土地基路堤设计与施工技术细则</w:t>
      </w:r>
      <w:r>
        <w:rPr>
          <w:rFonts w:hint="eastAsia" w:ascii="宋体" w:hAnsi="宋体"/>
          <w:color w:val="auto"/>
          <w:sz w:val="24"/>
          <w:highlight w:val="none"/>
        </w:rPr>
        <w:t>》（</w:t>
      </w:r>
      <w:r>
        <w:rPr>
          <w:rFonts w:ascii="Times New Roman" w:hAnsi="Times New Roman" w:eastAsia="宋体" w:cs="Times New Roman"/>
          <w:color w:val="auto"/>
          <w:szCs w:val="21"/>
          <w:highlight w:val="none"/>
        </w:rPr>
        <w:t>JTG/T D31</w:t>
      </w:r>
      <w:r>
        <w:rPr>
          <w:rFonts w:hint="eastAsia" w:ascii="宋体" w:hAnsi="宋体"/>
          <w:color w:val="auto"/>
          <w:sz w:val="24"/>
          <w:highlight w:val="none"/>
        </w:rPr>
        <w:t>）</w:t>
      </w:r>
      <w:r>
        <w:rPr>
          <w:rFonts w:hint="eastAsia" w:ascii="宋体" w:hAnsi="宋体"/>
          <w:color w:val="auto"/>
          <w:sz w:val="24"/>
          <w:highlight w:val="none"/>
          <w:lang w:val="en-US" w:eastAsia="zh-CN"/>
        </w:rPr>
        <w:t>的</w:t>
      </w:r>
      <w:r>
        <w:rPr>
          <w:rFonts w:hint="eastAsia" w:ascii="宋体" w:hAnsi="宋体"/>
          <w:color w:val="auto"/>
          <w:sz w:val="24"/>
          <w:highlight w:val="none"/>
        </w:rPr>
        <w:t>要求。</w:t>
      </w:r>
    </w:p>
    <w:p w14:paraId="602A322D">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5.3.6</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软基施工应优先进行涵洞（通道）附近的软弱土地</w:t>
      </w:r>
      <w:r>
        <w:rPr>
          <w:rFonts w:hint="eastAsia" w:ascii="Times New Roman" w:hAnsi="Times New Roman" w:eastAsia="宋体" w:cs="Times New Roman"/>
          <w:color w:val="auto"/>
          <w:szCs w:val="21"/>
          <w:highlight w:val="none"/>
          <w:lang w:val="en-US" w:eastAsia="zh-CN"/>
        </w:rPr>
        <w:t>基</w:t>
      </w:r>
      <w:r>
        <w:rPr>
          <w:rFonts w:ascii="Times New Roman" w:hAnsi="Times New Roman" w:eastAsia="宋体" w:cs="Times New Roman"/>
          <w:color w:val="auto"/>
          <w:szCs w:val="21"/>
          <w:highlight w:val="none"/>
        </w:rPr>
        <w:t>处理和路堤填筑，以争取足够多的预压时间；涵洞（通道）台背回填采用反开挖施工时，应进行两侧对称回填施工，确保回填质量。</w:t>
      </w:r>
    </w:p>
    <w:p w14:paraId="6307B4E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b w:val="0"/>
          <w:bCs/>
          <w:color w:val="auto"/>
          <w:sz w:val="21"/>
          <w:szCs w:val="21"/>
          <w:highlight w:val="none"/>
          <w:lang w:val="en-US" w:eastAsia="zh-CN"/>
        </w:rPr>
      </w:pPr>
      <w:bookmarkStart w:id="26" w:name="_Toc170244940"/>
      <w:r>
        <w:rPr>
          <w:rFonts w:hint="eastAsia" w:ascii="黑体" w:hAnsi="黑体" w:eastAsia="黑体" w:cs="黑体"/>
          <w:b w:val="0"/>
          <w:bCs/>
          <w:color w:val="auto"/>
          <w:sz w:val="21"/>
          <w:szCs w:val="21"/>
          <w:highlight w:val="none"/>
          <w:lang w:val="en-US" w:eastAsia="zh-CN"/>
        </w:rPr>
        <w:t>5.4 台背回填</w:t>
      </w:r>
      <w:bookmarkEnd w:id="26"/>
    </w:p>
    <w:p w14:paraId="38256549">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5.4.1</w:t>
      </w:r>
      <w:r>
        <w:rPr>
          <w:rFonts w:ascii="Times New Roman" w:hAnsi="Times New Roman" w:eastAsia="宋体" w:cs="Times New Roman"/>
          <w:color w:val="auto"/>
          <w:szCs w:val="21"/>
          <w:highlight w:val="none"/>
        </w:rPr>
        <w:t xml:space="preserve">  台背回填</w:t>
      </w:r>
      <w:r>
        <w:rPr>
          <w:rFonts w:hint="eastAsia" w:ascii="Times New Roman" w:hAnsi="Times New Roman" w:eastAsia="宋体" w:cs="Times New Roman"/>
          <w:color w:val="auto"/>
          <w:szCs w:val="21"/>
          <w:highlight w:val="none"/>
        </w:rPr>
        <w:t>土的</w:t>
      </w:r>
      <w:r>
        <w:rPr>
          <w:rFonts w:ascii="Times New Roman" w:hAnsi="Times New Roman" w:eastAsia="宋体" w:cs="Times New Roman"/>
          <w:color w:val="auto"/>
          <w:szCs w:val="21"/>
          <w:highlight w:val="none"/>
        </w:rPr>
        <w:t>压实厚度</w:t>
      </w:r>
      <w:r>
        <w:rPr>
          <w:rFonts w:hint="eastAsia" w:ascii="Times New Roman" w:hAnsi="Times New Roman" w:eastAsia="宋体" w:cs="Times New Roman"/>
          <w:color w:val="auto"/>
          <w:szCs w:val="21"/>
          <w:highlight w:val="none"/>
        </w:rPr>
        <w:t>不</w:t>
      </w:r>
      <w:r>
        <w:rPr>
          <w:rFonts w:ascii="Times New Roman" w:hAnsi="Times New Roman" w:eastAsia="宋体" w:cs="Times New Roman"/>
          <w:color w:val="auto"/>
          <w:szCs w:val="21"/>
          <w:highlight w:val="none"/>
        </w:rPr>
        <w:t>宜</w:t>
      </w:r>
      <w:r>
        <w:rPr>
          <w:rFonts w:hint="eastAsia" w:ascii="Times New Roman" w:hAnsi="Times New Roman" w:eastAsia="宋体" w:cs="Times New Roman"/>
          <w:color w:val="auto"/>
          <w:szCs w:val="21"/>
          <w:highlight w:val="none"/>
        </w:rPr>
        <w:t>小于</w:t>
      </w:r>
      <w:r>
        <w:rPr>
          <w:rFonts w:ascii="Times New Roman" w:hAnsi="Times New Roman" w:eastAsia="宋体" w:cs="Times New Roman"/>
          <w:color w:val="auto"/>
          <w:szCs w:val="21"/>
          <w:highlight w:val="none"/>
        </w:rPr>
        <w:t>15cm</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不宜</w:t>
      </w:r>
      <w:r>
        <w:rPr>
          <w:rFonts w:hint="eastAsia" w:ascii="Times New Roman" w:hAnsi="Times New Roman" w:eastAsia="宋体" w:cs="Times New Roman"/>
          <w:color w:val="auto"/>
          <w:szCs w:val="21"/>
          <w:highlight w:val="none"/>
        </w:rPr>
        <w:t>大于</w:t>
      </w:r>
      <w:r>
        <w:rPr>
          <w:rFonts w:ascii="Times New Roman" w:hAnsi="Times New Roman" w:eastAsia="宋体" w:cs="Times New Roman"/>
          <w:color w:val="auto"/>
          <w:szCs w:val="21"/>
          <w:highlight w:val="none"/>
        </w:rPr>
        <w:t>20cm</w:t>
      </w:r>
      <w:r>
        <w:rPr>
          <w:rFonts w:hint="eastAsia" w:ascii="Times New Roman" w:hAnsi="Times New Roman" w:eastAsia="宋体" w:cs="Times New Roman"/>
          <w:color w:val="auto"/>
          <w:szCs w:val="21"/>
          <w:highlight w:val="none"/>
        </w:rPr>
        <w:t>。</w:t>
      </w:r>
    </w:p>
    <w:p w14:paraId="6BB8408D">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5.4.2</w:t>
      </w:r>
      <w:r>
        <w:rPr>
          <w:rFonts w:ascii="Times New Roman" w:hAnsi="Times New Roman" w:eastAsia="宋体" w:cs="Times New Roman"/>
          <w:color w:val="auto"/>
          <w:szCs w:val="21"/>
          <w:highlight w:val="none"/>
        </w:rPr>
        <w:t xml:space="preserve">  台背回填</w:t>
      </w:r>
      <w:r>
        <w:rPr>
          <w:rFonts w:hint="eastAsia" w:ascii="Times New Roman" w:hAnsi="Times New Roman" w:eastAsia="宋体" w:cs="Times New Roman"/>
          <w:color w:val="auto"/>
          <w:szCs w:val="21"/>
          <w:highlight w:val="none"/>
        </w:rPr>
        <w:t>土</w:t>
      </w:r>
      <w:r>
        <w:rPr>
          <w:rFonts w:ascii="Times New Roman" w:hAnsi="Times New Roman" w:eastAsia="宋体" w:cs="Times New Roman"/>
          <w:color w:val="auto"/>
          <w:szCs w:val="21"/>
          <w:highlight w:val="none"/>
        </w:rPr>
        <w:t>碾压</w:t>
      </w:r>
      <w:r>
        <w:rPr>
          <w:rFonts w:hint="eastAsia" w:ascii="Times New Roman" w:hAnsi="Times New Roman" w:eastAsia="宋体" w:cs="Times New Roman"/>
          <w:color w:val="auto"/>
          <w:szCs w:val="21"/>
          <w:highlight w:val="none"/>
        </w:rPr>
        <w:t>时</w:t>
      </w:r>
      <w:r>
        <w:rPr>
          <w:rFonts w:ascii="Times New Roman" w:hAnsi="Times New Roman" w:eastAsia="宋体" w:cs="Times New Roman"/>
          <w:color w:val="auto"/>
          <w:szCs w:val="21"/>
          <w:highlight w:val="none"/>
        </w:rPr>
        <w:t>压路机行进速度不宜过快，一般控制</w:t>
      </w:r>
      <w:r>
        <w:rPr>
          <w:rFonts w:hint="eastAsia" w:ascii="Times New Roman" w:hAnsi="Times New Roman" w:eastAsia="宋体" w:cs="Times New Roman"/>
          <w:color w:val="auto"/>
          <w:szCs w:val="21"/>
          <w:highlight w:val="none"/>
        </w:rPr>
        <w:t>在1.2km/h～2.4km/h</w:t>
      </w:r>
      <w:r>
        <w:rPr>
          <w:rFonts w:ascii="Times New Roman" w:hAnsi="Times New Roman" w:eastAsia="宋体" w:cs="Times New Roman"/>
          <w:color w:val="auto"/>
          <w:szCs w:val="21"/>
          <w:highlight w:val="none"/>
        </w:rPr>
        <w:t>。</w:t>
      </w:r>
    </w:p>
    <w:p w14:paraId="67FF453C">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5.4.3</w:t>
      </w:r>
      <w:r>
        <w:rPr>
          <w:rFonts w:ascii="Times New Roman" w:hAnsi="Times New Roman" w:eastAsia="宋体" w:cs="Times New Roman"/>
          <w:color w:val="auto"/>
          <w:szCs w:val="21"/>
          <w:highlight w:val="none"/>
        </w:rPr>
        <w:t xml:space="preserve">  为确保台背工后沉降满足沉降控制标准的要求，高速公路台背回填从基础底部起，整个回填区域压实度不得小于96%。</w:t>
      </w:r>
    </w:p>
    <w:p w14:paraId="2E0EA2A3">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5.4.4</w:t>
      </w:r>
      <w:r>
        <w:rPr>
          <w:rFonts w:ascii="Times New Roman" w:hAnsi="Times New Roman" w:eastAsia="宋体" w:cs="Times New Roman"/>
          <w:color w:val="auto"/>
          <w:szCs w:val="21"/>
          <w:highlight w:val="none"/>
        </w:rPr>
        <w:t xml:space="preserve">  </w:t>
      </w:r>
      <w:bookmarkStart w:id="27" w:name="_Hlk500441220"/>
      <w:bookmarkStart w:id="28" w:name="_Hlk500441857"/>
      <w:r>
        <w:rPr>
          <w:rFonts w:ascii="Times New Roman" w:hAnsi="Times New Roman" w:eastAsia="宋体" w:cs="Times New Roman"/>
          <w:color w:val="auto"/>
          <w:szCs w:val="21"/>
          <w:highlight w:val="none"/>
        </w:rPr>
        <w:t>回填台背</w:t>
      </w:r>
      <w:bookmarkEnd w:id="27"/>
      <w:r>
        <w:rPr>
          <w:rFonts w:hint="eastAsia" w:ascii="Times New Roman" w:hAnsi="Times New Roman" w:eastAsia="宋体" w:cs="Times New Roman"/>
          <w:color w:val="auto"/>
          <w:szCs w:val="21"/>
          <w:highlight w:val="none"/>
        </w:rPr>
        <w:t>各指标</w:t>
      </w:r>
      <w:r>
        <w:rPr>
          <w:rFonts w:ascii="Times New Roman" w:hAnsi="Times New Roman" w:eastAsia="宋体" w:cs="Times New Roman"/>
          <w:color w:val="auto"/>
          <w:szCs w:val="21"/>
          <w:highlight w:val="none"/>
        </w:rPr>
        <w:t>应满足表</w:t>
      </w:r>
      <w:r>
        <w:rPr>
          <w:rFonts w:hint="eastAsia" w:ascii="Times New Roman" w:hAnsi="Times New Roman" w:eastAsia="宋体" w:cs="Times New Roman"/>
          <w:color w:val="auto"/>
          <w:szCs w:val="21"/>
          <w:highlight w:val="none"/>
          <w:lang w:val="en-US" w:eastAsia="zh-CN"/>
        </w:rPr>
        <w:t>7</w:t>
      </w:r>
      <w:r>
        <w:rPr>
          <w:rFonts w:hint="eastAsia" w:ascii="Times New Roman" w:hAnsi="Times New Roman" w:eastAsia="宋体" w:cs="Times New Roman"/>
          <w:color w:val="auto"/>
          <w:szCs w:val="21"/>
          <w:highlight w:val="none"/>
        </w:rPr>
        <w:t>的</w:t>
      </w:r>
      <w:r>
        <w:rPr>
          <w:rFonts w:ascii="Times New Roman" w:hAnsi="Times New Roman" w:eastAsia="宋体" w:cs="Times New Roman"/>
          <w:color w:val="auto"/>
          <w:szCs w:val="21"/>
          <w:highlight w:val="none"/>
        </w:rPr>
        <w:t>规定</w:t>
      </w:r>
      <w:bookmarkEnd w:id="28"/>
      <w:r>
        <w:rPr>
          <w:rFonts w:ascii="Times New Roman" w:hAnsi="Times New Roman" w:eastAsia="宋体" w:cs="Times New Roman"/>
          <w:color w:val="auto"/>
          <w:szCs w:val="21"/>
          <w:highlight w:val="none"/>
        </w:rPr>
        <w:t>。</w:t>
      </w:r>
    </w:p>
    <w:p w14:paraId="6846EE42">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7</w:t>
      </w:r>
      <w:r>
        <w:rPr>
          <w:rFonts w:ascii="Times New Roman" w:hAnsi="Times New Roman" w:eastAsia="宋体" w:cs="Times New Roman"/>
          <w:b/>
          <w:color w:val="auto"/>
          <w:szCs w:val="21"/>
          <w:highlight w:val="none"/>
        </w:rPr>
        <w:t xml:space="preserve">  </w:t>
      </w:r>
      <w:r>
        <w:rPr>
          <w:rFonts w:hint="eastAsia" w:ascii="Times New Roman" w:hAnsi="Times New Roman" w:eastAsia="宋体" w:cs="Times New Roman"/>
          <w:b/>
          <w:color w:val="auto"/>
          <w:szCs w:val="21"/>
          <w:highlight w:val="none"/>
        </w:rPr>
        <w:t>台背回填技术指标</w:t>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
      <w:tblGrid>
        <w:gridCol w:w="2309"/>
        <w:gridCol w:w="1865"/>
        <w:gridCol w:w="2087"/>
        <w:gridCol w:w="2089"/>
      </w:tblGrid>
      <w:tr w14:paraId="0C043EF0">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23B6C960">
            <w:pPr>
              <w:keepNext/>
              <w:ind w:firstLine="360" w:firstLineChars="20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rPr>
              <w:t>技术</w:t>
            </w:r>
            <w:r>
              <w:rPr>
                <w:rFonts w:hint="eastAsia" w:ascii="Times New Roman" w:hAnsi="Times New Roman" w:eastAsia="宋体" w:cs="Times New Roman"/>
                <w:color w:val="auto"/>
                <w:sz w:val="18"/>
                <w:szCs w:val="18"/>
                <w:highlight w:val="none"/>
                <w:lang w:val="en-US" w:eastAsia="zh-CN"/>
              </w:rPr>
              <w:t>指标</w:t>
            </w:r>
          </w:p>
        </w:tc>
        <w:tc>
          <w:tcPr>
            <w:tcW w:w="1865" w:type="dxa"/>
            <w:tcBorders>
              <w:tl2br w:val="nil"/>
              <w:tr2bl w:val="nil"/>
            </w:tcBorders>
            <w:vAlign w:val="center"/>
          </w:tcPr>
          <w:p w14:paraId="5BB46A6B">
            <w:pPr>
              <w:keepNext/>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单位</w:t>
            </w:r>
          </w:p>
        </w:tc>
        <w:tc>
          <w:tcPr>
            <w:tcW w:w="2087" w:type="dxa"/>
            <w:tcBorders>
              <w:tl2br w:val="nil"/>
              <w:tr2bl w:val="nil"/>
            </w:tcBorders>
            <w:vAlign w:val="center"/>
          </w:tcPr>
          <w:p w14:paraId="724D3621">
            <w:pPr>
              <w:keepNex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回填高度（0-2m）</w:t>
            </w:r>
          </w:p>
        </w:tc>
        <w:tc>
          <w:tcPr>
            <w:tcW w:w="2089" w:type="dxa"/>
            <w:tcBorders>
              <w:tl2br w:val="nil"/>
              <w:tr2bl w:val="nil"/>
            </w:tcBorders>
            <w:vAlign w:val="center"/>
          </w:tcPr>
          <w:p w14:paraId="5E557F0C">
            <w:pPr>
              <w:keepNext/>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回填高度（</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2m）</w:t>
            </w:r>
          </w:p>
        </w:tc>
      </w:tr>
      <w:tr w14:paraId="1C79EE93">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5EB7C0D5">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分层填筑厚度</w:t>
            </w:r>
          </w:p>
        </w:tc>
        <w:tc>
          <w:tcPr>
            <w:tcW w:w="1865" w:type="dxa"/>
            <w:tcBorders>
              <w:tl2br w:val="nil"/>
              <w:tr2bl w:val="nil"/>
            </w:tcBorders>
            <w:vAlign w:val="center"/>
          </w:tcPr>
          <w:p w14:paraId="33BFF63E">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cm</w:t>
            </w:r>
          </w:p>
        </w:tc>
        <w:tc>
          <w:tcPr>
            <w:tcW w:w="4176" w:type="dxa"/>
            <w:gridSpan w:val="2"/>
            <w:tcBorders>
              <w:tl2br w:val="nil"/>
              <w:tr2bl w:val="nil"/>
            </w:tcBorders>
            <w:vAlign w:val="center"/>
          </w:tcPr>
          <w:p w14:paraId="040D9C9B">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r>
      <w:tr w14:paraId="6A41C37E">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3D3D9AA2">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压实度</w:t>
            </w:r>
          </w:p>
        </w:tc>
        <w:tc>
          <w:tcPr>
            <w:tcW w:w="1865" w:type="dxa"/>
            <w:tcBorders>
              <w:tl2br w:val="nil"/>
              <w:tr2bl w:val="nil"/>
            </w:tcBorders>
            <w:vAlign w:val="center"/>
          </w:tcPr>
          <w:p w14:paraId="2752835B">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4176" w:type="dxa"/>
            <w:gridSpan w:val="2"/>
            <w:tcBorders>
              <w:tl2br w:val="nil"/>
              <w:tr2bl w:val="nil"/>
            </w:tcBorders>
            <w:vAlign w:val="center"/>
          </w:tcPr>
          <w:p w14:paraId="64F9B095">
            <w:pPr>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96</w:t>
            </w:r>
          </w:p>
        </w:tc>
      </w:tr>
      <w:tr w14:paraId="71B9F3F6">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4FE83750">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自由膨胀率</w:t>
            </w:r>
          </w:p>
        </w:tc>
        <w:tc>
          <w:tcPr>
            <w:tcW w:w="1865" w:type="dxa"/>
            <w:tcBorders>
              <w:tl2br w:val="nil"/>
              <w:tr2bl w:val="nil"/>
            </w:tcBorders>
            <w:vAlign w:val="center"/>
          </w:tcPr>
          <w:p w14:paraId="115E4EFD">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2087" w:type="dxa"/>
            <w:tcBorders>
              <w:tl2br w:val="nil"/>
              <w:tr2bl w:val="nil"/>
            </w:tcBorders>
            <w:vAlign w:val="center"/>
          </w:tcPr>
          <w:p w14:paraId="4DFB60A5">
            <w:pPr>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25</w:t>
            </w:r>
          </w:p>
        </w:tc>
        <w:tc>
          <w:tcPr>
            <w:tcW w:w="2089" w:type="dxa"/>
            <w:tcBorders>
              <w:tl2br w:val="nil"/>
              <w:tr2bl w:val="nil"/>
            </w:tcBorders>
            <w:vAlign w:val="center"/>
          </w:tcPr>
          <w:p w14:paraId="4EF2F851">
            <w:pPr>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30</w:t>
            </w:r>
          </w:p>
        </w:tc>
      </w:tr>
      <w:tr w14:paraId="6201B53C">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138EC3F2">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耐崩解性指数</w:t>
            </w:r>
          </w:p>
        </w:tc>
        <w:tc>
          <w:tcPr>
            <w:tcW w:w="1865" w:type="dxa"/>
            <w:tcBorders>
              <w:tl2br w:val="nil"/>
              <w:tr2bl w:val="nil"/>
            </w:tcBorders>
            <w:vAlign w:val="center"/>
          </w:tcPr>
          <w:p w14:paraId="41D03089">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2087" w:type="dxa"/>
            <w:tcBorders>
              <w:tl2br w:val="nil"/>
              <w:tr2bl w:val="nil"/>
            </w:tcBorders>
            <w:vAlign w:val="center"/>
          </w:tcPr>
          <w:p w14:paraId="4264F90C">
            <w:pPr>
              <w:autoSpaceDE w:val="0"/>
              <w:autoSpaceDN w:val="0"/>
              <w:adjustRightInd w:val="0"/>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20</w:t>
            </w:r>
          </w:p>
        </w:tc>
        <w:tc>
          <w:tcPr>
            <w:tcW w:w="2089" w:type="dxa"/>
            <w:tcBorders>
              <w:tl2br w:val="nil"/>
              <w:tr2bl w:val="nil"/>
            </w:tcBorders>
            <w:vAlign w:val="center"/>
          </w:tcPr>
          <w:p w14:paraId="26585EF6">
            <w:pPr>
              <w:autoSpaceDE w:val="0"/>
              <w:autoSpaceDN w:val="0"/>
              <w:adjustRightInd w:val="0"/>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25</w:t>
            </w:r>
          </w:p>
        </w:tc>
      </w:tr>
      <w:tr w14:paraId="75EB9EDA">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5BBD4CB9">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最大粒径</w:t>
            </w:r>
          </w:p>
        </w:tc>
        <w:tc>
          <w:tcPr>
            <w:tcW w:w="1865" w:type="dxa"/>
            <w:tcBorders>
              <w:tl2br w:val="nil"/>
              <w:tr2bl w:val="nil"/>
            </w:tcBorders>
            <w:vAlign w:val="center"/>
          </w:tcPr>
          <w:p w14:paraId="62F93790">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mm</w:t>
            </w:r>
          </w:p>
        </w:tc>
        <w:tc>
          <w:tcPr>
            <w:tcW w:w="4176" w:type="dxa"/>
            <w:gridSpan w:val="2"/>
            <w:tcBorders>
              <w:tl2br w:val="nil"/>
              <w:tr2bl w:val="nil"/>
            </w:tcBorders>
            <w:vAlign w:val="center"/>
          </w:tcPr>
          <w:p w14:paraId="4240BCFB">
            <w:pPr>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100</w:t>
            </w:r>
          </w:p>
        </w:tc>
      </w:tr>
      <w:tr w14:paraId="5CF35DB3">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4FE70649">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碾压遍数</w:t>
            </w:r>
          </w:p>
        </w:tc>
        <w:tc>
          <w:tcPr>
            <w:tcW w:w="1865" w:type="dxa"/>
            <w:tcBorders>
              <w:tl2br w:val="nil"/>
              <w:tr2bl w:val="nil"/>
            </w:tcBorders>
            <w:vAlign w:val="center"/>
          </w:tcPr>
          <w:p w14:paraId="681610F1">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次</w:t>
            </w:r>
          </w:p>
        </w:tc>
        <w:tc>
          <w:tcPr>
            <w:tcW w:w="4176" w:type="dxa"/>
            <w:gridSpan w:val="2"/>
            <w:tcBorders>
              <w:tl2br w:val="nil"/>
              <w:tr2bl w:val="nil"/>
            </w:tcBorders>
            <w:vAlign w:val="center"/>
          </w:tcPr>
          <w:p w14:paraId="34633738">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w:t>
            </w:r>
          </w:p>
        </w:tc>
      </w:tr>
      <w:tr w14:paraId="384DC3C7">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229B6044">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碾压速度</w:t>
            </w:r>
          </w:p>
        </w:tc>
        <w:tc>
          <w:tcPr>
            <w:tcW w:w="1865" w:type="dxa"/>
            <w:tcBorders>
              <w:tl2br w:val="nil"/>
              <w:tr2bl w:val="nil"/>
            </w:tcBorders>
            <w:vAlign w:val="center"/>
          </w:tcPr>
          <w:p w14:paraId="7A2DA687">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m/min</w:t>
            </w:r>
          </w:p>
        </w:tc>
        <w:tc>
          <w:tcPr>
            <w:tcW w:w="4176" w:type="dxa"/>
            <w:gridSpan w:val="2"/>
            <w:tcBorders>
              <w:tl2br w:val="nil"/>
              <w:tr2bl w:val="nil"/>
            </w:tcBorders>
            <w:vAlign w:val="center"/>
          </w:tcPr>
          <w:p w14:paraId="0E79F8FD">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40</w:t>
            </w:r>
          </w:p>
        </w:tc>
      </w:tr>
      <w:tr w14:paraId="16934601">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exact"/>
          <w:jc w:val="center"/>
        </w:trPr>
        <w:tc>
          <w:tcPr>
            <w:tcW w:w="2309" w:type="dxa"/>
            <w:tcBorders>
              <w:tl2br w:val="nil"/>
              <w:tr2bl w:val="nil"/>
            </w:tcBorders>
            <w:vAlign w:val="center"/>
          </w:tcPr>
          <w:p w14:paraId="79D22EDE">
            <w:pPr>
              <w:ind w:firstLine="360" w:firstLineChars="20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台背工后差异沉降量</w:t>
            </w:r>
          </w:p>
        </w:tc>
        <w:tc>
          <w:tcPr>
            <w:tcW w:w="1865" w:type="dxa"/>
            <w:tcBorders>
              <w:tl2br w:val="nil"/>
              <w:tr2bl w:val="nil"/>
            </w:tcBorders>
            <w:vAlign w:val="center"/>
          </w:tcPr>
          <w:p w14:paraId="379B98F9">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cm</w:t>
            </w:r>
          </w:p>
        </w:tc>
        <w:tc>
          <w:tcPr>
            <w:tcW w:w="4176" w:type="dxa"/>
            <w:gridSpan w:val="2"/>
            <w:tcBorders>
              <w:tl2br w:val="nil"/>
              <w:tr2bl w:val="nil"/>
            </w:tcBorders>
            <w:vAlign w:val="center"/>
          </w:tcPr>
          <w:p w14:paraId="5FED3ACD">
            <w:pPr>
              <w:ind w:firstLine="360" w:firstLineChars="20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2</w:t>
            </w:r>
          </w:p>
        </w:tc>
      </w:tr>
    </w:tbl>
    <w:p w14:paraId="413584C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 w:val="18"/>
          <w:szCs w:val="18"/>
          <w:highlight w:val="none"/>
        </w:rPr>
      </w:pPr>
      <w:bookmarkStart w:id="29" w:name="_Toc170244941"/>
      <w:r>
        <w:rPr>
          <w:rFonts w:hint="eastAsia" w:ascii="黑体" w:hAnsi="黑体" w:eastAsia="黑体" w:cs="黑体"/>
          <w:b w:val="0"/>
          <w:bCs/>
          <w:color w:val="auto"/>
          <w:sz w:val="21"/>
          <w:szCs w:val="21"/>
          <w:highlight w:val="none"/>
          <w:lang w:val="en-US" w:eastAsia="zh-CN"/>
        </w:rPr>
        <w:t>5.4.5</w:t>
      </w:r>
      <w:r>
        <w:rPr>
          <w:rFonts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 w:val="21"/>
          <w:szCs w:val="21"/>
          <w:highlight w:val="none"/>
          <w:lang w:eastAsia="zh-CN"/>
        </w:rPr>
        <w:t>流态粉煤灰</w:t>
      </w:r>
      <w:r>
        <w:rPr>
          <w:rFonts w:hint="eastAsia" w:ascii="Times New Roman" w:hAnsi="Times New Roman" w:eastAsia="宋体" w:cs="Times New Roman"/>
          <w:color w:val="auto"/>
          <w:sz w:val="21"/>
          <w:szCs w:val="21"/>
          <w:highlight w:val="none"/>
        </w:rPr>
        <w:t>台背回填</w:t>
      </w:r>
      <w:r>
        <w:rPr>
          <w:rFonts w:ascii="Times New Roman" w:hAnsi="Times New Roman" w:eastAsia="宋体" w:cs="Times New Roman"/>
          <w:color w:val="auto"/>
          <w:sz w:val="21"/>
          <w:szCs w:val="21"/>
          <w:highlight w:val="none"/>
        </w:rPr>
        <w:t>应满足</w:t>
      </w:r>
      <w:r>
        <w:rPr>
          <w:rFonts w:hint="eastAsia" w:ascii="Times New Roman" w:hAnsi="Times New Roman" w:eastAsia="宋体" w:cs="Times New Roman"/>
          <w:color w:val="auto"/>
          <w:sz w:val="21"/>
          <w:szCs w:val="21"/>
          <w:highlight w:val="none"/>
          <w:lang w:val="en-US" w:eastAsia="zh-CN"/>
        </w:rPr>
        <w:t>以下</w:t>
      </w:r>
      <w:r>
        <w:rPr>
          <w:rFonts w:ascii="Times New Roman" w:hAnsi="Times New Roman" w:eastAsia="宋体" w:cs="Times New Roman"/>
          <w:color w:val="auto"/>
          <w:sz w:val="21"/>
          <w:szCs w:val="21"/>
          <w:highlight w:val="none"/>
        </w:rPr>
        <w:t>规定。</w:t>
      </w:r>
    </w:p>
    <w:p w14:paraId="2259678E">
      <w:pPr>
        <w:spacing w:line="360" w:lineRule="auto"/>
        <w:rPr>
          <w:rFonts w:hint="default" w:ascii="Times New Roman" w:hAnsi="Times New Roman" w:eastAsia="宋体" w:cs="Times New Roman"/>
          <w:color w:val="auto"/>
          <w:szCs w:val="21"/>
          <w:highlight w:val="none"/>
          <w:lang w:val="en-US" w:eastAsia="zh-CN"/>
        </w:rPr>
      </w:pPr>
      <w:r>
        <w:rPr>
          <w:rFonts w:hint="eastAsia" w:ascii="黑体" w:hAnsi="黑体" w:eastAsia="黑体" w:cs="黑体"/>
          <w:b w:val="0"/>
          <w:bCs/>
          <w:color w:val="auto"/>
          <w:sz w:val="21"/>
          <w:szCs w:val="21"/>
          <w:highlight w:val="none"/>
          <w:lang w:val="en-US" w:eastAsia="zh-CN"/>
        </w:rPr>
        <w:t>5.4.5.1</w:t>
      </w:r>
      <w:r>
        <w:rPr>
          <w:rFonts w:hint="eastAsia" w:ascii="Times New Roman" w:hAnsi="Times New Roman" w:eastAsia="宋体" w:cs="Times New Roman"/>
          <w:color w:val="auto"/>
          <w:sz w:val="18"/>
          <w:szCs w:val="18"/>
          <w:highlight w:val="none"/>
          <w:lang w:val="en-US" w:eastAsia="zh-CN"/>
        </w:rPr>
        <w:t xml:space="preserve">  </w:t>
      </w:r>
      <w:r>
        <w:rPr>
          <w:rFonts w:hint="eastAsia" w:ascii="Times New Roman" w:hAnsi="Times New Roman" w:eastAsia="宋体" w:cs="Times New Roman"/>
          <w:color w:val="auto"/>
          <w:szCs w:val="21"/>
          <w:highlight w:val="none"/>
          <w:lang w:eastAsia="zh-CN"/>
        </w:rPr>
        <w:t>流态粉煤灰</w:t>
      </w:r>
      <w:r>
        <w:rPr>
          <w:rFonts w:hint="eastAsia" w:ascii="Times New Roman" w:hAnsi="Times New Roman" w:eastAsia="宋体" w:cs="Times New Roman"/>
          <w:color w:val="auto"/>
          <w:szCs w:val="21"/>
          <w:highlight w:val="none"/>
        </w:rPr>
        <w:t>应采用拌和站集中拌和的方式生产，并用混凝土罐车平稳运送到现场浇筑。</w:t>
      </w:r>
    </w:p>
    <w:p w14:paraId="58FB1359">
      <w:pPr>
        <w:spacing w:line="360" w:lineRule="auto"/>
        <w:rPr>
          <w:rFonts w:hint="eastAsia" w:ascii="Times New Roman" w:hAnsi="Times New Roman" w:eastAsia="宋体" w:cs="Times New Roman"/>
          <w:color w:val="auto"/>
          <w:szCs w:val="21"/>
          <w:highlight w:val="none"/>
          <w:lang w:val="en-US" w:eastAsia="zh-CN"/>
        </w:rPr>
      </w:pPr>
      <w:r>
        <w:rPr>
          <w:rFonts w:hint="eastAsia" w:ascii="黑体" w:hAnsi="黑体" w:eastAsia="黑体" w:cs="黑体"/>
          <w:b w:val="0"/>
          <w:bCs/>
          <w:color w:val="auto"/>
          <w:sz w:val="21"/>
          <w:szCs w:val="21"/>
          <w:highlight w:val="none"/>
          <w:lang w:val="en-US" w:eastAsia="zh-CN"/>
        </w:rPr>
        <w:t>5.4.5.2</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流态粉煤灰</w:t>
      </w:r>
      <w:r>
        <w:rPr>
          <w:rFonts w:hint="eastAsia" w:ascii="Times New Roman" w:hAnsi="Times New Roman" w:eastAsia="宋体" w:cs="Times New Roman"/>
          <w:color w:val="auto"/>
          <w:szCs w:val="21"/>
          <w:highlight w:val="none"/>
        </w:rPr>
        <w:t>材料</w:t>
      </w:r>
      <w:r>
        <w:rPr>
          <w:rFonts w:ascii="Times New Roman" w:hAnsi="Times New Roman" w:eastAsia="宋体" w:cs="Times New Roman"/>
          <w:color w:val="auto"/>
          <w:szCs w:val="21"/>
          <w:highlight w:val="none"/>
        </w:rPr>
        <w:t>应满足</w:t>
      </w:r>
      <w:r>
        <w:rPr>
          <w:rFonts w:hint="eastAsia" w:ascii="Times New Roman" w:hAnsi="Times New Roman" w:eastAsia="宋体" w:cs="Times New Roman"/>
          <w:color w:val="auto"/>
          <w:szCs w:val="21"/>
          <w:highlight w:val="none"/>
          <w:lang w:val="en-US" w:eastAsia="zh-CN"/>
        </w:rPr>
        <w:t>以下要求：</w:t>
      </w:r>
    </w:p>
    <w:p w14:paraId="7306DB45">
      <w:pPr>
        <w:spacing w:line="360" w:lineRule="auto"/>
        <w:ind w:left="840" w:leftChars="200" w:hanging="420" w:hanging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a)  </w:t>
      </w:r>
      <w:r>
        <w:rPr>
          <w:rFonts w:hint="eastAsia" w:ascii="Times New Roman" w:hAnsi="Times New Roman" w:eastAsia="宋体" w:cs="Times New Roman"/>
          <w:color w:val="auto"/>
          <w:szCs w:val="21"/>
          <w:highlight w:val="none"/>
        </w:rPr>
        <w:t>粉煤灰。粉煤灰中 SiO</w:t>
      </w:r>
      <w:r>
        <w:rPr>
          <w:rFonts w:hint="eastAsia" w:ascii="Times New Roman" w:hAnsi="Times New Roman" w:eastAsia="宋体" w:cs="Times New Roman"/>
          <w:color w:val="auto"/>
          <w:szCs w:val="21"/>
          <w:highlight w:val="none"/>
          <w:vertAlign w:val="subscript"/>
        </w:rPr>
        <w:t>2</w:t>
      </w:r>
      <w:r>
        <w:rPr>
          <w:rFonts w:hint="eastAsia" w:ascii="Times New Roman" w:hAnsi="Times New Roman" w:eastAsia="宋体" w:cs="Times New Roman"/>
          <w:color w:val="auto"/>
          <w:szCs w:val="21"/>
          <w:highlight w:val="none"/>
        </w:rPr>
        <w:t>、A1</w:t>
      </w:r>
      <w:r>
        <w:rPr>
          <w:rFonts w:hint="eastAsia" w:ascii="Times New Roman" w:hAnsi="Times New Roman" w:eastAsia="宋体" w:cs="Times New Roman"/>
          <w:color w:val="auto"/>
          <w:szCs w:val="21"/>
          <w:highlight w:val="none"/>
          <w:vertAlign w:val="subscript"/>
        </w:rPr>
        <w:t>2</w:t>
      </w:r>
      <w:r>
        <w:rPr>
          <w:rFonts w:hint="eastAsia" w:ascii="Times New Roman" w:hAnsi="Times New Roman" w:eastAsia="宋体" w:cs="Times New Roman"/>
          <w:color w:val="auto"/>
          <w:szCs w:val="21"/>
          <w:highlight w:val="none"/>
        </w:rPr>
        <w:t>O</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和Fe</w:t>
      </w:r>
      <w:r>
        <w:rPr>
          <w:rFonts w:hint="eastAsia" w:ascii="Times New Roman" w:hAnsi="Times New Roman" w:eastAsia="宋体" w:cs="Times New Roman"/>
          <w:color w:val="auto"/>
          <w:szCs w:val="21"/>
          <w:highlight w:val="none"/>
          <w:vertAlign w:val="subscript"/>
        </w:rPr>
        <w:t>2</w:t>
      </w:r>
      <w:r>
        <w:rPr>
          <w:rFonts w:hint="eastAsia" w:ascii="Times New Roman" w:hAnsi="Times New Roman" w:eastAsia="宋体" w:cs="Times New Roman"/>
          <w:color w:val="auto"/>
          <w:szCs w:val="21"/>
          <w:highlight w:val="none"/>
        </w:rPr>
        <w:t>O</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的总含量不低于70%</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粉煤灰烧失量不应超过20%</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rPr>
        <w:t>比表面积大于2500cm</w:t>
      </w:r>
      <w:r>
        <w:rPr>
          <w:rFonts w:hint="eastAsia"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/g，</w:t>
      </w:r>
      <w:r>
        <w:rPr>
          <w:rFonts w:hint="eastAsia" w:ascii="Times New Roman" w:hAnsi="Times New Roman" w:eastAsia="宋体" w:cs="Times New Roman"/>
          <w:color w:val="auto"/>
          <w:szCs w:val="21"/>
          <w:highlight w:val="none"/>
        </w:rPr>
        <w:t>含水量不得超过35%</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不允许出现有害杂质，如有杂质必须清除。</w:t>
      </w:r>
    </w:p>
    <w:p w14:paraId="6D0E6845">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b)  </w:t>
      </w:r>
      <w:r>
        <w:rPr>
          <w:rFonts w:hint="eastAsia" w:ascii="Times New Roman" w:hAnsi="Times New Roman" w:eastAsia="宋体" w:cs="Times New Roman"/>
          <w:color w:val="auto"/>
          <w:szCs w:val="21"/>
          <w:highlight w:val="none"/>
        </w:rPr>
        <w:t>水泥。宜采用32.5级普通水泥，应采取相应防潮措施堆放水泥。</w:t>
      </w:r>
    </w:p>
    <w:p w14:paraId="52C61CD0">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c)  </w:t>
      </w:r>
      <w:r>
        <w:rPr>
          <w:rFonts w:hint="eastAsia" w:ascii="Times New Roman" w:hAnsi="Times New Roman" w:eastAsia="宋体" w:cs="Times New Roman"/>
          <w:color w:val="auto"/>
          <w:szCs w:val="21"/>
          <w:highlight w:val="none"/>
        </w:rPr>
        <w:t>水。施工用水符合规范要求，人或牲畜饮用水均可。</w:t>
      </w:r>
    </w:p>
    <w:p w14:paraId="064F8C3F">
      <w:pPr>
        <w:spacing w:line="360" w:lineRule="auto"/>
        <w:ind w:left="840" w:leftChars="200" w:hanging="420" w:hanging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d)  </w:t>
      </w:r>
      <w:r>
        <w:rPr>
          <w:rFonts w:hint="eastAsia" w:ascii="Times New Roman" w:hAnsi="Times New Roman" w:eastAsia="宋体" w:cs="Times New Roman"/>
          <w:color w:val="auto"/>
          <w:szCs w:val="21"/>
          <w:highlight w:val="none"/>
        </w:rPr>
        <w:t>外加剂。一般采用减水剂，减水剂具体的技术标准如下： ① 细度：比表面积不得小于300m</w:t>
      </w:r>
      <w:r>
        <w:rPr>
          <w:rFonts w:hint="eastAsia" w:ascii="Times New Roman" w:hAnsi="Times New Roman" w:eastAsia="宋体" w:cs="Times New Roman"/>
          <w:color w:val="auto"/>
          <w:szCs w:val="21"/>
          <w:highlight w:val="none"/>
          <w:vertAlign w:val="superscript"/>
        </w:rPr>
        <w:t>2</w:t>
      </w:r>
      <w:r>
        <w:rPr>
          <w:rFonts w:hint="eastAsia" w:ascii="Times New Roman" w:hAnsi="Times New Roman" w:eastAsia="宋体" w:cs="Times New Roman"/>
          <w:color w:val="auto"/>
          <w:szCs w:val="21"/>
          <w:highlight w:val="none"/>
        </w:rPr>
        <w:t>／kg，筛余量（ 0.08mm） 不得超过8%；②抗压强度：符合</w:t>
      </w:r>
      <w:r>
        <w:rPr>
          <w:rFonts w:hint="eastAsia" w:ascii="Times New Roman" w:hAnsi="Times New Roman" w:eastAsia="宋体" w:cs="Times New Roman"/>
          <w:color w:val="auto"/>
          <w:szCs w:val="21"/>
          <w:highlight w:val="none"/>
        </w:rPr>
        <w:t>表</w:t>
      </w:r>
      <w:r>
        <w:rPr>
          <w:rFonts w:hint="eastAsia" w:ascii="Times New Roman" w:hAnsi="Times New Roman"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rPr>
        <w:t>规定；③初凝时间，不</w:t>
      </w:r>
      <w:r>
        <w:rPr>
          <w:rFonts w:hint="eastAsia" w:ascii="Times New Roman" w:hAnsi="Times New Roman" w:eastAsia="宋体" w:cs="Times New Roman"/>
          <w:color w:val="auto"/>
          <w:szCs w:val="21"/>
          <w:highlight w:val="none"/>
          <w:lang w:val="en-US" w:eastAsia="zh-CN"/>
        </w:rPr>
        <w:t>宜</w:t>
      </w:r>
      <w:r>
        <w:rPr>
          <w:rFonts w:hint="eastAsia" w:ascii="Times New Roman" w:hAnsi="Times New Roman" w:eastAsia="宋体" w:cs="Times New Roman"/>
          <w:color w:val="auto"/>
          <w:szCs w:val="21"/>
          <w:highlight w:val="none"/>
        </w:rPr>
        <w:t>大于30min；④确定合理单浆可泵时间，不</w:t>
      </w:r>
      <w:r>
        <w:rPr>
          <w:rFonts w:hint="eastAsia" w:ascii="Times New Roman" w:hAnsi="Times New Roman" w:eastAsia="宋体" w:cs="Times New Roman"/>
          <w:color w:val="auto"/>
          <w:szCs w:val="21"/>
          <w:highlight w:val="none"/>
          <w:lang w:val="en-US" w:eastAsia="zh-CN"/>
        </w:rPr>
        <w:t>宜</w:t>
      </w:r>
      <w:r>
        <w:rPr>
          <w:rFonts w:hint="eastAsia" w:ascii="Times New Roman" w:hAnsi="Times New Roman" w:eastAsia="宋体" w:cs="Times New Roman"/>
          <w:color w:val="auto"/>
          <w:szCs w:val="21"/>
          <w:highlight w:val="none"/>
        </w:rPr>
        <w:t>小于24h凝固。</w:t>
      </w:r>
    </w:p>
    <w:p w14:paraId="3E41248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5.4.5.3</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流态粉煤灰</w:t>
      </w:r>
      <w:r>
        <w:rPr>
          <w:rFonts w:hint="eastAsia" w:ascii="Times New Roman" w:hAnsi="Times New Roman" w:eastAsia="宋体" w:cs="Times New Roman"/>
          <w:color w:val="auto"/>
          <w:szCs w:val="21"/>
          <w:highlight w:val="none"/>
        </w:rPr>
        <w:t>7d强度不</w:t>
      </w:r>
      <w:r>
        <w:rPr>
          <w:rFonts w:hint="eastAsia" w:ascii="Times New Roman" w:hAnsi="Times New Roman" w:eastAsia="宋体" w:cs="Times New Roman"/>
          <w:color w:val="auto"/>
          <w:szCs w:val="21"/>
          <w:highlight w:val="none"/>
          <w:lang w:val="en-US" w:eastAsia="zh-CN"/>
        </w:rPr>
        <w:t>应</w:t>
      </w:r>
      <w:r>
        <w:rPr>
          <w:rFonts w:hint="eastAsia" w:ascii="Times New Roman" w:hAnsi="Times New Roman" w:eastAsia="宋体" w:cs="Times New Roman"/>
          <w:color w:val="auto"/>
          <w:szCs w:val="21"/>
          <w:highlight w:val="none"/>
        </w:rPr>
        <w:t>小于0.4MPa</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28d强度</w:t>
      </w:r>
      <w:r>
        <w:rPr>
          <w:rFonts w:hint="eastAsia" w:ascii="Times New Roman" w:hAnsi="Times New Roman" w:eastAsia="宋体" w:cs="Times New Roman"/>
          <w:color w:val="auto"/>
          <w:szCs w:val="21"/>
          <w:highlight w:val="none"/>
          <w:lang w:val="en-US" w:eastAsia="zh-CN"/>
        </w:rPr>
        <w:t>应</w:t>
      </w:r>
      <w:r>
        <w:rPr>
          <w:rFonts w:hint="eastAsia" w:ascii="Times New Roman" w:hAnsi="Times New Roman" w:eastAsia="宋体" w:cs="Times New Roman"/>
          <w:color w:val="auto"/>
          <w:szCs w:val="21"/>
          <w:highlight w:val="none"/>
        </w:rPr>
        <w:t>大于0.6MPa。</w:t>
      </w:r>
    </w:p>
    <w:p w14:paraId="0F3F4E39">
      <w:pPr>
        <w:spacing w:line="360" w:lineRule="auto"/>
        <w:rPr>
          <w:rFonts w:hint="eastAsia" w:ascii="Times New Roman" w:hAnsi="Times New Roman" w:eastAsia="宋体" w:cs="Times New Roman"/>
          <w:color w:val="auto"/>
          <w:szCs w:val="21"/>
          <w:highlight w:val="none"/>
        </w:rPr>
      </w:pPr>
      <w:r>
        <w:rPr>
          <w:rFonts w:hint="eastAsia" w:ascii="黑体" w:hAnsi="黑体" w:eastAsia="黑体" w:cs="黑体"/>
          <w:b w:val="0"/>
          <w:bCs/>
          <w:color w:val="auto"/>
          <w:sz w:val="21"/>
          <w:szCs w:val="21"/>
          <w:highlight w:val="none"/>
          <w:lang w:val="en-US" w:eastAsia="zh-CN"/>
        </w:rPr>
        <w:t>5.4.5.4</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严格控制浇筑温度，气温低于 5℃时，应停止浇筑作业，确保浇筑质量。</w:t>
      </w:r>
    </w:p>
    <w:p w14:paraId="683CE93D">
      <w:pPr>
        <w:spacing w:line="36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8</w:t>
      </w:r>
      <w:r>
        <w:rPr>
          <w:rFonts w:hint="eastAsia" w:ascii="Times New Roman" w:hAnsi="Times New Roman" w:eastAsia="宋体" w:cs="Times New Roman"/>
          <w:b/>
          <w:color w:val="auto"/>
          <w:szCs w:val="21"/>
          <w:highlight w:val="none"/>
        </w:rPr>
        <w:t xml:space="preserve">  外加剂抗压强度标准</w:t>
      </w:r>
    </w:p>
    <w:tbl>
      <w:tblPr>
        <w:tblStyle w:val="35"/>
        <w:tblW w:w="8318" w:type="dxa"/>
        <w:tblInd w:w="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4159"/>
        <w:gridCol w:w="4159"/>
      </w:tblGrid>
      <w:tr w14:paraId="34604527">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4" w:hRule="atLeast"/>
        </w:trPr>
        <w:tc>
          <w:tcPr>
            <w:tcW w:w="4159" w:type="dxa"/>
            <w:vAlign w:val="center"/>
          </w:tcPr>
          <w:p w14:paraId="54B186C9">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时间</w:t>
            </w:r>
          </w:p>
        </w:tc>
        <w:tc>
          <w:tcPr>
            <w:tcW w:w="4159" w:type="dxa"/>
            <w:vAlign w:val="center"/>
          </w:tcPr>
          <w:p w14:paraId="1A97D14A">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强度（ MPa ）</w:t>
            </w:r>
          </w:p>
        </w:tc>
      </w:tr>
      <w:tr w14:paraId="14327F7A">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4" w:hRule="atLeast"/>
        </w:trPr>
        <w:tc>
          <w:tcPr>
            <w:tcW w:w="4159" w:type="dxa"/>
            <w:vAlign w:val="center"/>
          </w:tcPr>
          <w:p w14:paraId="0FEA44D5">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2h</w:t>
            </w:r>
          </w:p>
        </w:tc>
        <w:tc>
          <w:tcPr>
            <w:tcW w:w="4159" w:type="dxa"/>
            <w:vAlign w:val="center"/>
          </w:tcPr>
          <w:p w14:paraId="6D293233">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1.0</w:t>
            </w:r>
          </w:p>
        </w:tc>
      </w:tr>
      <w:tr w14:paraId="388A2BF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4" w:hRule="atLeast"/>
        </w:trPr>
        <w:tc>
          <w:tcPr>
            <w:tcW w:w="4159" w:type="dxa"/>
            <w:vAlign w:val="center"/>
          </w:tcPr>
          <w:p w14:paraId="0B6570EF">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24h</w:t>
            </w:r>
          </w:p>
        </w:tc>
        <w:tc>
          <w:tcPr>
            <w:tcW w:w="4159" w:type="dxa"/>
            <w:vAlign w:val="center"/>
          </w:tcPr>
          <w:p w14:paraId="04D00288">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3.0</w:t>
            </w:r>
          </w:p>
        </w:tc>
      </w:tr>
      <w:tr w14:paraId="550A8E5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4" w:hRule="atLeast"/>
        </w:trPr>
        <w:tc>
          <w:tcPr>
            <w:tcW w:w="4159" w:type="dxa"/>
            <w:vAlign w:val="center"/>
          </w:tcPr>
          <w:p w14:paraId="6B87CE80">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7d</w:t>
            </w:r>
          </w:p>
        </w:tc>
        <w:tc>
          <w:tcPr>
            <w:tcW w:w="4159" w:type="dxa"/>
            <w:vAlign w:val="center"/>
          </w:tcPr>
          <w:p w14:paraId="4BB9D818">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4.5</w:t>
            </w:r>
          </w:p>
        </w:tc>
      </w:tr>
      <w:tr w14:paraId="6BF58EB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54" w:hRule="atLeast"/>
        </w:trPr>
        <w:tc>
          <w:tcPr>
            <w:tcW w:w="4159" w:type="dxa"/>
            <w:vAlign w:val="center"/>
          </w:tcPr>
          <w:p w14:paraId="2FE30037">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28d</w:t>
            </w:r>
          </w:p>
        </w:tc>
        <w:tc>
          <w:tcPr>
            <w:tcW w:w="4159" w:type="dxa"/>
            <w:vAlign w:val="center"/>
          </w:tcPr>
          <w:p w14:paraId="1E9EEA4F">
            <w:pPr>
              <w:autoSpaceDE w:val="0"/>
              <w:autoSpaceDN w:val="0"/>
              <w:ind w:firstLine="360" w:firstLineChars="20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4.5</w:t>
            </w:r>
          </w:p>
        </w:tc>
      </w:tr>
    </w:tbl>
    <w:p w14:paraId="10E68B5E">
      <w:pPr>
        <w:spacing w:line="360" w:lineRule="auto"/>
        <w:rPr>
          <w:rFonts w:hint="eastAsia" w:ascii="黑体" w:hAnsi="黑体" w:eastAsia="黑体" w:cs="黑体"/>
          <w:color w:val="auto"/>
          <w:szCs w:val="21"/>
          <w:highlight w:val="none"/>
          <w:lang w:val="en-US" w:eastAsia="zh-CN"/>
        </w:rPr>
      </w:pPr>
    </w:p>
    <w:p w14:paraId="7024FA79">
      <w:pPr>
        <w:spacing w:line="360" w:lineRule="auto"/>
        <w:rPr>
          <w:rFonts w:hint="eastAsia" w:ascii="黑体" w:hAnsi="黑体" w:eastAsia="黑体" w:cs="黑体"/>
          <w:color w:val="auto"/>
          <w:szCs w:val="21"/>
          <w:highlight w:val="none"/>
        </w:rPr>
      </w:pPr>
      <w:r>
        <w:rPr>
          <w:rFonts w:hint="eastAsia" w:ascii="黑体" w:hAnsi="黑体" w:eastAsia="黑体" w:cs="黑体"/>
          <w:color w:val="auto"/>
          <w:szCs w:val="21"/>
          <w:highlight w:val="none"/>
          <w:lang w:val="en-US" w:eastAsia="zh-CN"/>
        </w:rPr>
        <w:t>5</w:t>
      </w:r>
      <w:r>
        <w:rPr>
          <w:rFonts w:hint="eastAsia" w:ascii="黑体" w:hAnsi="黑体" w:eastAsia="黑体" w:cs="黑体"/>
          <w:color w:val="auto"/>
          <w:szCs w:val="21"/>
          <w:highlight w:val="none"/>
        </w:rPr>
        <w:t>.4.</w:t>
      </w: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rPr>
        <w:t xml:space="preserve">  </w:t>
      </w:r>
      <w:r>
        <w:rPr>
          <w:rFonts w:hint="eastAsia" w:ascii="Times New Roman" w:hAnsi="Times New Roman" w:eastAsia="宋体" w:cs="Times New Roman"/>
          <w:color w:val="auto"/>
          <w:szCs w:val="21"/>
          <w:highlight w:val="none"/>
        </w:rPr>
        <w:t>煤矸石台背回填应满足</w:t>
      </w:r>
      <w:r>
        <w:rPr>
          <w:rFonts w:hint="eastAsia" w:ascii="Times New Roman" w:hAnsi="Times New Roman" w:eastAsia="宋体" w:cs="Times New Roman"/>
          <w:color w:val="auto"/>
          <w:szCs w:val="21"/>
          <w:highlight w:val="none"/>
          <w:lang w:val="en-US" w:eastAsia="zh-CN"/>
        </w:rPr>
        <w:t>以下</w:t>
      </w:r>
      <w:r>
        <w:rPr>
          <w:rFonts w:hint="eastAsia" w:ascii="Times New Roman" w:hAnsi="Times New Roman" w:eastAsia="宋体" w:cs="Times New Roman"/>
          <w:color w:val="auto"/>
          <w:szCs w:val="21"/>
          <w:highlight w:val="none"/>
        </w:rPr>
        <w:t>规定</w:t>
      </w:r>
      <w:r>
        <w:rPr>
          <w:rFonts w:hint="eastAsia" w:ascii="黑体" w:hAnsi="黑体" w:eastAsia="黑体" w:cs="黑体"/>
          <w:color w:val="auto"/>
          <w:szCs w:val="21"/>
          <w:highlight w:val="none"/>
        </w:rPr>
        <w:t>。</w:t>
      </w:r>
    </w:p>
    <w:p w14:paraId="130808BC">
      <w:pPr>
        <w:pStyle w:val="30"/>
        <w:spacing w:before="156" w:afterLines="0" w:line="360" w:lineRule="auto"/>
        <w:outlineLvl w:val="9"/>
        <w:rPr>
          <w:rFonts w:hint="eastAsia" w:asciiTheme="minorEastAsia" w:hAnsiTheme="minorEastAsia" w:eastAsiaTheme="minorEastAsia" w:cstheme="minorEastAsia"/>
          <w:b w:val="0"/>
          <w:bCs/>
          <w:color w:val="auto"/>
          <w:highlight w:val="none"/>
        </w:rPr>
      </w:pPr>
      <w:r>
        <w:rPr>
          <w:rFonts w:hint="eastAsia" w:ascii="黑体" w:hAnsi="黑体" w:eastAsia="黑体" w:cs="黑体"/>
          <w:b w:val="0"/>
          <w:bCs/>
          <w:color w:val="auto"/>
          <w:kern w:val="2"/>
          <w:sz w:val="21"/>
          <w:szCs w:val="21"/>
          <w:highlight w:val="none"/>
          <w:lang w:val="en-US" w:eastAsia="zh-CN" w:bidi="ar-SA"/>
        </w:rPr>
        <w:t>5.4.6.1</w:t>
      </w:r>
      <w:r>
        <w:rPr>
          <w:rFonts w:hint="eastAsia" w:ascii="Times New Roman" w:hAnsi="Times New Roman" w:eastAsia="宋体" w:cs="Times New Roman"/>
          <w:color w:val="auto"/>
          <w:kern w:val="2"/>
          <w:sz w:val="21"/>
          <w:szCs w:val="21"/>
          <w:highlight w:val="none"/>
          <w:lang w:val="en-US" w:eastAsia="zh-CN" w:bidi="ar-SA"/>
        </w:rPr>
        <w:t xml:space="preserve">  </w:t>
      </w:r>
      <w:r>
        <w:rPr>
          <w:rFonts w:hint="eastAsia" w:asciiTheme="minorEastAsia" w:hAnsiTheme="minorEastAsia" w:eastAsiaTheme="minorEastAsia" w:cstheme="minorEastAsia"/>
          <w:b w:val="0"/>
          <w:bCs/>
          <w:color w:val="auto"/>
          <w:highlight w:val="none"/>
        </w:rPr>
        <w:t>台背回填煤矸石压实厚度不宜小于15cm，不宜大于20cm。</w:t>
      </w:r>
    </w:p>
    <w:p w14:paraId="60275961">
      <w:pPr>
        <w:pStyle w:val="30"/>
        <w:spacing w:before="156" w:afterLines="0" w:line="360" w:lineRule="auto"/>
        <w:outlineLvl w:val="9"/>
        <w:rPr>
          <w:rFonts w:hint="eastAsia" w:asciiTheme="minorEastAsia" w:hAnsiTheme="minorEastAsia" w:eastAsiaTheme="minorEastAsia" w:cstheme="minorEastAsia"/>
          <w:b w:val="0"/>
          <w:bCs/>
          <w:color w:val="auto"/>
          <w:highlight w:val="none"/>
        </w:rPr>
      </w:pPr>
      <w:r>
        <w:rPr>
          <w:rFonts w:hint="eastAsia" w:ascii="黑体" w:hAnsi="黑体" w:eastAsia="黑体" w:cs="黑体"/>
          <w:b w:val="0"/>
          <w:bCs/>
          <w:color w:val="auto"/>
          <w:kern w:val="2"/>
          <w:sz w:val="21"/>
          <w:szCs w:val="21"/>
          <w:highlight w:val="none"/>
          <w:lang w:val="en-US" w:eastAsia="zh-CN" w:bidi="ar-SA"/>
        </w:rPr>
        <w:t>5.4.6.2</w:t>
      </w:r>
      <w:r>
        <w:rPr>
          <w:rFonts w:hint="eastAsia" w:ascii="Times New Roman" w:hAnsi="Times New Roman" w:eastAsia="宋体" w:cs="Times New Roman"/>
          <w:color w:val="auto"/>
          <w:kern w:val="2"/>
          <w:sz w:val="21"/>
          <w:szCs w:val="21"/>
          <w:highlight w:val="none"/>
          <w:lang w:val="en-US" w:eastAsia="zh-CN" w:bidi="ar-SA"/>
        </w:rPr>
        <w:t xml:space="preserve"> </w:t>
      </w:r>
      <w:r>
        <w:rPr>
          <w:rFonts w:hint="eastAsia" w:asciiTheme="minorEastAsia" w:hAnsiTheme="minorEastAsia" w:eastAsiaTheme="minorEastAsia" w:cstheme="minorEastAsia"/>
          <w:b w:val="0"/>
          <w:bCs/>
          <w:color w:val="auto"/>
          <w:highlight w:val="none"/>
        </w:rPr>
        <w:t xml:space="preserve"> 台背回填煤矸石压路机的碾压行进速度不宜过快，一般控制在1.2km/h～2.4km/h。</w:t>
      </w:r>
    </w:p>
    <w:p w14:paraId="1D9FD97C">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olor w:val="auto"/>
          <w:highlight w:val="none"/>
        </w:rPr>
      </w:pPr>
      <w:r>
        <w:rPr>
          <w:rFonts w:hint="eastAsia" w:ascii="黑体" w:hAnsi="黑体" w:eastAsia="黑体" w:cs="黑体"/>
          <w:b w:val="0"/>
          <w:bCs/>
          <w:color w:val="auto"/>
          <w:kern w:val="2"/>
          <w:sz w:val="21"/>
          <w:szCs w:val="21"/>
          <w:highlight w:val="none"/>
          <w:lang w:val="en-US" w:eastAsia="zh-CN" w:bidi="ar-SA"/>
        </w:rPr>
        <w:t>5.4.6.3</w:t>
      </w:r>
      <w:r>
        <w:rPr>
          <w:rFonts w:hint="eastAsia" w:ascii="Times New Roman" w:hAnsi="Times New Roman" w:eastAsia="宋体" w:cs="Times New Roman"/>
          <w:b w:val="0"/>
          <w:bCs/>
          <w:color w:val="auto"/>
          <w:kern w:val="2"/>
          <w:sz w:val="21"/>
          <w:szCs w:val="21"/>
          <w:highlight w:val="none"/>
          <w:lang w:val="en-US" w:eastAsia="zh-CN" w:bidi="ar-SA"/>
        </w:rPr>
        <w:t xml:space="preserve"> </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olor w:val="auto"/>
          <w:highlight w:val="none"/>
        </w:rPr>
        <w:t>为确保台背工后沉降满足沉降控制标准的要求，高速公路台背回填从基础底部起，整个回填区域压实度不得小于96%。</w:t>
      </w:r>
    </w:p>
    <w:p w14:paraId="06D3CC1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olor w:val="auto"/>
          <w:highlight w:val="none"/>
        </w:rPr>
      </w:pPr>
      <w:r>
        <w:rPr>
          <w:rFonts w:hint="eastAsia" w:ascii="黑体" w:hAnsi="黑体" w:eastAsia="黑体" w:cs="黑体"/>
          <w:b w:val="0"/>
          <w:bCs/>
          <w:color w:val="auto"/>
          <w:kern w:val="2"/>
          <w:sz w:val="21"/>
          <w:szCs w:val="21"/>
          <w:highlight w:val="none"/>
          <w:lang w:val="en-US" w:eastAsia="zh-CN" w:bidi="ar-SA"/>
        </w:rPr>
        <w:t>5.4.6.4</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olor w:val="auto"/>
          <w:highlight w:val="none"/>
        </w:rPr>
        <w:t>回填台背</w:t>
      </w:r>
      <w:r>
        <w:rPr>
          <w:rFonts w:hint="eastAsia" w:ascii="Times New Roman" w:hAnsi="Times New Roman" w:eastAsia="宋体"/>
          <w:color w:val="auto"/>
          <w:highlight w:val="none"/>
        </w:rPr>
        <w:t>所用</w:t>
      </w:r>
      <w:r>
        <w:rPr>
          <w:rFonts w:ascii="Times New Roman" w:hAnsi="Times New Roman" w:eastAsia="宋体"/>
          <w:color w:val="auto"/>
          <w:highlight w:val="none"/>
        </w:rPr>
        <w:t>煤矸石</w:t>
      </w:r>
      <w:r>
        <w:rPr>
          <w:rFonts w:hint="eastAsia" w:ascii="Times New Roman" w:hAnsi="Times New Roman" w:eastAsia="宋体"/>
          <w:color w:val="auto"/>
          <w:highlight w:val="none"/>
        </w:rPr>
        <w:t>应严格控制其自由膨胀率和耐崩解性指数，各指标</w:t>
      </w:r>
      <w:r>
        <w:rPr>
          <w:rFonts w:ascii="Times New Roman" w:hAnsi="Times New Roman" w:eastAsia="宋体"/>
          <w:color w:val="auto"/>
          <w:highlight w:val="none"/>
        </w:rPr>
        <w:t>应</w:t>
      </w:r>
      <w:r>
        <w:rPr>
          <w:rFonts w:hint="eastAsia" w:ascii="Times New Roman" w:hAnsi="Times New Roman" w:eastAsia="宋体"/>
          <w:color w:val="auto"/>
          <w:highlight w:val="none"/>
        </w:rPr>
        <w:t>同时</w:t>
      </w:r>
      <w:r>
        <w:rPr>
          <w:rFonts w:ascii="Times New Roman" w:hAnsi="Times New Roman" w:eastAsia="宋体"/>
          <w:color w:val="auto"/>
          <w:highlight w:val="none"/>
        </w:rPr>
        <w:t>满足</w:t>
      </w:r>
      <w:r>
        <w:rPr>
          <w:rFonts w:hint="eastAsia" w:ascii="Times New Roman" w:hAnsi="Times New Roman" w:eastAsia="宋体"/>
          <w:color w:val="auto"/>
          <w:highlight w:val="none"/>
        </w:rPr>
        <w:t>表</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的</w:t>
      </w:r>
      <w:r>
        <w:rPr>
          <w:rFonts w:ascii="Times New Roman" w:hAnsi="Times New Roman" w:eastAsia="宋体"/>
          <w:color w:val="auto"/>
          <w:highlight w:val="none"/>
        </w:rPr>
        <w:t>规定。</w:t>
      </w:r>
    </w:p>
    <w:p w14:paraId="4434EC48">
      <w:pPr>
        <w:spacing w:line="360" w:lineRule="auto"/>
        <w:jc w:val="center"/>
        <w:rPr>
          <w:rFonts w:hint="eastAsia"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9</w:t>
      </w:r>
      <w:r>
        <w:rPr>
          <w:rFonts w:hint="eastAsia" w:ascii="Times New Roman" w:hAnsi="Times New Roman" w:eastAsia="宋体" w:cs="Times New Roman"/>
          <w:b/>
          <w:color w:val="auto"/>
          <w:szCs w:val="21"/>
          <w:highlight w:val="none"/>
        </w:rPr>
        <w:t xml:space="preserve">  煤矸石台背回填技术指标要求</w:t>
      </w:r>
    </w:p>
    <w:tbl>
      <w:tblPr>
        <w:tblStyle w:val="15"/>
        <w:tblW w:w="8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95"/>
        <w:gridCol w:w="2088"/>
        <w:gridCol w:w="36"/>
        <w:gridCol w:w="2142"/>
      </w:tblGrid>
      <w:tr w14:paraId="77587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3ECF7B23">
            <w:pPr>
              <w:tabs>
                <w:tab w:val="left" w:pos="-180"/>
              </w:tabs>
              <w:spacing w:line="240" w:lineRule="auto"/>
              <w:jc w:val="center"/>
              <w:rPr>
                <w:rFonts w:hint="eastAsia"/>
                <w:color w:val="auto"/>
                <w:sz w:val="18"/>
                <w:szCs w:val="18"/>
                <w:highlight w:val="none"/>
              </w:rPr>
            </w:pPr>
            <w:r>
              <w:rPr>
                <w:rFonts w:hint="eastAsia"/>
                <w:color w:val="auto"/>
                <w:sz w:val="18"/>
                <w:szCs w:val="18"/>
                <w:highlight w:val="none"/>
              </w:rPr>
              <w:t>技术要求</w:t>
            </w:r>
          </w:p>
        </w:tc>
        <w:tc>
          <w:tcPr>
            <w:tcW w:w="2088" w:type="dxa"/>
            <w:tcBorders>
              <w:tl2br w:val="nil"/>
              <w:tr2bl w:val="nil"/>
            </w:tcBorders>
            <w:noWrap w:val="0"/>
            <w:vAlign w:val="center"/>
          </w:tcPr>
          <w:p w14:paraId="7073EF55">
            <w:pPr>
              <w:tabs>
                <w:tab w:val="left" w:pos="-180"/>
              </w:tabs>
              <w:spacing w:line="240" w:lineRule="auto"/>
              <w:jc w:val="center"/>
              <w:rPr>
                <w:color w:val="auto"/>
                <w:sz w:val="18"/>
                <w:szCs w:val="18"/>
                <w:highlight w:val="none"/>
              </w:rPr>
            </w:pPr>
            <w:r>
              <w:rPr>
                <w:rFonts w:hint="eastAsia"/>
                <w:color w:val="auto"/>
                <w:sz w:val="18"/>
                <w:szCs w:val="18"/>
                <w:highlight w:val="none"/>
              </w:rPr>
              <w:t>回填高度（0-2m）</w:t>
            </w:r>
          </w:p>
        </w:tc>
        <w:tc>
          <w:tcPr>
            <w:tcW w:w="2178" w:type="dxa"/>
            <w:gridSpan w:val="2"/>
            <w:tcBorders>
              <w:tl2br w:val="nil"/>
              <w:tr2bl w:val="nil"/>
            </w:tcBorders>
            <w:noWrap w:val="0"/>
            <w:vAlign w:val="center"/>
          </w:tcPr>
          <w:p w14:paraId="04FBC34F">
            <w:pPr>
              <w:tabs>
                <w:tab w:val="left" w:pos="-180"/>
              </w:tabs>
              <w:spacing w:line="240" w:lineRule="auto"/>
              <w:jc w:val="center"/>
              <w:rPr>
                <w:color w:val="auto"/>
                <w:sz w:val="18"/>
                <w:szCs w:val="18"/>
                <w:highlight w:val="none"/>
              </w:rPr>
            </w:pPr>
            <w:r>
              <w:rPr>
                <w:rFonts w:hint="eastAsia"/>
                <w:color w:val="auto"/>
                <w:sz w:val="18"/>
                <w:szCs w:val="18"/>
                <w:highlight w:val="none"/>
              </w:rPr>
              <w:t>回填高度（</w:t>
            </w:r>
            <w:r>
              <w:rPr>
                <w:color w:val="auto"/>
                <w:sz w:val="18"/>
                <w:szCs w:val="18"/>
                <w:highlight w:val="none"/>
              </w:rPr>
              <w:t>&gt;</w:t>
            </w:r>
            <w:r>
              <w:rPr>
                <w:rFonts w:hint="eastAsia"/>
                <w:color w:val="auto"/>
                <w:sz w:val="18"/>
                <w:szCs w:val="18"/>
                <w:highlight w:val="none"/>
              </w:rPr>
              <w:t>2m）</w:t>
            </w:r>
          </w:p>
        </w:tc>
      </w:tr>
      <w:tr w14:paraId="02DC7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3584263C">
            <w:pPr>
              <w:tabs>
                <w:tab w:val="left" w:pos="-180"/>
              </w:tabs>
              <w:spacing w:line="240" w:lineRule="auto"/>
              <w:jc w:val="center"/>
              <w:rPr>
                <w:color w:val="auto"/>
                <w:sz w:val="18"/>
                <w:szCs w:val="18"/>
                <w:highlight w:val="none"/>
              </w:rPr>
            </w:pPr>
            <w:r>
              <w:rPr>
                <w:color w:val="auto"/>
                <w:sz w:val="18"/>
                <w:szCs w:val="18"/>
                <w:highlight w:val="none"/>
              </w:rPr>
              <w:t>分层填筑厚度（cm）</w:t>
            </w:r>
          </w:p>
        </w:tc>
        <w:tc>
          <w:tcPr>
            <w:tcW w:w="4266" w:type="dxa"/>
            <w:gridSpan w:val="3"/>
            <w:tcBorders>
              <w:tl2br w:val="nil"/>
              <w:tr2bl w:val="nil"/>
            </w:tcBorders>
            <w:noWrap w:val="0"/>
            <w:vAlign w:val="center"/>
          </w:tcPr>
          <w:p w14:paraId="1E677C49">
            <w:pPr>
              <w:tabs>
                <w:tab w:val="left" w:pos="-180"/>
              </w:tabs>
              <w:spacing w:line="240" w:lineRule="auto"/>
              <w:jc w:val="center"/>
              <w:rPr>
                <w:color w:val="auto"/>
                <w:sz w:val="18"/>
                <w:szCs w:val="18"/>
                <w:highlight w:val="none"/>
              </w:rPr>
            </w:pPr>
            <w:r>
              <w:rPr>
                <w:color w:val="auto"/>
                <w:sz w:val="18"/>
                <w:szCs w:val="18"/>
                <w:highlight w:val="none"/>
              </w:rPr>
              <w:t>15</w:t>
            </w:r>
          </w:p>
        </w:tc>
      </w:tr>
      <w:tr w14:paraId="020B9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1DD15E27">
            <w:pPr>
              <w:tabs>
                <w:tab w:val="left" w:pos="-180"/>
              </w:tabs>
              <w:spacing w:line="240" w:lineRule="auto"/>
              <w:jc w:val="center"/>
              <w:rPr>
                <w:color w:val="auto"/>
                <w:sz w:val="18"/>
                <w:szCs w:val="18"/>
                <w:highlight w:val="none"/>
              </w:rPr>
            </w:pPr>
            <w:r>
              <w:rPr>
                <w:color w:val="auto"/>
                <w:sz w:val="18"/>
                <w:szCs w:val="18"/>
                <w:highlight w:val="none"/>
              </w:rPr>
              <w:t>P</w:t>
            </w:r>
            <w:r>
              <w:rPr>
                <w:color w:val="auto"/>
                <w:sz w:val="18"/>
                <w:szCs w:val="18"/>
                <w:highlight w:val="none"/>
                <w:vertAlign w:val="subscript"/>
              </w:rPr>
              <w:t>5</w:t>
            </w:r>
            <w:r>
              <w:rPr>
                <w:color w:val="auto"/>
                <w:sz w:val="18"/>
                <w:szCs w:val="18"/>
                <w:highlight w:val="none"/>
              </w:rPr>
              <w:t>含量（%）</w:t>
            </w:r>
          </w:p>
        </w:tc>
        <w:tc>
          <w:tcPr>
            <w:tcW w:w="4266" w:type="dxa"/>
            <w:gridSpan w:val="3"/>
            <w:tcBorders>
              <w:tl2br w:val="nil"/>
              <w:tr2bl w:val="nil"/>
            </w:tcBorders>
            <w:noWrap w:val="0"/>
            <w:vAlign w:val="center"/>
          </w:tcPr>
          <w:p w14:paraId="3FB1802D">
            <w:pPr>
              <w:tabs>
                <w:tab w:val="left" w:pos="-180"/>
              </w:tabs>
              <w:spacing w:line="240" w:lineRule="auto"/>
              <w:jc w:val="center"/>
              <w:rPr>
                <w:color w:val="auto"/>
                <w:sz w:val="18"/>
                <w:szCs w:val="18"/>
                <w:highlight w:val="none"/>
              </w:rPr>
            </w:pPr>
            <w:r>
              <w:rPr>
                <w:color w:val="auto"/>
                <w:sz w:val="18"/>
                <w:szCs w:val="18"/>
                <w:highlight w:val="none"/>
              </w:rPr>
              <w:t>50</w:t>
            </w:r>
            <w:r>
              <w:rPr>
                <w:rFonts w:hint="eastAsia" w:ascii="宋体" w:hAnsi="宋体" w:eastAsia="宋体" w:cs="宋体"/>
                <w:color w:val="auto"/>
                <w:sz w:val="18"/>
                <w:szCs w:val="18"/>
                <w:highlight w:val="none"/>
              </w:rPr>
              <w:t>～</w:t>
            </w:r>
            <w:r>
              <w:rPr>
                <w:color w:val="auto"/>
                <w:sz w:val="18"/>
                <w:szCs w:val="18"/>
                <w:highlight w:val="none"/>
              </w:rPr>
              <w:t>70</w:t>
            </w:r>
          </w:p>
        </w:tc>
      </w:tr>
      <w:tr w14:paraId="68C14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548E7E47">
            <w:pPr>
              <w:tabs>
                <w:tab w:val="left" w:pos="-180"/>
              </w:tabs>
              <w:spacing w:line="240" w:lineRule="auto"/>
              <w:jc w:val="center"/>
              <w:rPr>
                <w:color w:val="auto"/>
                <w:sz w:val="18"/>
                <w:szCs w:val="18"/>
                <w:highlight w:val="none"/>
              </w:rPr>
            </w:pPr>
            <w:r>
              <w:rPr>
                <w:color w:val="auto"/>
                <w:sz w:val="18"/>
                <w:szCs w:val="18"/>
                <w:highlight w:val="none"/>
              </w:rPr>
              <w:t>压实度（%）</w:t>
            </w:r>
          </w:p>
        </w:tc>
        <w:tc>
          <w:tcPr>
            <w:tcW w:w="4266" w:type="dxa"/>
            <w:gridSpan w:val="3"/>
            <w:tcBorders>
              <w:tl2br w:val="nil"/>
              <w:tr2bl w:val="nil"/>
            </w:tcBorders>
            <w:noWrap w:val="0"/>
            <w:vAlign w:val="center"/>
          </w:tcPr>
          <w:p w14:paraId="47519903">
            <w:pPr>
              <w:tabs>
                <w:tab w:val="left" w:pos="-180"/>
              </w:tabs>
              <w:spacing w:line="240" w:lineRule="auto"/>
              <w:jc w:val="center"/>
              <w:rPr>
                <w:color w:val="auto"/>
                <w:sz w:val="18"/>
                <w:szCs w:val="18"/>
                <w:highlight w:val="none"/>
              </w:rPr>
            </w:pPr>
            <w:r>
              <w:rPr>
                <w:color w:val="auto"/>
                <w:sz w:val="18"/>
                <w:szCs w:val="18"/>
                <w:highlight w:val="none"/>
              </w:rPr>
              <w:t>≥96</w:t>
            </w:r>
          </w:p>
        </w:tc>
      </w:tr>
      <w:tr w14:paraId="7A032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25ACA143">
            <w:pPr>
              <w:spacing w:line="240" w:lineRule="auto"/>
              <w:jc w:val="center"/>
              <w:rPr>
                <w:color w:val="auto"/>
                <w:sz w:val="18"/>
                <w:szCs w:val="18"/>
                <w:highlight w:val="none"/>
              </w:rPr>
            </w:pPr>
            <w:r>
              <w:rPr>
                <w:color w:val="auto"/>
                <w:sz w:val="18"/>
                <w:szCs w:val="18"/>
                <w:highlight w:val="none"/>
              </w:rPr>
              <w:t>自由膨胀率(%)</w:t>
            </w:r>
          </w:p>
        </w:tc>
        <w:tc>
          <w:tcPr>
            <w:tcW w:w="2124" w:type="dxa"/>
            <w:gridSpan w:val="2"/>
            <w:tcBorders>
              <w:tl2br w:val="nil"/>
              <w:tr2bl w:val="nil"/>
            </w:tcBorders>
            <w:noWrap w:val="0"/>
            <w:vAlign w:val="center"/>
          </w:tcPr>
          <w:p w14:paraId="5483BA34">
            <w:pPr>
              <w:spacing w:line="240" w:lineRule="auto"/>
              <w:jc w:val="center"/>
              <w:rPr>
                <w:color w:val="auto"/>
                <w:sz w:val="18"/>
                <w:szCs w:val="18"/>
                <w:highlight w:val="none"/>
              </w:rPr>
            </w:pPr>
            <w:r>
              <w:rPr>
                <w:color w:val="auto"/>
                <w:sz w:val="18"/>
                <w:szCs w:val="18"/>
                <w:highlight w:val="none"/>
              </w:rPr>
              <w:t>≤</w:t>
            </w:r>
            <w:r>
              <w:rPr>
                <w:rFonts w:hint="eastAsia"/>
                <w:color w:val="auto"/>
                <w:sz w:val="18"/>
                <w:szCs w:val="18"/>
                <w:highlight w:val="none"/>
              </w:rPr>
              <w:t>25</w:t>
            </w:r>
          </w:p>
        </w:tc>
        <w:tc>
          <w:tcPr>
            <w:tcW w:w="2142" w:type="dxa"/>
            <w:tcBorders>
              <w:tl2br w:val="nil"/>
              <w:tr2bl w:val="nil"/>
            </w:tcBorders>
            <w:noWrap w:val="0"/>
            <w:vAlign w:val="center"/>
          </w:tcPr>
          <w:p w14:paraId="4EF460FC">
            <w:pPr>
              <w:spacing w:line="240" w:lineRule="auto"/>
              <w:jc w:val="center"/>
              <w:rPr>
                <w:color w:val="auto"/>
                <w:sz w:val="18"/>
                <w:szCs w:val="18"/>
                <w:highlight w:val="none"/>
              </w:rPr>
            </w:pPr>
            <w:r>
              <w:rPr>
                <w:color w:val="auto"/>
                <w:sz w:val="18"/>
                <w:szCs w:val="18"/>
                <w:highlight w:val="none"/>
              </w:rPr>
              <w:t>≤</w:t>
            </w:r>
            <w:r>
              <w:rPr>
                <w:rFonts w:hint="eastAsia"/>
                <w:color w:val="auto"/>
                <w:sz w:val="18"/>
                <w:szCs w:val="18"/>
                <w:highlight w:val="none"/>
              </w:rPr>
              <w:t>30</w:t>
            </w:r>
          </w:p>
        </w:tc>
      </w:tr>
      <w:tr w14:paraId="74E4A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5DB9D852">
            <w:pPr>
              <w:spacing w:line="240" w:lineRule="auto"/>
              <w:jc w:val="center"/>
              <w:rPr>
                <w:color w:val="auto"/>
                <w:sz w:val="18"/>
                <w:szCs w:val="18"/>
                <w:highlight w:val="none"/>
              </w:rPr>
            </w:pPr>
            <w:r>
              <w:rPr>
                <w:color w:val="auto"/>
                <w:sz w:val="18"/>
                <w:szCs w:val="18"/>
                <w:highlight w:val="none"/>
              </w:rPr>
              <w:t>耐崩解性指数(%)</w:t>
            </w:r>
          </w:p>
        </w:tc>
        <w:tc>
          <w:tcPr>
            <w:tcW w:w="2124" w:type="dxa"/>
            <w:gridSpan w:val="2"/>
            <w:tcBorders>
              <w:tl2br w:val="nil"/>
              <w:tr2bl w:val="nil"/>
            </w:tcBorders>
            <w:noWrap w:val="0"/>
            <w:vAlign w:val="center"/>
          </w:tcPr>
          <w:p w14:paraId="47D14699">
            <w:pPr>
              <w:autoSpaceDE w:val="0"/>
              <w:autoSpaceDN w:val="0"/>
              <w:adjustRightInd w:val="0"/>
              <w:spacing w:line="240" w:lineRule="auto"/>
              <w:jc w:val="center"/>
              <w:rPr>
                <w:color w:val="auto"/>
                <w:sz w:val="18"/>
                <w:szCs w:val="18"/>
                <w:highlight w:val="none"/>
              </w:rPr>
            </w:pPr>
            <w:r>
              <w:rPr>
                <w:color w:val="auto"/>
                <w:sz w:val="18"/>
                <w:szCs w:val="18"/>
                <w:highlight w:val="none"/>
              </w:rPr>
              <w:t>≤</w:t>
            </w:r>
            <w:r>
              <w:rPr>
                <w:rFonts w:hint="eastAsia"/>
                <w:color w:val="auto"/>
                <w:sz w:val="18"/>
                <w:szCs w:val="18"/>
                <w:highlight w:val="none"/>
              </w:rPr>
              <w:t>20</w:t>
            </w:r>
          </w:p>
        </w:tc>
        <w:tc>
          <w:tcPr>
            <w:tcW w:w="2142" w:type="dxa"/>
            <w:tcBorders>
              <w:tl2br w:val="nil"/>
              <w:tr2bl w:val="nil"/>
            </w:tcBorders>
            <w:noWrap w:val="0"/>
            <w:vAlign w:val="center"/>
          </w:tcPr>
          <w:p w14:paraId="297861E7">
            <w:pPr>
              <w:autoSpaceDE w:val="0"/>
              <w:autoSpaceDN w:val="0"/>
              <w:adjustRightInd w:val="0"/>
              <w:spacing w:line="240" w:lineRule="auto"/>
              <w:jc w:val="center"/>
              <w:rPr>
                <w:color w:val="auto"/>
                <w:sz w:val="18"/>
                <w:szCs w:val="18"/>
                <w:highlight w:val="none"/>
              </w:rPr>
            </w:pPr>
            <w:r>
              <w:rPr>
                <w:color w:val="auto"/>
                <w:sz w:val="18"/>
                <w:szCs w:val="18"/>
                <w:highlight w:val="none"/>
              </w:rPr>
              <w:t>≤</w:t>
            </w:r>
            <w:r>
              <w:rPr>
                <w:rFonts w:hint="eastAsia"/>
                <w:color w:val="auto"/>
                <w:sz w:val="18"/>
                <w:szCs w:val="18"/>
                <w:highlight w:val="none"/>
              </w:rPr>
              <w:t>25</w:t>
            </w:r>
          </w:p>
        </w:tc>
      </w:tr>
      <w:tr w14:paraId="45A60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383EC2F7">
            <w:pPr>
              <w:tabs>
                <w:tab w:val="left" w:pos="-180"/>
              </w:tabs>
              <w:spacing w:line="240" w:lineRule="auto"/>
              <w:jc w:val="center"/>
              <w:rPr>
                <w:color w:val="auto"/>
                <w:sz w:val="18"/>
                <w:szCs w:val="18"/>
                <w:highlight w:val="none"/>
              </w:rPr>
            </w:pPr>
            <w:r>
              <w:rPr>
                <w:color w:val="auto"/>
                <w:sz w:val="18"/>
                <w:szCs w:val="18"/>
                <w:highlight w:val="none"/>
              </w:rPr>
              <w:t>最大粒径（mm）</w:t>
            </w:r>
          </w:p>
        </w:tc>
        <w:tc>
          <w:tcPr>
            <w:tcW w:w="4266" w:type="dxa"/>
            <w:gridSpan w:val="3"/>
            <w:tcBorders>
              <w:tl2br w:val="nil"/>
              <w:tr2bl w:val="nil"/>
            </w:tcBorders>
            <w:noWrap w:val="0"/>
            <w:vAlign w:val="center"/>
          </w:tcPr>
          <w:p w14:paraId="2E7569DF">
            <w:pPr>
              <w:tabs>
                <w:tab w:val="left" w:pos="-180"/>
              </w:tabs>
              <w:spacing w:line="240" w:lineRule="auto"/>
              <w:jc w:val="center"/>
              <w:rPr>
                <w:color w:val="auto"/>
                <w:sz w:val="18"/>
                <w:szCs w:val="18"/>
                <w:highlight w:val="none"/>
              </w:rPr>
            </w:pPr>
            <w:r>
              <w:rPr>
                <w:color w:val="auto"/>
                <w:sz w:val="18"/>
                <w:szCs w:val="18"/>
                <w:highlight w:val="none"/>
              </w:rPr>
              <w:t>≤100</w:t>
            </w:r>
          </w:p>
        </w:tc>
      </w:tr>
      <w:tr w14:paraId="248C5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456246B0">
            <w:pPr>
              <w:tabs>
                <w:tab w:val="left" w:pos="-180"/>
              </w:tabs>
              <w:spacing w:line="240" w:lineRule="auto"/>
              <w:jc w:val="center"/>
              <w:rPr>
                <w:color w:val="auto"/>
                <w:sz w:val="18"/>
                <w:szCs w:val="18"/>
                <w:highlight w:val="none"/>
              </w:rPr>
            </w:pPr>
            <w:r>
              <w:rPr>
                <w:color w:val="auto"/>
                <w:sz w:val="18"/>
                <w:szCs w:val="18"/>
                <w:highlight w:val="none"/>
              </w:rPr>
              <w:t>碾压遍数（次）</w:t>
            </w:r>
          </w:p>
        </w:tc>
        <w:tc>
          <w:tcPr>
            <w:tcW w:w="4266" w:type="dxa"/>
            <w:gridSpan w:val="3"/>
            <w:tcBorders>
              <w:tl2br w:val="nil"/>
              <w:tr2bl w:val="nil"/>
            </w:tcBorders>
            <w:noWrap w:val="0"/>
            <w:vAlign w:val="center"/>
          </w:tcPr>
          <w:p w14:paraId="1096B546">
            <w:pPr>
              <w:tabs>
                <w:tab w:val="left" w:pos="-180"/>
              </w:tabs>
              <w:spacing w:line="240" w:lineRule="auto"/>
              <w:jc w:val="center"/>
              <w:rPr>
                <w:color w:val="auto"/>
                <w:sz w:val="18"/>
                <w:szCs w:val="18"/>
                <w:highlight w:val="none"/>
              </w:rPr>
            </w:pPr>
            <w:r>
              <w:rPr>
                <w:color w:val="auto"/>
                <w:sz w:val="18"/>
                <w:szCs w:val="18"/>
                <w:highlight w:val="none"/>
              </w:rPr>
              <w:t>8</w:t>
            </w:r>
            <w:r>
              <w:rPr>
                <w:rFonts w:hint="eastAsia" w:ascii="宋体" w:hAnsi="宋体" w:eastAsia="宋体" w:cs="宋体"/>
                <w:color w:val="auto"/>
                <w:sz w:val="18"/>
                <w:szCs w:val="18"/>
                <w:highlight w:val="none"/>
              </w:rPr>
              <w:t>～</w:t>
            </w:r>
            <w:r>
              <w:rPr>
                <w:color w:val="auto"/>
                <w:sz w:val="18"/>
                <w:szCs w:val="18"/>
                <w:highlight w:val="none"/>
              </w:rPr>
              <w:t>10</w:t>
            </w:r>
          </w:p>
        </w:tc>
      </w:tr>
      <w:tr w14:paraId="6CFA8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5F6AD1F1">
            <w:pPr>
              <w:tabs>
                <w:tab w:val="left" w:pos="-180"/>
              </w:tabs>
              <w:spacing w:line="240" w:lineRule="auto"/>
              <w:jc w:val="center"/>
              <w:rPr>
                <w:color w:val="auto"/>
                <w:sz w:val="18"/>
                <w:szCs w:val="18"/>
                <w:highlight w:val="none"/>
              </w:rPr>
            </w:pPr>
            <w:r>
              <w:rPr>
                <w:color w:val="auto"/>
                <w:sz w:val="18"/>
                <w:szCs w:val="18"/>
                <w:highlight w:val="none"/>
              </w:rPr>
              <w:t>碾压速度（m/min）</w:t>
            </w:r>
          </w:p>
        </w:tc>
        <w:tc>
          <w:tcPr>
            <w:tcW w:w="4266" w:type="dxa"/>
            <w:gridSpan w:val="3"/>
            <w:tcBorders>
              <w:tl2br w:val="nil"/>
              <w:tr2bl w:val="nil"/>
            </w:tcBorders>
            <w:noWrap w:val="0"/>
            <w:vAlign w:val="center"/>
          </w:tcPr>
          <w:p w14:paraId="4FA66866">
            <w:pPr>
              <w:tabs>
                <w:tab w:val="left" w:pos="-180"/>
              </w:tabs>
              <w:spacing w:line="240" w:lineRule="auto"/>
              <w:jc w:val="center"/>
              <w:rPr>
                <w:color w:val="auto"/>
                <w:sz w:val="18"/>
                <w:szCs w:val="18"/>
                <w:highlight w:val="none"/>
              </w:rPr>
            </w:pPr>
            <w:r>
              <w:rPr>
                <w:color w:val="auto"/>
                <w:sz w:val="18"/>
                <w:szCs w:val="18"/>
                <w:highlight w:val="none"/>
              </w:rPr>
              <w:t>20</w:t>
            </w:r>
            <w:r>
              <w:rPr>
                <w:rFonts w:hint="eastAsia" w:ascii="宋体" w:hAnsi="宋体" w:eastAsia="宋体" w:cs="宋体"/>
                <w:color w:val="auto"/>
                <w:sz w:val="18"/>
                <w:szCs w:val="18"/>
                <w:highlight w:val="none"/>
              </w:rPr>
              <w:t>～</w:t>
            </w:r>
            <w:r>
              <w:rPr>
                <w:color w:val="auto"/>
                <w:sz w:val="18"/>
                <w:szCs w:val="18"/>
                <w:highlight w:val="none"/>
              </w:rPr>
              <w:t>40</w:t>
            </w:r>
          </w:p>
        </w:tc>
      </w:tr>
      <w:tr w14:paraId="04CAD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5" w:type="dxa"/>
            <w:tcBorders>
              <w:tl2br w:val="nil"/>
              <w:tr2bl w:val="nil"/>
            </w:tcBorders>
            <w:noWrap w:val="0"/>
            <w:vAlign w:val="center"/>
          </w:tcPr>
          <w:p w14:paraId="02C0A243">
            <w:pPr>
              <w:tabs>
                <w:tab w:val="left" w:pos="-180"/>
              </w:tabs>
              <w:spacing w:line="240" w:lineRule="auto"/>
              <w:jc w:val="center"/>
              <w:rPr>
                <w:color w:val="auto"/>
                <w:sz w:val="18"/>
                <w:szCs w:val="18"/>
                <w:highlight w:val="none"/>
              </w:rPr>
            </w:pPr>
            <w:r>
              <w:rPr>
                <w:color w:val="auto"/>
                <w:sz w:val="18"/>
                <w:szCs w:val="18"/>
                <w:highlight w:val="none"/>
              </w:rPr>
              <w:t>台背工后差异沉降量（cm）</w:t>
            </w:r>
          </w:p>
        </w:tc>
        <w:tc>
          <w:tcPr>
            <w:tcW w:w="4266" w:type="dxa"/>
            <w:gridSpan w:val="3"/>
            <w:tcBorders>
              <w:tl2br w:val="nil"/>
              <w:tr2bl w:val="nil"/>
            </w:tcBorders>
            <w:noWrap w:val="0"/>
            <w:vAlign w:val="center"/>
          </w:tcPr>
          <w:p w14:paraId="06F391B3">
            <w:pPr>
              <w:tabs>
                <w:tab w:val="left" w:pos="-180"/>
              </w:tabs>
              <w:spacing w:line="240" w:lineRule="auto"/>
              <w:jc w:val="center"/>
              <w:rPr>
                <w:color w:val="auto"/>
                <w:sz w:val="18"/>
                <w:szCs w:val="18"/>
                <w:highlight w:val="none"/>
              </w:rPr>
            </w:pPr>
            <w:r>
              <w:rPr>
                <w:color w:val="auto"/>
                <w:sz w:val="18"/>
                <w:szCs w:val="18"/>
                <w:highlight w:val="none"/>
              </w:rPr>
              <w:t>≤2</w:t>
            </w:r>
          </w:p>
        </w:tc>
      </w:tr>
    </w:tbl>
    <w:p w14:paraId="75B60D3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color w:val="auto"/>
          <w:sz w:val="21"/>
          <w:szCs w:val="21"/>
          <w:highlight w:val="none"/>
        </w:rPr>
      </w:pPr>
      <w:r>
        <w:rPr>
          <w:rFonts w:hint="eastAsia" w:ascii="黑体" w:hAnsi="黑体" w:eastAsia="黑体" w:cs="黑体"/>
          <w:b w:val="0"/>
          <w:bCs/>
          <w:color w:val="auto"/>
          <w:kern w:val="2"/>
          <w:sz w:val="21"/>
          <w:szCs w:val="21"/>
          <w:highlight w:val="none"/>
          <w:lang w:val="en-US" w:eastAsia="zh-CN" w:bidi="ar-SA"/>
        </w:rPr>
        <w:t>5.4.7</w:t>
      </w:r>
      <w:r>
        <w:rPr>
          <w:rFonts w:hint="eastAsia" w:ascii="黑体" w:hAnsi="黑体" w:eastAsia="黑体" w:cs="黑体"/>
          <w:color w:val="auto"/>
          <w:szCs w:val="21"/>
          <w:highlight w:val="none"/>
        </w:rPr>
        <w:t xml:space="preserve"> </w:t>
      </w:r>
      <w:r>
        <w:rPr>
          <w:rFonts w:hint="eastAsia" w:ascii="宋体" w:hAnsi="宋体" w:eastAsia="宋体" w:cs="宋体"/>
          <w:color w:val="auto"/>
          <w:sz w:val="21"/>
          <w:szCs w:val="21"/>
          <w:highlight w:val="none"/>
          <w:lang w:val="en-US" w:eastAsia="zh-CN"/>
        </w:rPr>
        <w:t>建筑垃圾</w:t>
      </w:r>
      <w:r>
        <w:rPr>
          <w:rFonts w:hint="eastAsia" w:ascii="宋体" w:hAnsi="宋体" w:eastAsia="宋体" w:cs="宋体"/>
          <w:color w:val="auto"/>
          <w:sz w:val="21"/>
          <w:szCs w:val="21"/>
          <w:highlight w:val="none"/>
          <w:lang w:val="en-US"/>
        </w:rPr>
        <w:t>再生材料</w:t>
      </w:r>
      <w:r>
        <w:rPr>
          <w:rFonts w:hint="eastAsia" w:ascii="宋体" w:hAnsi="宋体" w:eastAsia="宋体" w:cs="宋体"/>
          <w:color w:val="auto"/>
          <w:sz w:val="21"/>
          <w:szCs w:val="21"/>
          <w:highlight w:val="none"/>
        </w:rPr>
        <w:t>台背回填应符合下列规定。</w:t>
      </w:r>
    </w:p>
    <w:p w14:paraId="0C93452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color w:val="auto"/>
          <w:highlight w:val="none"/>
          <w:lang w:val="en-US"/>
        </w:rPr>
      </w:pPr>
      <w:r>
        <w:rPr>
          <w:rFonts w:hint="eastAsia" w:ascii="黑体" w:hAnsi="黑体" w:eastAsia="黑体" w:cs="黑体"/>
          <w:b w:val="0"/>
          <w:bCs/>
          <w:color w:val="auto"/>
          <w:kern w:val="2"/>
          <w:sz w:val="21"/>
          <w:szCs w:val="21"/>
          <w:highlight w:val="none"/>
          <w:lang w:val="en-US" w:eastAsia="zh-CN" w:bidi="ar-SA"/>
        </w:rPr>
        <w:t>5.4.7.1</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color w:val="auto"/>
          <w:highlight w:val="none"/>
          <w:lang w:val="en-US"/>
        </w:rPr>
        <w:t>建筑垃圾再生材料台背回填最小承载比应符合表</w:t>
      </w:r>
      <w:r>
        <w:rPr>
          <w:rFonts w:hint="eastAsia" w:ascii="Times New Roman"/>
          <w:color w:val="auto"/>
          <w:highlight w:val="none"/>
          <w:lang w:val="en-US" w:eastAsia="zh-CN"/>
        </w:rPr>
        <w:t>10</w:t>
      </w:r>
      <w:r>
        <w:rPr>
          <w:rFonts w:hint="default" w:ascii="Times New Roman"/>
          <w:color w:val="auto"/>
          <w:highlight w:val="none"/>
          <w:lang w:val="en-US"/>
        </w:rPr>
        <w:t>的规定。</w:t>
      </w:r>
    </w:p>
    <w:p w14:paraId="2DB57BC3">
      <w:pPr>
        <w:adjustRightInd w:val="0"/>
        <w:spacing w:line="360" w:lineRule="auto"/>
        <w:ind w:firstLine="422" w:firstLineChars="200"/>
        <w:jc w:val="center"/>
        <w:textAlignment w:val="baseline"/>
        <w:rPr>
          <w:rFonts w:hint="default" w:ascii="Times New Roman"/>
          <w:color w:val="auto"/>
          <w:highlight w:val="none"/>
          <w:lang w:val="en-US"/>
        </w:rPr>
      </w:pPr>
      <w:r>
        <w:rPr>
          <w:rFonts w:hint="eastAsia"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10</w:t>
      </w:r>
      <w:r>
        <w:rPr>
          <w:rFonts w:hint="eastAsia" w:ascii="Times New Roman" w:hAnsi="Times New Roman" w:eastAsia="宋体" w:cs="Times New Roman"/>
          <w:b/>
          <w:color w:val="auto"/>
          <w:szCs w:val="21"/>
          <w:highlight w:val="none"/>
        </w:rPr>
        <w:t xml:space="preserve">  最小承载比（CBR）（%）</w:t>
      </w:r>
    </w:p>
    <w:tbl>
      <w:tblPr>
        <w:tblStyle w:val="15"/>
        <w:tblW w:w="834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116"/>
        <w:gridCol w:w="1879"/>
        <w:gridCol w:w="1673"/>
        <w:gridCol w:w="1674"/>
      </w:tblGrid>
      <w:tr w14:paraId="42EA28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16" w:type="dxa"/>
            <w:tcBorders>
              <w:tl2br w:val="nil"/>
              <w:tr2bl w:val="nil"/>
            </w:tcBorders>
            <w:vAlign w:val="center"/>
          </w:tcPr>
          <w:p w14:paraId="00C30691">
            <w:pPr>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填料应用部位</w:t>
            </w:r>
          </w:p>
          <w:p w14:paraId="1BFDC2A2">
            <w:pPr>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（路面底面以下深度）（m）</w:t>
            </w:r>
          </w:p>
        </w:tc>
        <w:tc>
          <w:tcPr>
            <w:tcW w:w="1879" w:type="dxa"/>
            <w:tcBorders>
              <w:tl2br w:val="nil"/>
              <w:tr2bl w:val="nil"/>
            </w:tcBorders>
            <w:vAlign w:val="center"/>
          </w:tcPr>
          <w:p w14:paraId="712088EE">
            <w:pPr>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高速公路、一级公路</w:t>
            </w:r>
          </w:p>
        </w:tc>
        <w:tc>
          <w:tcPr>
            <w:tcW w:w="1673" w:type="dxa"/>
            <w:tcBorders>
              <w:tl2br w:val="nil"/>
              <w:tr2bl w:val="nil"/>
            </w:tcBorders>
            <w:vAlign w:val="center"/>
          </w:tcPr>
          <w:p w14:paraId="083208A0">
            <w:pPr>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二级公路</w:t>
            </w:r>
          </w:p>
        </w:tc>
        <w:tc>
          <w:tcPr>
            <w:tcW w:w="1674" w:type="dxa"/>
            <w:tcBorders>
              <w:tl2br w:val="nil"/>
              <w:tr2bl w:val="nil"/>
            </w:tcBorders>
            <w:vAlign w:val="center"/>
          </w:tcPr>
          <w:p w14:paraId="0281A6D7">
            <w:pPr>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三、四级公路</w:t>
            </w:r>
          </w:p>
        </w:tc>
      </w:tr>
      <w:tr w14:paraId="2E3296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16" w:type="dxa"/>
            <w:tcBorders>
              <w:tl2br w:val="nil"/>
              <w:tr2bl w:val="nil"/>
            </w:tcBorders>
            <w:vAlign w:val="center"/>
          </w:tcPr>
          <w:p w14:paraId="2C2ED7A5">
            <w:pPr>
              <w:spacing w:line="360" w:lineRule="auto"/>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2m以内</w:t>
            </w:r>
          </w:p>
        </w:tc>
        <w:tc>
          <w:tcPr>
            <w:tcW w:w="1879" w:type="dxa"/>
            <w:tcBorders>
              <w:tl2br w:val="nil"/>
              <w:tr2bl w:val="nil"/>
            </w:tcBorders>
            <w:vAlign w:val="center"/>
          </w:tcPr>
          <w:p w14:paraId="1C139D40">
            <w:pPr>
              <w:spacing w:line="360" w:lineRule="auto"/>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w:t>
            </w:r>
          </w:p>
        </w:tc>
        <w:tc>
          <w:tcPr>
            <w:tcW w:w="1673" w:type="dxa"/>
            <w:tcBorders>
              <w:tl2br w:val="nil"/>
              <w:tr2bl w:val="nil"/>
            </w:tcBorders>
            <w:vAlign w:val="center"/>
          </w:tcPr>
          <w:p w14:paraId="37845E97">
            <w:pPr>
              <w:spacing w:line="360" w:lineRule="auto"/>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w:t>
            </w:r>
          </w:p>
        </w:tc>
        <w:tc>
          <w:tcPr>
            <w:tcW w:w="1674" w:type="dxa"/>
            <w:tcBorders>
              <w:tl2br w:val="nil"/>
              <w:tr2bl w:val="nil"/>
            </w:tcBorders>
            <w:vAlign w:val="center"/>
          </w:tcPr>
          <w:p w14:paraId="6C2DA57D">
            <w:pPr>
              <w:spacing w:line="360" w:lineRule="auto"/>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w:t>
            </w:r>
          </w:p>
        </w:tc>
      </w:tr>
      <w:tr w14:paraId="75C412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16" w:type="dxa"/>
            <w:tcBorders>
              <w:tl2br w:val="nil"/>
              <w:tr2bl w:val="nil"/>
            </w:tcBorders>
            <w:vAlign w:val="center"/>
          </w:tcPr>
          <w:p w14:paraId="65B39BC8">
            <w:pPr>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2m以下</w:t>
            </w:r>
          </w:p>
        </w:tc>
        <w:tc>
          <w:tcPr>
            <w:tcW w:w="1879" w:type="dxa"/>
            <w:tcBorders>
              <w:tl2br w:val="nil"/>
              <w:tr2bl w:val="nil"/>
            </w:tcBorders>
            <w:vAlign w:val="center"/>
          </w:tcPr>
          <w:p w14:paraId="366C3BCC">
            <w:pPr>
              <w:spacing w:line="360" w:lineRule="auto"/>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w:t>
            </w:r>
          </w:p>
        </w:tc>
        <w:tc>
          <w:tcPr>
            <w:tcW w:w="1673" w:type="dxa"/>
            <w:tcBorders>
              <w:tl2br w:val="nil"/>
              <w:tr2bl w:val="nil"/>
            </w:tcBorders>
            <w:vAlign w:val="center"/>
          </w:tcPr>
          <w:p w14:paraId="713EC96A">
            <w:pPr>
              <w:spacing w:line="360" w:lineRule="auto"/>
              <w:jc w:val="center"/>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4</w:t>
            </w:r>
          </w:p>
        </w:tc>
        <w:tc>
          <w:tcPr>
            <w:tcW w:w="1674" w:type="dxa"/>
            <w:tcBorders>
              <w:tl2br w:val="nil"/>
              <w:tr2bl w:val="nil"/>
            </w:tcBorders>
            <w:vAlign w:val="center"/>
          </w:tcPr>
          <w:p w14:paraId="10C1CC37">
            <w:pPr>
              <w:spacing w:line="360" w:lineRule="auto"/>
              <w:jc w:val="center"/>
              <w:rPr>
                <w:rFonts w:hint="eastAsia" w:asciiTheme="minorEastAsia" w:hAnsiTheme="minorEastAsia" w:eastAsiaTheme="minorEastAsia" w:cstheme="minorEastAsia"/>
                <w:strike/>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w:t>
            </w:r>
          </w:p>
        </w:tc>
      </w:tr>
    </w:tbl>
    <w:p w14:paraId="1D96D45D">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Times New Roman"/>
          <w:color w:val="auto"/>
          <w:highlight w:val="none"/>
          <w:lang w:val="en-US"/>
        </w:rPr>
      </w:pPr>
      <w:r>
        <w:rPr>
          <w:rFonts w:hint="eastAsia" w:ascii="黑体" w:hAnsi="黑体" w:eastAsia="黑体" w:cs="黑体"/>
          <w:b w:val="0"/>
          <w:bCs/>
          <w:color w:val="auto"/>
          <w:kern w:val="2"/>
          <w:sz w:val="21"/>
          <w:szCs w:val="21"/>
          <w:highlight w:val="none"/>
          <w:lang w:val="en-US" w:eastAsia="zh-CN" w:bidi="ar-SA"/>
        </w:rPr>
        <w:t>5.4.7.2</w:t>
      </w:r>
      <w:r>
        <w:rPr>
          <w:rFonts w:hint="eastAsia" w:ascii="Times New Roman" w:hAnsi="Times New Roman" w:eastAsia="宋体" w:cs="Times New Roman"/>
          <w:color w:val="auto"/>
          <w:kern w:val="2"/>
          <w:sz w:val="21"/>
          <w:szCs w:val="21"/>
          <w:highlight w:val="none"/>
          <w:lang w:val="en-US" w:eastAsia="zh-CN" w:bidi="ar-SA"/>
        </w:rPr>
        <w:t xml:space="preserve">  </w:t>
      </w:r>
      <w:r>
        <w:rPr>
          <w:rFonts w:hint="eastAsia" w:ascii="Times New Roman"/>
          <w:color w:val="auto"/>
          <w:highlight w:val="none"/>
          <w:lang w:val="en-US"/>
        </w:rPr>
        <w:t>台</w:t>
      </w:r>
      <w:r>
        <w:rPr>
          <w:rFonts w:hint="default" w:ascii="Times New Roman"/>
          <w:color w:val="auto"/>
          <w:highlight w:val="none"/>
          <w:lang w:val="en-US"/>
        </w:rPr>
        <w:t>背连接过渡段应符合</w:t>
      </w:r>
      <w:r>
        <w:rPr>
          <w:rFonts w:hint="eastAsia" w:ascii="Times New Roman"/>
          <w:color w:val="auto"/>
          <w:highlight w:val="none"/>
          <w:lang w:val="en-US"/>
        </w:rPr>
        <w:t>现行</w:t>
      </w:r>
      <w:r>
        <w:rPr>
          <w:rFonts w:hint="default" w:ascii="Times New Roman"/>
          <w:color w:val="auto"/>
          <w:highlight w:val="none"/>
          <w:lang w:val="en-US"/>
        </w:rPr>
        <w:t>《公路路基设计规范》</w:t>
      </w:r>
      <w:r>
        <w:rPr>
          <w:rFonts w:hint="eastAsia" w:ascii="Times New Roman"/>
          <w:color w:val="auto"/>
          <w:highlight w:val="none"/>
          <w:lang w:val="en-US"/>
        </w:rPr>
        <w:t>（</w:t>
      </w:r>
      <w:r>
        <w:rPr>
          <w:rFonts w:hint="default" w:ascii="Times New Roman"/>
          <w:color w:val="auto"/>
          <w:highlight w:val="none"/>
          <w:lang w:val="en-US"/>
        </w:rPr>
        <w:fldChar w:fldCharType="begin"/>
      </w:r>
      <w:r>
        <w:rPr>
          <w:rFonts w:hint="default" w:ascii="Times New Roman"/>
          <w:color w:val="auto"/>
          <w:highlight w:val="none"/>
          <w:lang w:val="en-US"/>
        </w:rPr>
        <w:instrText xml:space="preserve"> HYPERLINK "http://www.baidu.com/link?url=XwkNuI4upzLwOnKsxsQvo4TPRv_gLlitWacuOqvhtYQ7NABMsp_H_F8jJvSRnT-3" \t "_blank" </w:instrText>
      </w:r>
      <w:r>
        <w:rPr>
          <w:rFonts w:hint="default" w:ascii="Times New Roman"/>
          <w:color w:val="auto"/>
          <w:highlight w:val="none"/>
          <w:lang w:val="en-US"/>
        </w:rPr>
        <w:fldChar w:fldCharType="separate"/>
      </w:r>
      <w:r>
        <w:rPr>
          <w:rFonts w:hint="default" w:ascii="Times New Roman"/>
          <w:color w:val="auto"/>
          <w:highlight w:val="none"/>
          <w:lang w:val="en-US"/>
        </w:rPr>
        <w:t>JTG D</w:t>
      </w:r>
      <w:r>
        <w:rPr>
          <w:rFonts w:hint="eastAsia" w:ascii="Times New Roman"/>
          <w:color w:val="auto"/>
          <w:highlight w:val="none"/>
          <w:lang w:val="en-US"/>
        </w:rPr>
        <w:t>3</w:t>
      </w:r>
      <w:r>
        <w:rPr>
          <w:rFonts w:hint="default" w:ascii="Times New Roman"/>
          <w:color w:val="auto"/>
          <w:highlight w:val="none"/>
          <w:lang w:val="en-US"/>
        </w:rPr>
        <w:t>0</w:t>
      </w:r>
      <w:r>
        <w:rPr>
          <w:rFonts w:hint="default" w:ascii="Times New Roman"/>
          <w:color w:val="auto"/>
          <w:highlight w:val="none"/>
          <w:lang w:val="en-US"/>
        </w:rPr>
        <w:fldChar w:fldCharType="end"/>
      </w:r>
      <w:r>
        <w:rPr>
          <w:rFonts w:hint="eastAsia" w:ascii="Times New Roman"/>
          <w:color w:val="auto"/>
          <w:highlight w:val="none"/>
          <w:lang w:val="en-US"/>
        </w:rPr>
        <w:t>）</w:t>
      </w:r>
      <w:r>
        <w:rPr>
          <w:rFonts w:hint="default" w:ascii="Times New Roman"/>
          <w:color w:val="auto"/>
          <w:highlight w:val="none"/>
          <w:lang w:val="en-US"/>
        </w:rPr>
        <w:t>相关规定，</w:t>
      </w:r>
      <w:r>
        <w:rPr>
          <w:rFonts w:hint="eastAsia" w:ascii="Times New Roman"/>
          <w:color w:val="auto"/>
          <w:highlight w:val="none"/>
          <w:lang w:val="en-US"/>
        </w:rPr>
        <w:t>台</w:t>
      </w:r>
      <w:r>
        <w:rPr>
          <w:rFonts w:hint="default" w:ascii="Times New Roman"/>
          <w:color w:val="auto"/>
          <w:highlight w:val="none"/>
          <w:lang w:val="en-US"/>
        </w:rPr>
        <w:t>背连接过渡段填料应符合路床材料要求</w:t>
      </w:r>
      <w:r>
        <w:rPr>
          <w:rFonts w:hint="eastAsia" w:ascii="Times New Roman"/>
          <w:color w:val="auto"/>
          <w:highlight w:val="none"/>
          <w:lang w:val="en-US"/>
        </w:rPr>
        <w:t>。</w:t>
      </w:r>
    </w:p>
    <w:p w14:paraId="3A612FD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color w:val="auto"/>
          <w:highlight w:val="none"/>
          <w:lang w:val="en-US"/>
        </w:rPr>
      </w:pPr>
      <w:r>
        <w:rPr>
          <w:rFonts w:hint="eastAsia" w:ascii="黑体" w:hAnsi="黑体" w:eastAsia="黑体" w:cs="黑体"/>
          <w:b w:val="0"/>
          <w:bCs/>
          <w:color w:val="auto"/>
          <w:kern w:val="2"/>
          <w:sz w:val="21"/>
          <w:szCs w:val="21"/>
          <w:highlight w:val="none"/>
          <w:lang w:val="en-US" w:eastAsia="zh-CN" w:bidi="ar-SA"/>
        </w:rPr>
        <w:t>5.4.7.3</w:t>
      </w:r>
      <w:r>
        <w:rPr>
          <w:rFonts w:hint="eastAsia" w:ascii="Times New Roman" w:hAnsi="Times New Roman" w:eastAsia="宋体" w:cs="Times New Roman"/>
          <w:b w:val="0"/>
          <w:bCs/>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color w:val="auto"/>
          <w:highlight w:val="none"/>
          <w:lang w:val="en-US"/>
        </w:rPr>
        <w:t>台背地基处理应符合《公路路基施工技术规范》（JTG F10）要求。</w:t>
      </w:r>
    </w:p>
    <w:p w14:paraId="60A632F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color w:val="auto"/>
          <w:highlight w:val="none"/>
          <w:lang w:val="en-US"/>
        </w:rPr>
      </w:pPr>
      <w:r>
        <w:rPr>
          <w:rFonts w:hint="eastAsia" w:ascii="黑体" w:hAnsi="黑体" w:eastAsia="黑体" w:cs="黑体"/>
          <w:b w:val="0"/>
          <w:bCs/>
          <w:color w:val="auto"/>
          <w:kern w:val="2"/>
          <w:sz w:val="21"/>
          <w:szCs w:val="21"/>
          <w:highlight w:val="none"/>
          <w:lang w:val="en-US" w:eastAsia="zh-CN" w:bidi="ar-SA"/>
        </w:rPr>
        <w:t xml:space="preserve">5.4.7.4  </w:t>
      </w:r>
      <w:r>
        <w:rPr>
          <w:rFonts w:hint="eastAsia" w:ascii="Times New Roman"/>
          <w:color w:val="auto"/>
          <w:highlight w:val="none"/>
          <w:lang w:val="en-US"/>
        </w:rPr>
        <w:t>建筑垃圾再生材料台背回填应分层填筑，压实度应满足现行《公路路基施工技术规范》（</w:t>
      </w:r>
      <w:r>
        <w:rPr>
          <w:rFonts w:hint="default" w:ascii="Times New Roman"/>
          <w:color w:val="auto"/>
          <w:highlight w:val="none"/>
          <w:lang w:val="en-US"/>
        </w:rPr>
        <w:t>JTG/T 3610</w:t>
      </w:r>
      <w:r>
        <w:rPr>
          <w:rFonts w:hint="eastAsia" w:ascii="Times New Roman"/>
          <w:color w:val="auto"/>
          <w:highlight w:val="none"/>
          <w:lang w:val="en-US"/>
        </w:rPr>
        <w:t>）要求，涵洞两侧可采用小型压实机具补充压实。</w:t>
      </w:r>
    </w:p>
    <w:p w14:paraId="30AF7F1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color w:val="auto"/>
          <w:highlight w:val="none"/>
          <w:lang w:val="en-US"/>
        </w:rPr>
      </w:pPr>
    </w:p>
    <w:p w14:paraId="19E3D58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b w:val="0"/>
          <w:bCs/>
          <w:color w:val="auto"/>
          <w:kern w:val="2"/>
          <w:sz w:val="24"/>
          <w:szCs w:val="24"/>
          <w:highlight w:val="none"/>
          <w:lang w:val="en-US" w:eastAsia="zh-CN" w:bidi="ar-SA"/>
        </w:rPr>
      </w:pPr>
      <w:r>
        <w:rPr>
          <w:rFonts w:hint="eastAsia" w:ascii="黑体" w:hAnsi="黑体" w:eastAsia="黑体" w:cs="黑体"/>
          <w:b w:val="0"/>
          <w:bCs/>
          <w:color w:val="auto"/>
          <w:kern w:val="2"/>
          <w:sz w:val="24"/>
          <w:szCs w:val="24"/>
          <w:highlight w:val="none"/>
          <w:lang w:val="en-US" w:eastAsia="zh-CN" w:bidi="ar-SA"/>
        </w:rPr>
        <w:t xml:space="preserve">6 </w:t>
      </w:r>
      <w:r>
        <w:rPr>
          <w:rFonts w:hint="eastAsia" w:ascii="Times New Roman" w:hAnsi="Times New Roman" w:eastAsia="宋体" w:cs="Times New Roman"/>
          <w:b/>
          <w:bCs/>
          <w:color w:val="auto"/>
          <w:sz w:val="24"/>
          <w:highlight w:val="none"/>
          <w:lang w:val="en-US" w:eastAsia="zh-CN"/>
        </w:rPr>
        <w:t>公路软弱土地基处治方法</w:t>
      </w:r>
      <w:bookmarkEnd w:id="29"/>
    </w:p>
    <w:p w14:paraId="4B503EC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b w:val="0"/>
          <w:bCs/>
          <w:color w:val="auto"/>
          <w:kern w:val="2"/>
          <w:sz w:val="24"/>
          <w:szCs w:val="24"/>
          <w:highlight w:val="none"/>
          <w:lang w:val="en-US" w:eastAsia="zh-CN" w:bidi="ar-SA"/>
        </w:rPr>
      </w:pPr>
    </w:p>
    <w:p w14:paraId="5243464B">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ascii="黑体" w:hAnsi="黑体" w:eastAsia="黑体" w:cs="黑体"/>
          <w:b w:val="0"/>
          <w:bCs/>
          <w:color w:val="auto"/>
          <w:kern w:val="2"/>
          <w:sz w:val="21"/>
          <w:szCs w:val="21"/>
          <w:highlight w:val="none"/>
          <w:lang w:val="en-US" w:eastAsia="zh-CN" w:bidi="ar-SA"/>
        </w:rPr>
      </w:pPr>
      <w:bookmarkStart w:id="30" w:name="_Toc170244942"/>
      <w:r>
        <w:rPr>
          <w:rFonts w:hint="eastAsia" w:ascii="黑体" w:hAnsi="黑体" w:eastAsia="黑体" w:cs="黑体"/>
          <w:b w:val="0"/>
          <w:bCs/>
          <w:color w:val="auto"/>
          <w:kern w:val="2"/>
          <w:sz w:val="21"/>
          <w:szCs w:val="21"/>
          <w:highlight w:val="none"/>
          <w:lang w:val="en-US" w:eastAsia="zh-CN" w:bidi="ar-SA"/>
        </w:rPr>
        <w:t>6.1 换填法</w:t>
      </w:r>
      <w:bookmarkEnd w:id="30"/>
    </w:p>
    <w:p w14:paraId="436201D7">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6.1.1 </w:t>
      </w:r>
      <w:r>
        <w:rPr>
          <w:rFonts w:ascii="Times New Roman" w:hAnsi="Times New Roman" w:eastAsia="宋体" w:cs="Times New Roman"/>
          <w:color w:val="auto"/>
          <w:szCs w:val="21"/>
          <w:highlight w:val="none"/>
        </w:rPr>
        <w:t>换填法可选用全换填法和浅层换填法，其适用范围应符合下列规定：</w:t>
      </w:r>
    </w:p>
    <w:p w14:paraId="1699F0F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换填法适用于换填材料充足、弃土场容易解决的路段；</w:t>
      </w:r>
    </w:p>
    <w:p w14:paraId="53882563">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对于路线地表为深厚残积细粒土，且地下水丰富时，常水位以下宜考虑采用片石、碎石、砂砾等材料进行换填；</w:t>
      </w:r>
    </w:p>
    <w:p w14:paraId="19E3EEFD">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地基承载力不足的浅层软弱土路段，软弱土厚度不大于</w:t>
      </w:r>
      <w:r>
        <w:rPr>
          <w:rFonts w:hint="eastAsia" w:ascii="Times New Roman" w:hAnsi="Times New Roman" w:eastAsia="宋体" w:cs="Times New Roman"/>
          <w:color w:val="auto"/>
          <w:szCs w:val="21"/>
          <w:highlight w:val="none"/>
          <w:lang w:val="en-US" w:eastAsia="zh-CN"/>
        </w:rPr>
        <w:t>3</w:t>
      </w:r>
      <w:r>
        <w:rPr>
          <w:rFonts w:ascii="Times New Roman" w:hAnsi="Times New Roman" w:eastAsia="宋体" w:cs="Times New Roman"/>
          <w:color w:val="auto"/>
          <w:szCs w:val="21"/>
          <w:highlight w:val="none"/>
        </w:rPr>
        <w:t>.0m，</w:t>
      </w:r>
      <w:r>
        <w:rPr>
          <w:rFonts w:ascii="Times New Roman" w:hAnsi="Times New Roman" w:eastAsia="宋体" w:cs="Times New Roman"/>
          <w:color w:val="auto"/>
          <w:szCs w:val="21"/>
          <w:highlight w:val="none"/>
        </w:rPr>
        <w:t>对于软弱土面积不大的山间沟槽、谷地的换填深度可适当增大；</w:t>
      </w:r>
    </w:p>
    <w:p w14:paraId="5784FCB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软弱土开挖不影响上边坡稳定，不严重影响周围环境及附近设施安全运行的路段。</w:t>
      </w:r>
    </w:p>
    <w:p w14:paraId="3CBCC33E">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6.1.2</w:t>
      </w:r>
      <w:r>
        <w:rPr>
          <w:rFonts w:ascii="Times New Roman" w:hAnsi="Times New Roman" w:eastAsia="宋体" w:cs="Times New Roman"/>
          <w:color w:val="auto"/>
          <w:szCs w:val="21"/>
          <w:highlight w:val="none"/>
        </w:rPr>
        <w:t xml:space="preserve"> 换填基坑底宽不应小于路堤底宽及坡脚排水边沟的范围，最小距离为排水边沟以外1.0m；软弱土基坑临时开挖坡率应满足稳定性要求，参考坡率为1：0.5～1：1</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基坑附近有重要设施时，可考虑做临时基坑防护。</w:t>
      </w:r>
    </w:p>
    <w:p w14:paraId="29B91587">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6.1.3 </w:t>
      </w:r>
      <w:r>
        <w:rPr>
          <w:rFonts w:ascii="Times New Roman" w:hAnsi="Times New Roman" w:eastAsia="宋体" w:cs="Times New Roman"/>
          <w:color w:val="auto"/>
          <w:szCs w:val="21"/>
          <w:highlight w:val="none"/>
        </w:rPr>
        <w:t>对地层岩性为碎屑岩、碳酸盐岩、花岗岩等山区沟谷相软弱土，换填材料选择应贯彻因地制宜原则，优先考虑利用挖方料，地下水匮乏的路段可利用透水性、水稳定性较好的合格挖方料换填；地下水丰富地段，可考虑采用片石＋碎石＋挖方合格土料的复合式结构进行换填</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见图5，复合式换填应符合以下要求：</w:t>
      </w:r>
    </w:p>
    <w:p w14:paraId="7839352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施工常水位以下应采用硬质挖方石碴或片石、碎石、砂砾等材料换填；</w:t>
      </w:r>
    </w:p>
    <w:p w14:paraId="4A372D4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施工常水位以上可根据经济条件选择合格挖方土石料换填或砂石料；</w:t>
      </w:r>
    </w:p>
    <w:p w14:paraId="3934C7E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片石与砂性土之间宜设不小于30cm的调平层，调平层材料可选用级配碎石、未筛分碎石及砂砾等；</w:t>
      </w:r>
    </w:p>
    <w:p w14:paraId="592D53D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在软基换填期间，施工常水位应低于施工碾压作业面以下不小于30cm；</w:t>
      </w:r>
    </w:p>
    <w:p w14:paraId="61E2BF1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不应采用炭质岩、膨胀性岩土、高液限土等水稳性差的材料进行换填。</w:t>
      </w:r>
    </w:p>
    <w:p w14:paraId="3818519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0" distR="0">
            <wp:extent cx="4683125" cy="1478915"/>
            <wp:effectExtent l="0" t="0" r="3175" b="6985"/>
            <wp:docPr id="392" name="Picture 1" descr="C:/Users/22308/Desktop/微信图片_20240806102818.jpg微信图片_202408061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1" descr="C:/Users/22308/Desktop/微信图片_20240806102818.jpg微信图片_20240806102818"/>
                    <pic:cNvPicPr>
                      <a:picLocks noChangeAspect="1"/>
                    </pic:cNvPicPr>
                  </pic:nvPicPr>
                  <pic:blipFill>
                    <a:blip r:embed="rId33"/>
                    <a:srcRect t="6" b="6"/>
                    <a:stretch>
                      <a:fillRect/>
                    </a:stretch>
                  </pic:blipFill>
                  <pic:spPr>
                    <a:xfrm>
                      <a:off x="0" y="0"/>
                      <a:ext cx="4683125" cy="1478915"/>
                    </a:xfrm>
                    <a:prstGeom prst="rect">
                      <a:avLst/>
                    </a:prstGeom>
                  </pic:spPr>
                </pic:pic>
              </a:graphicData>
            </a:graphic>
          </wp:inline>
        </w:drawing>
      </w:r>
    </w:p>
    <w:p w14:paraId="65824C45">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图5 山区沟谷相软弱土地基复合式换填处治示意图</w:t>
      </w:r>
    </w:p>
    <w:p w14:paraId="07AFFF8B">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6.1.4 </w:t>
      </w:r>
      <w:r>
        <w:rPr>
          <w:rFonts w:ascii="Times New Roman" w:hAnsi="Times New Roman" w:eastAsia="宋体" w:cs="Times New Roman"/>
          <w:color w:val="auto"/>
          <w:szCs w:val="21"/>
          <w:highlight w:val="none"/>
        </w:rPr>
        <w:t>对于滨海滩涂地区软弱土，地下水位较高，施工降水困难，可考虑采用海砂＋碎石的复合式结构进行换填</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见图6，复合式换填应符合以下要求：</w:t>
      </w:r>
    </w:p>
    <w:p w14:paraId="0D72490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a）施工常水位以下采用中砂以上粒径的海砂，不得使用粉细砂作为换填材料；</w:t>
      </w:r>
    </w:p>
    <w:p w14:paraId="6831770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b）海砂之上宜设厚度不小于30cm的碎石垫层；</w:t>
      </w:r>
    </w:p>
    <w:p w14:paraId="54581C8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c）海砂和碎石的含泥量应小于5％，渗透性系数大于6×10</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cm／s。</w:t>
      </w:r>
    </w:p>
    <w:p w14:paraId="000DB55F">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5272405" cy="1699260"/>
            <wp:effectExtent l="0" t="0" r="10795" b="2540"/>
            <wp:docPr id="27" name="图片 27" descr="C:/Users/22308/Desktop/微信图片_20240806103636.jpg微信图片_2024080610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22308/Desktop/微信图片_20240806103636.jpg微信图片_20240806103636"/>
                    <pic:cNvPicPr>
                      <a:picLocks noChangeAspect="1"/>
                    </pic:cNvPicPr>
                  </pic:nvPicPr>
                  <pic:blipFill>
                    <a:blip r:embed="rId34"/>
                    <a:srcRect t="54" b="54"/>
                    <a:stretch>
                      <a:fillRect/>
                    </a:stretch>
                  </pic:blipFill>
                  <pic:spPr>
                    <a:xfrm>
                      <a:off x="0" y="0"/>
                      <a:ext cx="5272405" cy="1699260"/>
                    </a:xfrm>
                    <a:prstGeom prst="rect">
                      <a:avLst/>
                    </a:prstGeom>
                  </pic:spPr>
                </pic:pic>
              </a:graphicData>
            </a:graphic>
          </wp:inline>
        </w:drawing>
      </w:r>
    </w:p>
    <w:p w14:paraId="0CF804AE">
      <w:pPr>
        <w:keepNext/>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图6  滨海相软弱土地基复合式换填设计示意图</w:t>
      </w:r>
    </w:p>
    <w:p w14:paraId="02AE46A7">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6.1.5</w:t>
      </w:r>
      <w:r>
        <w:rPr>
          <w:rFonts w:ascii="Times New Roman" w:hAnsi="Times New Roman" w:eastAsia="宋体" w:cs="Times New Roman"/>
          <w:color w:val="auto"/>
          <w:szCs w:val="21"/>
          <w:highlight w:val="none"/>
        </w:rPr>
        <w:t xml:space="preserve"> 公路软基段的涵洞、通道及一般路堤，选用碎石或砂砾垫层对软基进行处治时，垫层的设计需满足构造物或路堤对地基承载力和变形要求，垫层厚度应根据需要置换软弱土的深度或下卧土层的承载力确定，并符合</w:t>
      </w:r>
      <w:r>
        <w:rPr>
          <w:rFonts w:hint="eastAsia" w:ascii="Times New Roman" w:hAnsi="Times New Roman" w:eastAsia="宋体" w:cs="Times New Roman"/>
          <w:color w:val="auto"/>
          <w:szCs w:val="21"/>
          <w:highlight w:val="none"/>
          <w:lang w:val="en-US" w:eastAsia="zh-CN"/>
        </w:rPr>
        <w:t>公式（3）的</w:t>
      </w:r>
      <w:r>
        <w:rPr>
          <w:rFonts w:ascii="Times New Roman" w:hAnsi="Times New Roman" w:eastAsia="宋体" w:cs="Times New Roman"/>
          <w:color w:val="auto"/>
          <w:szCs w:val="21"/>
          <w:highlight w:val="none"/>
        </w:rPr>
        <w:t>要求：</w:t>
      </w:r>
    </w:p>
    <w:p w14:paraId="601D3902">
      <w:pPr>
        <w:spacing w:line="360" w:lineRule="auto"/>
        <w:ind w:firstLine="3360" w:firstLineChars="1600"/>
        <w:jc w:val="center"/>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z</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cz</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az</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  （3）</w:t>
      </w:r>
    </w:p>
    <w:p w14:paraId="62B66975">
      <w:pPr>
        <w:spacing w:line="360" w:lineRule="auto"/>
        <w:ind w:firstLine="2520" w:firstLineChars="120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 xml:space="preserve">条形基础 </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z</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b(</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k</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b+2zt</m:t>
            </m:r>
            <m:r>
              <m:rPr/>
              <w:rPr>
                <w:rFonts w:hint="default" w:ascii="Cambria Math" w:hAnsi="Cambria Math" w:cs="Times New Roman"/>
                <w:color w:val="auto"/>
                <w:szCs w:val="21"/>
                <w:highlight w:val="none"/>
                <w:lang w:val="en-US" w:eastAsia="zh-CN"/>
              </w:rPr>
              <m:t>an</m:t>
            </m:r>
            <m:r>
              <m:rPr/>
              <w:rPr>
                <w:rFonts w:ascii="Cambria Math" w:hAnsi="Cambria Math" w:cs="Times New Roman"/>
                <w:color w:val="auto"/>
                <w:szCs w:val="21"/>
                <w:highlight w:val="none"/>
              </w:rPr>
              <m:t>θ</m:t>
            </m:r>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 （4）</w:t>
      </w:r>
    </w:p>
    <w:p w14:paraId="7028A993">
      <w:pPr>
        <w:spacing w:line="360" w:lineRule="auto"/>
        <w:ind w:firstLine="2940" w:firstLineChars="1400"/>
        <w:jc w:val="center"/>
        <w:rPr>
          <w:rFonts w:hint="default" w:ascii="Times New Roman" w:hAnsi="Times New Roman" w:cs="Times New Roman" w:eastAsiaTheme="minorEastAsia"/>
          <w:color w:val="auto"/>
          <w:szCs w:val="21"/>
          <w:highlight w:val="none"/>
          <w:lang w:val="en-US" w:eastAsia="zh-CN"/>
        </w:rPr>
      </w:pPr>
      <w:r>
        <w:rPr>
          <w:rFonts w:ascii="Times New Roman" w:hAnsi="Times New Roman" w:eastAsia="宋体" w:cs="Times New Roman"/>
          <w:color w:val="auto"/>
          <w:szCs w:val="21"/>
          <w:highlight w:val="none"/>
        </w:rPr>
        <w:t xml:space="preserve">矩形基础 </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z</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bl(</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k</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(b+2zt</m:t>
            </m:r>
            <m:r>
              <m:rPr/>
              <w:rPr>
                <w:rFonts w:hint="default" w:ascii="Cambria Math" w:hAnsi="Cambria Math" w:cs="Times New Roman"/>
                <w:color w:val="auto"/>
                <w:szCs w:val="21"/>
                <w:highlight w:val="none"/>
                <w:lang w:val="en-US" w:eastAsia="zh-CN"/>
              </w:rPr>
              <m:t>an</m:t>
            </m:r>
            <m:r>
              <m:rPr/>
              <w:rPr>
                <w:rFonts w:ascii="Cambria Math" w:hAnsi="Cambria Math" w:cs="Times New Roman"/>
                <w:color w:val="auto"/>
                <w:szCs w:val="21"/>
                <w:highlight w:val="none"/>
              </w:rPr>
              <m:t>θ)(1+2zt</m:t>
            </m:r>
            <m:r>
              <m:rPr/>
              <w:rPr>
                <w:rFonts w:hint="default" w:ascii="Cambria Math" w:hAnsi="Cambria Math" w:cs="Times New Roman"/>
                <w:color w:val="auto"/>
                <w:szCs w:val="21"/>
                <w:highlight w:val="none"/>
                <w:lang w:val="en-US" w:eastAsia="zh-CN"/>
              </w:rPr>
              <m:t>an</m:t>
            </m:r>
            <m:r>
              <m:rPr/>
              <w:rPr>
                <w:rFonts w:ascii="Cambria Math" w:hAnsi="Cambria Math" w:cs="Times New Roman"/>
                <w:color w:val="auto"/>
                <w:szCs w:val="21"/>
                <w:highlight w:val="none"/>
              </w:rPr>
              <m:t>θ)</m:t>
            </m:r>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  （5）</w:t>
      </w:r>
    </w:p>
    <w:p w14:paraId="7896545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1268618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z</w:t>
      </w:r>
      <w:r>
        <w:rPr>
          <w:rFonts w:ascii="Times New Roman" w:hAnsi="Times New Roman" w:eastAsia="宋体" w:cs="Times New Roman"/>
          <w:color w:val="auto"/>
          <w:szCs w:val="21"/>
          <w:highlight w:val="none"/>
        </w:rPr>
        <w:t>——相应于荷载效应标准组合时，垫层底面处的附加压力值（kPa）；</w:t>
      </w:r>
    </w:p>
    <w:p w14:paraId="2399297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cz</w:t>
      </w:r>
      <w:r>
        <w:rPr>
          <w:rFonts w:ascii="Times New Roman" w:hAnsi="Times New Roman" w:eastAsia="宋体" w:cs="Times New Roman"/>
          <w:color w:val="auto"/>
          <w:szCs w:val="21"/>
          <w:highlight w:val="none"/>
        </w:rPr>
        <w:t>——垫层底面处土的自重压力值（kPa）；</w:t>
      </w:r>
    </w:p>
    <w:p w14:paraId="2EEB56A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az</w:t>
      </w:r>
      <w:r>
        <w:rPr>
          <w:rFonts w:ascii="Times New Roman" w:hAnsi="Times New Roman" w:eastAsia="宋体" w:cs="Times New Roman"/>
          <w:color w:val="auto"/>
          <w:szCs w:val="21"/>
          <w:highlight w:val="none"/>
        </w:rPr>
        <w:t>——垫层底面处经深度修正后的地基承载力特征值（kPa）；</w:t>
      </w:r>
    </w:p>
    <w:p w14:paraId="6166B43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b——矩形基础或条形基础底面的宽度（m）；</w:t>
      </w:r>
    </w:p>
    <w:p w14:paraId="5A30795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l——矩形基础底面的长度（m）；</w:t>
      </w:r>
    </w:p>
    <w:p w14:paraId="2B5CAFA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k</w:t>
      </w:r>
      <w:r>
        <w:rPr>
          <w:rFonts w:ascii="Times New Roman" w:hAnsi="Times New Roman" w:eastAsia="宋体" w:cs="Times New Roman"/>
          <w:color w:val="auto"/>
          <w:szCs w:val="21"/>
          <w:highlight w:val="none"/>
        </w:rPr>
        <w:t>——相应于荷载效应标准组合时，基础底面处的平均压力值（kPa）；</w:t>
      </w:r>
    </w:p>
    <w:p w14:paraId="1442965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c</w:t>
      </w:r>
      <w:r>
        <w:rPr>
          <w:rFonts w:ascii="Times New Roman" w:hAnsi="Times New Roman" w:eastAsia="宋体" w:cs="Times New Roman"/>
          <w:color w:val="auto"/>
          <w:szCs w:val="21"/>
          <w:highlight w:val="none"/>
        </w:rPr>
        <w:t>——基础底面处土的自重压力值（kPa）；</w:t>
      </w:r>
    </w:p>
    <w:p w14:paraId="3A4760F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z——基础底面下垫层的厚度（m）；</w:t>
      </w:r>
    </w:p>
    <w:p w14:paraId="0CE1B26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θ——垫层的压力扩散角，可按表1</w:t>
      </w:r>
      <w:r>
        <w:rPr>
          <w:rFonts w:hint="eastAsia" w:ascii="Times New Roman" w:hAnsi="Times New Roman" w:eastAsia="宋体" w:cs="Times New Roman"/>
          <w:color w:val="auto"/>
          <w:szCs w:val="21"/>
          <w:highlight w:val="none"/>
          <w:lang w:val="en-US" w:eastAsia="zh-CN"/>
        </w:rPr>
        <w:t>1</w:t>
      </w:r>
      <w:r>
        <w:rPr>
          <w:rFonts w:ascii="Times New Roman" w:hAnsi="Times New Roman" w:eastAsia="宋体" w:cs="Times New Roman"/>
          <w:color w:val="auto"/>
          <w:szCs w:val="21"/>
          <w:highlight w:val="none"/>
        </w:rPr>
        <w:t>采用。</w:t>
      </w:r>
    </w:p>
    <w:p w14:paraId="2688CA60">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表1</w:t>
      </w:r>
      <w:r>
        <w:rPr>
          <w:rFonts w:hint="eastAsia" w:ascii="Times New Roman" w:hAnsi="Times New Roman" w:eastAsia="宋体" w:cs="Times New Roman"/>
          <w:b/>
          <w:color w:val="auto"/>
          <w:szCs w:val="21"/>
          <w:highlight w:val="none"/>
          <w:lang w:val="en-US" w:eastAsia="zh-CN"/>
        </w:rPr>
        <w:t>1</w:t>
      </w:r>
      <w:r>
        <w:rPr>
          <w:rFonts w:ascii="Times New Roman" w:hAnsi="Times New Roman" w:eastAsia="宋体" w:cs="Times New Roman"/>
          <w:b/>
          <w:color w:val="auto"/>
          <w:szCs w:val="21"/>
          <w:highlight w:val="none"/>
        </w:rPr>
        <w:t xml:space="preserve">  垫层压力扩散角θ</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672"/>
        <w:gridCol w:w="4333"/>
        <w:gridCol w:w="1394"/>
        <w:gridCol w:w="927"/>
      </w:tblGrid>
      <w:tr w14:paraId="01DA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1672" w:type="dxa"/>
            <w:vMerge w:val="restart"/>
            <w:vAlign w:val="center"/>
          </w:tcPr>
          <w:p w14:paraId="03E9E94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z/b</w:t>
            </w:r>
          </w:p>
        </w:tc>
        <w:tc>
          <w:tcPr>
            <w:tcW w:w="6654" w:type="dxa"/>
            <w:gridSpan w:val="3"/>
            <w:vAlign w:val="center"/>
          </w:tcPr>
          <w:p w14:paraId="7DA1755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换填材料</w:t>
            </w:r>
          </w:p>
        </w:tc>
      </w:tr>
      <w:tr w14:paraId="1081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exact"/>
        </w:trPr>
        <w:tc>
          <w:tcPr>
            <w:tcW w:w="1672" w:type="dxa"/>
            <w:vMerge w:val="continue"/>
            <w:vAlign w:val="center"/>
          </w:tcPr>
          <w:p w14:paraId="05F242C7">
            <w:pPr>
              <w:spacing w:line="360" w:lineRule="auto"/>
              <w:jc w:val="center"/>
              <w:rPr>
                <w:rFonts w:ascii="Times New Roman" w:hAnsi="Times New Roman" w:eastAsia="宋体" w:cs="Times New Roman"/>
                <w:color w:val="auto"/>
                <w:sz w:val="18"/>
                <w:szCs w:val="18"/>
                <w:highlight w:val="none"/>
              </w:rPr>
            </w:pPr>
          </w:p>
        </w:tc>
        <w:tc>
          <w:tcPr>
            <w:tcW w:w="4333" w:type="dxa"/>
            <w:vAlign w:val="center"/>
          </w:tcPr>
          <w:p w14:paraId="6886207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中砂、粗砂、砾砂、圆砾、角砾、石屑、卵石、碎石、矿渣</w:t>
            </w:r>
          </w:p>
        </w:tc>
        <w:tc>
          <w:tcPr>
            <w:tcW w:w="1394" w:type="dxa"/>
            <w:vAlign w:val="center"/>
          </w:tcPr>
          <w:p w14:paraId="0C16408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黏性土、粉质土</w:t>
            </w:r>
          </w:p>
        </w:tc>
        <w:tc>
          <w:tcPr>
            <w:tcW w:w="927" w:type="dxa"/>
            <w:vAlign w:val="center"/>
          </w:tcPr>
          <w:p w14:paraId="56BF1B2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灰土</w:t>
            </w:r>
          </w:p>
        </w:tc>
      </w:tr>
      <w:tr w14:paraId="679C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1672" w:type="dxa"/>
            <w:vAlign w:val="center"/>
          </w:tcPr>
          <w:p w14:paraId="480A09B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0.25</w:t>
            </w:r>
          </w:p>
        </w:tc>
        <w:tc>
          <w:tcPr>
            <w:tcW w:w="4333" w:type="dxa"/>
            <w:vAlign w:val="center"/>
          </w:tcPr>
          <w:p w14:paraId="00BFA06E">
            <w:pPr>
              <w:spacing w:line="360" w:lineRule="auto"/>
              <w:jc w:val="center"/>
              <w:rPr>
                <w:rFonts w:hint="eastAsia"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20</w:t>
            </w:r>
            <w:r>
              <w:rPr>
                <w:rFonts w:hint="eastAsia" w:ascii="Times New Roman" w:hAnsi="Times New Roman" w:eastAsia="宋体" w:cs="Times New Roman"/>
                <w:color w:val="auto"/>
                <w:sz w:val="18"/>
                <w:szCs w:val="18"/>
                <w:highlight w:val="none"/>
                <w:lang w:val="en-US" w:eastAsia="zh-CN"/>
              </w:rPr>
              <w:t>°</w:t>
            </w:r>
          </w:p>
        </w:tc>
        <w:tc>
          <w:tcPr>
            <w:tcW w:w="1394" w:type="dxa"/>
            <w:vAlign w:val="center"/>
          </w:tcPr>
          <w:p w14:paraId="790A1B1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w:t>
            </w:r>
            <w:r>
              <w:rPr>
                <w:rFonts w:hint="eastAsia" w:ascii="Times New Roman" w:hAnsi="Times New Roman" w:eastAsia="宋体" w:cs="Times New Roman"/>
                <w:color w:val="auto"/>
                <w:sz w:val="18"/>
                <w:szCs w:val="18"/>
                <w:highlight w:val="none"/>
                <w:lang w:val="en-US" w:eastAsia="zh-CN"/>
              </w:rPr>
              <w:t>°</w:t>
            </w:r>
          </w:p>
        </w:tc>
        <w:tc>
          <w:tcPr>
            <w:tcW w:w="927" w:type="dxa"/>
            <w:vMerge w:val="restart"/>
            <w:vAlign w:val="center"/>
          </w:tcPr>
          <w:p w14:paraId="24F1303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28</w:t>
            </w:r>
            <w:r>
              <w:rPr>
                <w:rFonts w:hint="eastAsia" w:ascii="Times New Roman" w:hAnsi="Times New Roman" w:eastAsia="宋体" w:cs="Times New Roman"/>
                <w:color w:val="auto"/>
                <w:sz w:val="18"/>
                <w:szCs w:val="18"/>
                <w:highlight w:val="none"/>
                <w:lang w:val="en-US" w:eastAsia="zh-CN"/>
              </w:rPr>
              <w:t>°</w:t>
            </w:r>
          </w:p>
        </w:tc>
      </w:tr>
      <w:tr w14:paraId="76B8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1672" w:type="dxa"/>
            <w:vAlign w:val="center"/>
          </w:tcPr>
          <w:p w14:paraId="67092585">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0.50</w:t>
            </w:r>
          </w:p>
        </w:tc>
        <w:tc>
          <w:tcPr>
            <w:tcW w:w="4333" w:type="dxa"/>
            <w:vAlign w:val="center"/>
          </w:tcPr>
          <w:p w14:paraId="3CD11D9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30</w:t>
            </w:r>
            <w:r>
              <w:rPr>
                <w:rFonts w:hint="eastAsia" w:ascii="Times New Roman" w:hAnsi="Times New Roman" w:eastAsia="宋体" w:cs="Times New Roman"/>
                <w:color w:val="auto"/>
                <w:sz w:val="18"/>
                <w:szCs w:val="18"/>
                <w:highlight w:val="none"/>
                <w:lang w:val="en-US" w:eastAsia="zh-CN"/>
              </w:rPr>
              <w:t>°</w:t>
            </w:r>
          </w:p>
        </w:tc>
        <w:tc>
          <w:tcPr>
            <w:tcW w:w="1394" w:type="dxa"/>
            <w:vAlign w:val="center"/>
          </w:tcPr>
          <w:p w14:paraId="73D73F4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23</w:t>
            </w:r>
            <w:r>
              <w:rPr>
                <w:rFonts w:hint="eastAsia" w:ascii="Times New Roman" w:hAnsi="Times New Roman" w:eastAsia="宋体" w:cs="Times New Roman"/>
                <w:color w:val="auto"/>
                <w:sz w:val="18"/>
                <w:szCs w:val="18"/>
                <w:highlight w:val="none"/>
                <w:lang w:val="en-US" w:eastAsia="zh-CN"/>
              </w:rPr>
              <w:t>°</w:t>
            </w:r>
          </w:p>
        </w:tc>
        <w:tc>
          <w:tcPr>
            <w:tcW w:w="927" w:type="dxa"/>
            <w:vMerge w:val="continue"/>
            <w:vAlign w:val="center"/>
          </w:tcPr>
          <w:p w14:paraId="382C9CA5">
            <w:pPr>
              <w:spacing w:line="360" w:lineRule="auto"/>
              <w:jc w:val="center"/>
              <w:rPr>
                <w:rFonts w:ascii="Times New Roman" w:hAnsi="Times New Roman" w:eastAsia="宋体" w:cs="Times New Roman"/>
                <w:color w:val="auto"/>
                <w:sz w:val="18"/>
                <w:szCs w:val="18"/>
                <w:highlight w:val="none"/>
              </w:rPr>
            </w:pPr>
          </w:p>
        </w:tc>
      </w:tr>
      <w:tr w14:paraId="4617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atLeast"/>
        </w:trPr>
        <w:tc>
          <w:tcPr>
            <w:tcW w:w="8326" w:type="dxa"/>
            <w:gridSpan w:val="4"/>
            <w:vAlign w:val="center"/>
          </w:tcPr>
          <w:p w14:paraId="37B5D290">
            <w:pPr>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当z／b＜0.25时，除灰土取</w:t>
            </w:r>
            <w:r>
              <w:rPr>
                <w:rFonts w:ascii="Times New Roman" w:hAnsi="Times New Roman" w:eastAsia="宋体" w:cs="Times New Roman"/>
                <w:color w:val="auto"/>
                <w:szCs w:val="21"/>
                <w:highlight w:val="none"/>
              </w:rPr>
              <w:t>θ</w:t>
            </w:r>
            <w:r>
              <w:rPr>
                <w:rFonts w:ascii="Times New Roman" w:hAnsi="Times New Roman" w:eastAsia="宋体" w:cs="Times New Roman"/>
                <w:color w:val="auto"/>
                <w:sz w:val="18"/>
                <w:szCs w:val="18"/>
                <w:highlight w:val="none"/>
              </w:rPr>
              <w:t>＝28</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外，其他材料均取</w:t>
            </w:r>
            <w:r>
              <w:rPr>
                <w:rFonts w:ascii="Times New Roman" w:hAnsi="Times New Roman" w:eastAsia="宋体" w:cs="Times New Roman"/>
                <w:color w:val="auto"/>
                <w:szCs w:val="21"/>
                <w:highlight w:val="none"/>
              </w:rPr>
              <w:t>θ</w:t>
            </w:r>
            <w:r>
              <w:rPr>
                <w:rFonts w:ascii="Times New Roman" w:hAnsi="Times New Roman" w:eastAsia="宋体" w:cs="Times New Roman"/>
                <w:color w:val="auto"/>
                <w:sz w:val="18"/>
                <w:szCs w:val="18"/>
                <w:highlight w:val="none"/>
              </w:rPr>
              <w:t>＝0</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，必要时宜由试验确定。</w:t>
            </w:r>
          </w:p>
          <w:p w14:paraId="5DEA03A8">
            <w:pPr>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当0.25＜z／b＜0.5时，可内插确定取值。</w:t>
            </w:r>
          </w:p>
        </w:tc>
      </w:tr>
    </w:tbl>
    <w:p w14:paraId="22296DD2">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6.1.6</w:t>
      </w:r>
      <w:r>
        <w:rPr>
          <w:rFonts w:ascii="Times New Roman" w:hAnsi="Times New Roman" w:eastAsia="宋体" w:cs="Times New Roman"/>
          <w:color w:val="auto"/>
          <w:szCs w:val="21"/>
          <w:highlight w:val="none"/>
        </w:rPr>
        <w:t xml:space="preserve"> 垫层底面的宽度应满足应力扩散的要求，可按</w:t>
      </w:r>
      <w:r>
        <w:rPr>
          <w:rFonts w:hint="eastAsia" w:ascii="Times New Roman" w:hAnsi="Times New Roman" w:eastAsia="宋体" w:cs="Times New Roman"/>
          <w:color w:val="auto"/>
          <w:szCs w:val="21"/>
          <w:highlight w:val="none"/>
          <w:lang w:val="en-US" w:eastAsia="zh-CN"/>
        </w:rPr>
        <w:t>公式（6）</w:t>
      </w:r>
      <w:r>
        <w:rPr>
          <w:rFonts w:ascii="Times New Roman" w:hAnsi="Times New Roman" w:eastAsia="宋体" w:cs="Times New Roman"/>
          <w:color w:val="auto"/>
          <w:szCs w:val="21"/>
          <w:highlight w:val="none"/>
        </w:rPr>
        <w:t>确定：</w:t>
      </w:r>
    </w:p>
    <w:p w14:paraId="34875A88">
      <w:pPr>
        <w:spacing w:line="360" w:lineRule="auto"/>
        <w:jc w:val="both"/>
        <w:rPr>
          <w:rFonts w:hint="default" w:ascii="Times New Roman" w:hAnsi="Times New Roman" w:cs="Times New Roman" w:eastAsiaTheme="minorEastAsia"/>
          <w:color w:val="auto"/>
          <w:szCs w:val="21"/>
          <w:highlight w:val="none"/>
          <w:lang w:val="en-US" w:eastAsia="zh-CN"/>
        </w:rPr>
      </w:pPr>
      <w:bookmarkStart w:id="31" w:name="_Hlk170676778"/>
      <w:r>
        <w:rPr>
          <w:rFonts w:hint="eastAsia" w:hAnsi="Cambria Math" w:cs="Times New Roman"/>
          <w:i w:val="0"/>
          <w:color w:val="auto"/>
          <w:szCs w:val="21"/>
          <w:highlight w:val="none"/>
          <w:lang w:val="en-US" w:eastAsia="zh-CN"/>
        </w:rPr>
        <w:t xml:space="preserve">                                </w:t>
      </w:r>
      <m:oMath>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b</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m:t>
            </m:r>
            <w:bookmarkEnd w:id="31"/>
            <m:ctrlPr>
              <w:rPr>
                <w:rFonts w:ascii="Cambria Math" w:hAnsi="Cambria Math" w:cs="Times New Roman"/>
                <w:i/>
                <w:color w:val="auto"/>
                <w:szCs w:val="21"/>
                <w:highlight w:val="none"/>
              </w:rPr>
            </m:ctrlPr>
          </m:sup>
        </m:sSup>
        <m:r>
          <m:rPr/>
          <w:rPr>
            <w:rFonts w:ascii="Cambria Math" w:hAnsi="Cambria Math" w:cs="Times New Roman"/>
            <w:color w:val="auto"/>
            <w:szCs w:val="21"/>
            <w:highlight w:val="none"/>
          </w:rPr>
          <m:t>≥b+2zt</m:t>
        </m:r>
        <m:r>
          <m:rPr/>
          <w:rPr>
            <w:rFonts w:hint="default" w:ascii="Cambria Math" w:hAnsi="Cambria Math" w:cs="Times New Roman"/>
            <w:color w:val="auto"/>
            <w:szCs w:val="21"/>
            <w:highlight w:val="none"/>
            <w:lang w:val="en-US" w:eastAsia="zh-CN"/>
          </w:rPr>
          <m:t>an</m:t>
        </m:r>
        <m:r>
          <m:rPr/>
          <w:rPr>
            <w:rFonts w:ascii="Cambria Math" w:hAnsi="Cambria Math" w:cs="Times New Roman"/>
            <w:color w:val="auto"/>
            <w:szCs w:val="21"/>
            <w:highlight w:val="none"/>
          </w:rPr>
          <m:t>θ</m:t>
        </m:r>
      </m:oMath>
      <w:r>
        <w:rPr>
          <w:rFonts w:hint="eastAsia" w:hAnsi="Cambria Math" w:cs="Times New Roman"/>
          <w:i w:val="0"/>
          <w:color w:val="auto"/>
          <w:szCs w:val="21"/>
          <w:highlight w:val="none"/>
          <w:lang w:val="en-US" w:eastAsia="zh-CN"/>
        </w:rPr>
        <w:t>.............................................................（6）</w:t>
      </w:r>
    </w:p>
    <w:p w14:paraId="1725167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5771BAD3">
      <w:pPr>
        <w:spacing w:line="360" w:lineRule="auto"/>
        <w:ind w:firstLine="420" w:firstLineChars="200"/>
        <w:rPr>
          <w:rFonts w:ascii="Times New Roman" w:hAnsi="Times New Roman" w:eastAsia="宋体" w:cs="Times New Roman"/>
          <w:color w:val="auto"/>
          <w:szCs w:val="21"/>
          <w:highlight w:val="none"/>
        </w:rPr>
      </w:pPr>
      <m:oMath>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b</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sup>
        </m:sSup>
      </m:oMath>
      <w:r>
        <w:rPr>
          <w:rFonts w:ascii="Times New Roman" w:hAnsi="Times New Roman" w:eastAsia="宋体" w:cs="Times New Roman"/>
          <w:color w:val="auto"/>
          <w:szCs w:val="21"/>
          <w:highlight w:val="none"/>
        </w:rPr>
        <w:t>——垫层底面宽度（m）；</w:t>
      </w:r>
    </w:p>
    <w:p w14:paraId="0F5D155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θ——压力扩散角，按表1</w:t>
      </w:r>
      <w:r>
        <w:rPr>
          <w:rFonts w:hint="eastAsia" w:ascii="Times New Roman" w:hAnsi="Times New Roman" w:eastAsia="宋体" w:cs="Times New Roman"/>
          <w:color w:val="auto"/>
          <w:szCs w:val="21"/>
          <w:highlight w:val="none"/>
          <w:lang w:val="en-US" w:eastAsia="zh-CN"/>
        </w:rPr>
        <w:t>1</w:t>
      </w:r>
      <w:r>
        <w:rPr>
          <w:rFonts w:ascii="Times New Roman" w:hAnsi="Times New Roman" w:eastAsia="宋体" w:cs="Times New Roman"/>
          <w:color w:val="auto"/>
          <w:szCs w:val="21"/>
          <w:highlight w:val="none"/>
        </w:rPr>
        <w:t>取值。</w:t>
      </w:r>
    </w:p>
    <w:p w14:paraId="71676D35">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6.1.7 </w:t>
      </w:r>
      <w:r>
        <w:rPr>
          <w:rFonts w:ascii="Times New Roman" w:hAnsi="Times New Roman" w:eastAsia="宋体" w:cs="Times New Roman"/>
          <w:color w:val="auto"/>
          <w:szCs w:val="21"/>
          <w:highlight w:val="none"/>
        </w:rPr>
        <w:t>换填法施工应符合以下技术要求：</w:t>
      </w:r>
    </w:p>
    <w:p w14:paraId="6AD9F5E1">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正式换填施工前，应先进行清表和开沟排水，利用轻型触探查明地基承载力和确定</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开挖深度，并宜通过开挖试验确定换填基坑合理边坡值；</w:t>
      </w:r>
    </w:p>
    <w:p w14:paraId="78288E1D">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基坑内应设置临时集水井和排水沟，及时抽排坑内积水，将地下水降低至施工常水位；</w:t>
      </w:r>
    </w:p>
    <w:p w14:paraId="5A393D4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开挖到预定开挖深度后，应采用轻型触探核实坑底地基承载力是否满足要求；</w:t>
      </w:r>
    </w:p>
    <w:p w14:paraId="3820D43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基坑底为斜坡处，应开挖台阶；</w:t>
      </w:r>
    </w:p>
    <w:p w14:paraId="364112C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基坑开挖与回填宜分段进行，开挖后应及时组织验收和回填，不应暴露过久或浸水；</w:t>
      </w:r>
    </w:p>
    <w:p w14:paraId="2A925B1B">
      <w:pPr>
        <w:tabs>
          <w:tab w:val="left" w:pos="420"/>
        </w:tabs>
        <w:spacing w:line="360" w:lineRule="auto"/>
        <w:ind w:left="840" w:leftChars="200" w:hanging="420" w:hanging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f）</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硬质开山石碴、片石、碎石、砂砾等材料可用于水下回填，挖方土石混合料、砂性土等材料应用于施工常水位以上换填</w:t>
      </w:r>
      <w:r>
        <w:rPr>
          <w:rFonts w:hint="eastAsia" w:ascii="Times New Roman" w:hAnsi="Times New Roman" w:eastAsia="宋体" w:cs="Times New Roman"/>
          <w:color w:val="auto"/>
          <w:szCs w:val="21"/>
          <w:highlight w:val="none"/>
          <w:lang w:eastAsia="zh-CN"/>
        </w:rPr>
        <w:t>。</w:t>
      </w:r>
    </w:p>
    <w:p w14:paraId="28241277">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6.1.8 </w:t>
      </w:r>
      <w:r>
        <w:rPr>
          <w:rFonts w:ascii="Times New Roman" w:hAnsi="Times New Roman" w:eastAsia="宋体" w:cs="Times New Roman"/>
          <w:color w:val="auto"/>
          <w:szCs w:val="21"/>
          <w:highlight w:val="none"/>
        </w:rPr>
        <w:t>换填部分应分层检测压实度，片石和碎石的压实程度应按沉降差小于2mm控制，其余砂土料压实度应达到93％以上，局部困难地段的压实度可适当放宽至90％以上，检测方法应符合JTG F80／1的相关规定。</w:t>
      </w:r>
    </w:p>
    <w:p w14:paraId="76765D9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b w:val="0"/>
          <w:bCs/>
          <w:color w:val="auto"/>
          <w:kern w:val="2"/>
          <w:sz w:val="21"/>
          <w:szCs w:val="21"/>
          <w:highlight w:val="none"/>
          <w:lang w:val="en-US" w:eastAsia="zh-CN" w:bidi="ar-SA"/>
        </w:rPr>
      </w:pPr>
      <w:bookmarkStart w:id="32" w:name="_Toc170244943"/>
      <w:r>
        <w:rPr>
          <w:rFonts w:hint="eastAsia" w:ascii="黑体" w:hAnsi="黑体" w:eastAsia="黑体" w:cs="黑体"/>
          <w:b w:val="0"/>
          <w:bCs/>
          <w:color w:val="auto"/>
          <w:kern w:val="2"/>
          <w:sz w:val="21"/>
          <w:szCs w:val="21"/>
          <w:highlight w:val="none"/>
          <w:lang w:val="en-US" w:eastAsia="zh-CN" w:bidi="ar-SA"/>
        </w:rPr>
        <w:t>6.2 土工合成材料加筋法</w:t>
      </w:r>
      <w:bookmarkEnd w:id="32"/>
    </w:p>
    <w:p w14:paraId="3B5154DA">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ascii="Times New Roman" w:hAnsi="Times New Roman" w:eastAsia="宋体" w:cs="Times New Roman"/>
          <w:bCs/>
          <w:color w:val="auto"/>
          <w:szCs w:val="21"/>
          <w:highlight w:val="none"/>
        </w:rPr>
      </w:pPr>
      <w:r>
        <w:rPr>
          <w:rFonts w:hint="eastAsia" w:ascii="黑体" w:hAnsi="黑体" w:eastAsia="黑体" w:cs="黑体"/>
          <w:b w:val="0"/>
          <w:bCs/>
          <w:color w:val="auto"/>
          <w:kern w:val="2"/>
          <w:sz w:val="21"/>
          <w:szCs w:val="21"/>
          <w:highlight w:val="none"/>
          <w:lang w:val="en-US" w:eastAsia="zh-CN" w:bidi="ar-SA"/>
        </w:rPr>
        <w:t>6.2.1</w:t>
      </w:r>
      <w:r>
        <w:rPr>
          <w:rFonts w:hint="eastAsia" w:ascii="黑体" w:hAnsi="黑体" w:eastAsia="黑体" w:cs="黑体"/>
          <w:bCs/>
          <w:color w:val="auto"/>
          <w:szCs w:val="21"/>
          <w:highlight w:val="none"/>
        </w:rPr>
        <w:t xml:space="preserve"> 土工合成材料选择及设计</w:t>
      </w:r>
    </w:p>
    <w:p w14:paraId="224796C6">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6.2.1.1 </w:t>
      </w:r>
      <w:r>
        <w:rPr>
          <w:rFonts w:ascii="Times New Roman" w:hAnsi="Times New Roman" w:eastAsia="宋体" w:cs="Times New Roman"/>
          <w:color w:val="auto"/>
          <w:szCs w:val="21"/>
          <w:highlight w:val="none"/>
        </w:rPr>
        <w:t>存在软弱土或软弱土地基的路基填挖交界处、高填与陡坡路堤、新旧路基拼接处、路基与桥涵结构物结合处，以及软弱土路堤、不同地基处理方法交界处等路段，可采用土工合成材料</w:t>
      </w:r>
      <w:r>
        <w:rPr>
          <w:rFonts w:hint="eastAsia" w:ascii="Times New Roman" w:hAnsi="Times New Roman" w:eastAsia="宋体" w:cs="Times New Roman"/>
          <w:color w:val="auto"/>
          <w:szCs w:val="21"/>
          <w:highlight w:val="none"/>
          <w:lang w:val="en-US" w:eastAsia="zh-CN"/>
        </w:rPr>
        <w:t>降低</w:t>
      </w:r>
      <w:r>
        <w:rPr>
          <w:rFonts w:ascii="Times New Roman" w:hAnsi="Times New Roman" w:eastAsia="宋体" w:cs="Times New Roman"/>
          <w:color w:val="auto"/>
          <w:szCs w:val="21"/>
          <w:highlight w:val="none"/>
        </w:rPr>
        <w:t>软弱土路基的不均匀沉降和增强软弱土路基的稳定性。</w:t>
      </w:r>
    </w:p>
    <w:p w14:paraId="0FDF86C7">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6.2.1.2 </w:t>
      </w:r>
      <w:r>
        <w:rPr>
          <w:rFonts w:ascii="Times New Roman" w:hAnsi="Times New Roman" w:eastAsia="宋体" w:cs="Times New Roman"/>
          <w:color w:val="auto"/>
          <w:szCs w:val="21"/>
          <w:highlight w:val="none"/>
        </w:rPr>
        <w:t>根据不同地质条件、路堤填土高度、软弱土处治方法等情况，土工合成材料应与砂砾垫层、碎石垫层、复合地基等软弱地基处理措施结合，采用土工合成材料防治不均匀沉降时，应先做好地基处理。</w:t>
      </w:r>
    </w:p>
    <w:p w14:paraId="3C7900AF">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6.2.1.3</w:t>
      </w:r>
      <w:r>
        <w:rPr>
          <w:rFonts w:ascii="Times New Roman" w:hAnsi="Times New Roman" w:eastAsia="宋体" w:cs="Times New Roman"/>
          <w:color w:val="auto"/>
          <w:szCs w:val="21"/>
          <w:highlight w:val="none"/>
        </w:rPr>
        <w:t xml:space="preserve"> 防治路基不均匀沉降时宜采用整体性和耐久性好、强度高、变形小的双向或三向土工格栅、高强土工织物、土工格室等土工材料，主要用于增强软弱土路基稳定性时，也可采用单向土工格栅或土工格室。土工合成材料性能应满足表1</w:t>
      </w:r>
      <w:r>
        <w:rPr>
          <w:rFonts w:hint="eastAsia" w:ascii="Times New Roman" w:hAnsi="Times New Roman" w:eastAsia="宋体" w:cs="Times New Roman"/>
          <w:color w:val="auto"/>
          <w:szCs w:val="21"/>
          <w:highlight w:val="none"/>
          <w:lang w:val="en-US" w:eastAsia="zh-CN"/>
        </w:rPr>
        <w:t>2</w:t>
      </w:r>
      <w:r>
        <w:rPr>
          <w:rFonts w:ascii="Times New Roman" w:hAnsi="Times New Roman" w:eastAsia="宋体" w:cs="Times New Roman"/>
          <w:color w:val="auto"/>
          <w:szCs w:val="21"/>
          <w:highlight w:val="none"/>
        </w:rPr>
        <w:t>要求。</w:t>
      </w:r>
    </w:p>
    <w:p w14:paraId="16C1208D">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表1</w:t>
      </w:r>
      <w:r>
        <w:rPr>
          <w:rFonts w:hint="eastAsia" w:ascii="Times New Roman" w:hAnsi="Times New Roman" w:eastAsia="宋体" w:cs="Times New Roman"/>
          <w:b/>
          <w:color w:val="auto"/>
          <w:szCs w:val="21"/>
          <w:highlight w:val="none"/>
          <w:lang w:val="en-US" w:eastAsia="zh-CN"/>
        </w:rPr>
        <w:t>2</w:t>
      </w:r>
      <w:r>
        <w:rPr>
          <w:rFonts w:ascii="Times New Roman" w:hAnsi="Times New Roman" w:eastAsia="宋体" w:cs="Times New Roman"/>
          <w:b/>
          <w:color w:val="auto"/>
          <w:szCs w:val="21"/>
          <w:highlight w:val="none"/>
        </w:rPr>
        <w:t xml:space="preserve">  软弱土地基处治常用土工合成材料要求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373"/>
        <w:gridCol w:w="5953"/>
      </w:tblGrid>
      <w:tr w14:paraId="1D1D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373" w:type="dxa"/>
            <w:vAlign w:val="center"/>
          </w:tcPr>
          <w:p w14:paraId="1E5B8B54">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材料名称</w:t>
            </w:r>
          </w:p>
        </w:tc>
        <w:tc>
          <w:tcPr>
            <w:tcW w:w="5953" w:type="dxa"/>
            <w:vAlign w:val="center"/>
          </w:tcPr>
          <w:p w14:paraId="1C54CE0F">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技术要求</w:t>
            </w:r>
          </w:p>
        </w:tc>
      </w:tr>
      <w:tr w14:paraId="5214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373" w:type="dxa"/>
            <w:vAlign w:val="center"/>
          </w:tcPr>
          <w:p w14:paraId="57766A2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土工格栅、高强土工织物</w:t>
            </w:r>
          </w:p>
        </w:tc>
        <w:tc>
          <w:tcPr>
            <w:tcW w:w="5953" w:type="dxa"/>
            <w:vAlign w:val="center"/>
          </w:tcPr>
          <w:p w14:paraId="665AA47A">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极限抗拉强度</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50kN／m，2％伸长率时的抗拉强度</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20kN／m</w:t>
            </w:r>
          </w:p>
        </w:tc>
      </w:tr>
      <w:tr w14:paraId="60EE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exact"/>
        </w:trPr>
        <w:tc>
          <w:tcPr>
            <w:tcW w:w="2373" w:type="dxa"/>
            <w:vAlign w:val="center"/>
          </w:tcPr>
          <w:p w14:paraId="100F766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土工格室</w:t>
            </w:r>
          </w:p>
        </w:tc>
        <w:tc>
          <w:tcPr>
            <w:tcW w:w="5953" w:type="dxa"/>
            <w:vAlign w:val="center"/>
          </w:tcPr>
          <w:p w14:paraId="4A42A589">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格室</w:t>
            </w:r>
            <w:r>
              <w:rPr>
                <w:rFonts w:hint="eastAsia" w:ascii="Times New Roman" w:hAnsi="Times New Roman" w:eastAsia="宋体" w:cs="Times New Roman"/>
                <w:color w:val="auto"/>
                <w:sz w:val="18"/>
                <w:szCs w:val="18"/>
                <w:highlight w:val="none"/>
              </w:rPr>
              <w:t>处</w:t>
            </w:r>
            <w:r>
              <w:rPr>
                <w:rFonts w:ascii="Times New Roman" w:hAnsi="Times New Roman" w:eastAsia="宋体" w:cs="Times New Roman"/>
                <w:color w:val="auto"/>
                <w:sz w:val="18"/>
                <w:szCs w:val="18"/>
                <w:highlight w:val="none"/>
              </w:rPr>
              <w:t>极限抗拉强度</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20MPa，焊接处极限抗拉强度</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20kN／m，</w:t>
            </w:r>
          </w:p>
          <w:p w14:paraId="2996083C">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高度</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rPr>
              <w:t>10cm</w:t>
            </w:r>
          </w:p>
        </w:tc>
      </w:tr>
    </w:tbl>
    <w:p w14:paraId="3222CBA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6.2.1.4 </w:t>
      </w:r>
      <w:r>
        <w:rPr>
          <w:rFonts w:ascii="Times New Roman" w:hAnsi="Times New Roman" w:eastAsia="宋体" w:cs="Times New Roman"/>
          <w:color w:val="auto"/>
          <w:szCs w:val="21"/>
          <w:highlight w:val="none"/>
        </w:rPr>
        <w:t>公路软基处治常用土工格栅与土工格室如图7所示，填料为细粒土时可采用土工格栅或土工格室，填料为粒径较大的碎石土或风化料时，宜采用土工格栅，不宜采用土工格室。</w:t>
      </w:r>
    </w:p>
    <w:p w14:paraId="078CB3DD">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2406650" cy="1334135"/>
            <wp:effectExtent l="0" t="0" r="1270" b="6985"/>
            <wp:docPr id="10" name="图片 10" descr="82d9821ef8cc0940ffbd523fc1d4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2d9821ef8cc0940ffbd523fc1d47a2"/>
                    <pic:cNvPicPr>
                      <a:picLocks noChangeAspect="1"/>
                    </pic:cNvPicPr>
                  </pic:nvPicPr>
                  <pic:blipFill>
                    <a:blip r:embed="rId35"/>
                    <a:stretch>
                      <a:fillRect/>
                    </a:stretch>
                  </pic:blipFill>
                  <pic:spPr>
                    <a:xfrm>
                      <a:off x="0" y="0"/>
                      <a:ext cx="2406650" cy="1334135"/>
                    </a:xfrm>
                    <a:prstGeom prst="rect">
                      <a:avLst/>
                    </a:prstGeom>
                  </pic:spPr>
                </pic:pic>
              </a:graphicData>
            </a:graphic>
          </wp:inline>
        </w:drawing>
      </w:r>
      <w:r>
        <w:rPr>
          <w:rFonts w:ascii="Times New Roman" w:hAnsi="Times New Roman" w:eastAsia="宋体" w:cs="Times New Roman"/>
          <w:color w:val="auto"/>
          <w:szCs w:val="21"/>
          <w:highlight w:val="none"/>
        </w:rPr>
        <w:drawing>
          <wp:inline distT="0" distB="0" distL="114300" distR="114300">
            <wp:extent cx="2240280" cy="1360170"/>
            <wp:effectExtent l="0" t="0" r="0" b="11430"/>
            <wp:docPr id="11" name="图片 11" descr="1d681d0623ba387f77df6b2c40db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d681d0623ba387f77df6b2c40dba01"/>
                    <pic:cNvPicPr>
                      <a:picLocks noChangeAspect="1"/>
                    </pic:cNvPicPr>
                  </pic:nvPicPr>
                  <pic:blipFill>
                    <a:blip r:embed="rId36"/>
                    <a:stretch>
                      <a:fillRect/>
                    </a:stretch>
                  </pic:blipFill>
                  <pic:spPr>
                    <a:xfrm>
                      <a:off x="0" y="0"/>
                      <a:ext cx="2240280" cy="1360170"/>
                    </a:xfrm>
                    <a:prstGeom prst="rect">
                      <a:avLst/>
                    </a:prstGeom>
                  </pic:spPr>
                </pic:pic>
              </a:graphicData>
            </a:graphic>
          </wp:inline>
        </w:drawing>
      </w:r>
    </w:p>
    <w:p w14:paraId="5F48103D">
      <w:pPr>
        <w:spacing w:line="360" w:lineRule="auto"/>
        <w:ind w:firstLine="1470" w:firstLineChars="7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a）单向土工格栅              </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 xml:space="preserve"> b）双向土工格栅</w:t>
      </w:r>
    </w:p>
    <w:p w14:paraId="4F6304FF">
      <w:pPr>
        <w:spacing w:line="360" w:lineRule="auto"/>
        <w:jc w:val="center"/>
        <w:rPr>
          <w:rFonts w:ascii="Times New Roman" w:hAnsi="Times New Roman" w:eastAsia="宋体" w:cs="Times New Roman"/>
          <w:color w:val="auto"/>
          <w:szCs w:val="21"/>
          <w:highlight w:val="none"/>
        </w:rPr>
      </w:pPr>
      <w:r>
        <w:rPr>
          <w:rFonts w:hint="eastAsia"/>
          <w:color w:val="auto"/>
          <w:highlight w:val="none"/>
          <w:lang w:val="en-US" w:eastAsia="zh-CN"/>
        </w:rPr>
        <w:t xml:space="preserve">      </w:t>
      </w:r>
      <w:r>
        <w:rPr>
          <w:rFonts w:hint="eastAsia" w:eastAsiaTheme="minorEastAsia"/>
          <w:color w:val="auto"/>
          <w:highlight w:val="none"/>
          <w:lang w:eastAsia="zh-CN"/>
        </w:rPr>
        <w:drawing>
          <wp:inline distT="0" distB="0" distL="114300" distR="114300">
            <wp:extent cx="1798320" cy="1287780"/>
            <wp:effectExtent l="0" t="0" r="0" b="7620"/>
            <wp:docPr id="9" name="图片 9" descr="31d3973aa7b53c283ae70eb4a8e0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d3973aa7b53c283ae70eb4a8e0dec"/>
                    <pic:cNvPicPr>
                      <a:picLocks noChangeAspect="1"/>
                    </pic:cNvPicPr>
                  </pic:nvPicPr>
                  <pic:blipFill>
                    <a:blip r:embed="rId37"/>
                    <a:stretch>
                      <a:fillRect/>
                    </a:stretch>
                  </pic:blipFill>
                  <pic:spPr>
                    <a:xfrm>
                      <a:off x="0" y="0"/>
                      <a:ext cx="1798320" cy="1287780"/>
                    </a:xfrm>
                    <a:prstGeom prst="rect">
                      <a:avLst/>
                    </a:prstGeom>
                  </pic:spPr>
                </pic:pic>
              </a:graphicData>
            </a:graphic>
          </wp:inline>
        </w:drawing>
      </w:r>
      <w:r>
        <w:rPr>
          <w:rFonts w:hint="eastAsia"/>
          <w:color w:val="auto"/>
          <w:highlight w:val="none"/>
          <w:lang w:val="en-US" w:eastAsia="zh-CN"/>
        </w:rPr>
        <w:t xml:space="preserve">     </w:t>
      </w:r>
      <w:r>
        <w:rPr>
          <w:rFonts w:ascii="Times New Roman" w:hAnsi="Times New Roman" w:eastAsia="宋体" w:cs="Times New Roman"/>
          <w:color w:val="auto"/>
          <w:szCs w:val="21"/>
          <w:highlight w:val="none"/>
        </w:rPr>
        <w:drawing>
          <wp:inline distT="0" distB="0" distL="114300" distR="114300">
            <wp:extent cx="2145665" cy="1445260"/>
            <wp:effectExtent l="0" t="0" r="3175" b="2540"/>
            <wp:docPr id="13" name="图片 13" descr="8d7d1e959aeed8c9c8ffa14355b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d7d1e959aeed8c9c8ffa14355b7659"/>
                    <pic:cNvPicPr>
                      <a:picLocks noChangeAspect="1"/>
                    </pic:cNvPicPr>
                  </pic:nvPicPr>
                  <pic:blipFill>
                    <a:blip r:embed="rId38"/>
                    <a:stretch>
                      <a:fillRect/>
                    </a:stretch>
                  </pic:blipFill>
                  <pic:spPr>
                    <a:xfrm>
                      <a:off x="0" y="0"/>
                      <a:ext cx="2145665" cy="1445260"/>
                    </a:xfrm>
                    <a:prstGeom prst="rect">
                      <a:avLst/>
                    </a:prstGeom>
                  </pic:spPr>
                </pic:pic>
              </a:graphicData>
            </a:graphic>
          </wp:inline>
        </w:drawing>
      </w:r>
    </w:p>
    <w:p w14:paraId="1B7ECFB6">
      <w:pPr>
        <w:spacing w:line="360" w:lineRule="auto"/>
        <w:ind w:firstLine="1470" w:firstLineChars="7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三</w:t>
      </w:r>
      <w:r>
        <w:rPr>
          <w:rFonts w:ascii="Times New Roman" w:hAnsi="Times New Roman" w:eastAsia="宋体" w:cs="Times New Roman"/>
          <w:color w:val="auto"/>
          <w:szCs w:val="21"/>
          <w:highlight w:val="none"/>
        </w:rPr>
        <w:t xml:space="preserve">向土工格栅               </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d）展开的土工格室</w:t>
      </w:r>
    </w:p>
    <w:p w14:paraId="4D9FCCA9">
      <w:pPr>
        <w:keepNext/>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图7  公路软基处治常用土工合成材料示意图</w:t>
      </w:r>
    </w:p>
    <w:p w14:paraId="2AD5F30C">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6.2.1.5 </w:t>
      </w:r>
      <w:r>
        <w:rPr>
          <w:rFonts w:ascii="Times New Roman" w:hAnsi="Times New Roman" w:eastAsia="宋体" w:cs="Times New Roman"/>
          <w:color w:val="auto"/>
          <w:szCs w:val="21"/>
          <w:highlight w:val="none"/>
        </w:rPr>
        <w:t>土工合成材料的设计抗拉强度T</w:t>
      </w:r>
      <w:r>
        <w:rPr>
          <w:rFonts w:ascii="Times New Roman" w:hAnsi="Times New Roman" w:eastAsia="宋体" w:cs="Times New Roman"/>
          <w:color w:val="auto"/>
          <w:szCs w:val="21"/>
          <w:highlight w:val="none"/>
          <w:vertAlign w:val="subscript"/>
        </w:rPr>
        <w:t>gc</w:t>
      </w:r>
      <w:r>
        <w:rPr>
          <w:rFonts w:ascii="Times New Roman" w:hAnsi="Times New Roman" w:eastAsia="宋体" w:cs="Times New Roman"/>
          <w:color w:val="auto"/>
          <w:szCs w:val="21"/>
          <w:highlight w:val="none"/>
        </w:rPr>
        <w:t>，按</w:t>
      </w:r>
      <w:r>
        <w:rPr>
          <w:rFonts w:hint="eastAsia" w:ascii="Times New Roman" w:hAnsi="Times New Roman" w:eastAsia="宋体" w:cs="Times New Roman"/>
          <w:color w:val="auto"/>
          <w:szCs w:val="21"/>
          <w:highlight w:val="none"/>
          <w:lang w:val="en-US" w:eastAsia="zh-CN"/>
        </w:rPr>
        <w:t>公式（7）</w:t>
      </w:r>
      <w:r>
        <w:rPr>
          <w:rFonts w:ascii="Times New Roman" w:hAnsi="Times New Roman" w:eastAsia="宋体" w:cs="Times New Roman"/>
          <w:color w:val="auto"/>
          <w:szCs w:val="21"/>
          <w:highlight w:val="none"/>
        </w:rPr>
        <w:t>确定：</w:t>
      </w:r>
    </w:p>
    <w:p w14:paraId="37F06785">
      <w:pPr>
        <w:spacing w:line="360" w:lineRule="auto"/>
        <w:jc w:val="center"/>
        <w:rPr>
          <w:rFonts w:hint="default" w:ascii="Times New Roman" w:hAnsi="Times New Roman" w:cs="Times New Roman" w:eastAsiaTheme="minorEastAsia"/>
          <w:color w:val="auto"/>
          <w:szCs w:val="21"/>
          <w:highlight w:val="none"/>
          <w:lang w:val="en-US" w:eastAsia="zh-CN"/>
        </w:rPr>
      </w:pPr>
      <w:r>
        <w:rPr>
          <w:rFonts w:hint="eastAsia" w:hAnsi="Cambria Math" w:cs="Times New Roman"/>
          <w:i w:val="0"/>
          <w:color w:val="auto"/>
          <w:szCs w:val="21"/>
          <w:highlight w:val="none"/>
          <w:lang w:val="en-US" w:eastAsia="zh-CN"/>
        </w:rPr>
        <w:t xml:space="preserve">                               </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gc</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λ</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...................................................................（7）</w:t>
      </w:r>
    </w:p>
    <w:p w14:paraId="2239392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5C68DB5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s</w:t>
      </w:r>
      <w:r>
        <w:rPr>
          <w:rFonts w:ascii="Times New Roman" w:hAnsi="Times New Roman" w:eastAsia="宋体" w:cs="Times New Roman"/>
          <w:color w:val="auto"/>
          <w:szCs w:val="21"/>
          <w:highlight w:val="none"/>
        </w:rPr>
        <w:t>——土工合成材料的抗拉强度；</w:t>
      </w:r>
    </w:p>
    <w:p w14:paraId="22B1E15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微软雅黑" w:cs="Times New Roman"/>
          <w:color w:val="auto"/>
          <w:szCs w:val="21"/>
          <w:highlight w:val="none"/>
        </w:rPr>
        <w:t>λ</w:t>
      </w:r>
      <w:r>
        <w:rPr>
          <w:rFonts w:ascii="Times New Roman" w:hAnsi="Times New Roman" w:eastAsia="宋体" w:cs="Times New Roman"/>
          <w:color w:val="auto"/>
          <w:szCs w:val="21"/>
          <w:highlight w:val="none"/>
          <w:vertAlign w:val="subscript"/>
        </w:rPr>
        <w:t>c</w:t>
      </w:r>
      <w:r>
        <w:rPr>
          <w:rFonts w:ascii="Times New Roman" w:hAnsi="Times New Roman" w:eastAsia="宋体" w:cs="Times New Roman"/>
          <w:color w:val="auto"/>
          <w:szCs w:val="21"/>
          <w:highlight w:val="none"/>
        </w:rPr>
        <w:t>——材料强度综合修正系数，土工织物取3.0</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土工格栅取2.0，土工格室可取1.5</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2.0。</w:t>
      </w:r>
    </w:p>
    <w:p w14:paraId="5BEB16A3">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6.2.1.6</w:t>
      </w:r>
      <w:r>
        <w:rPr>
          <w:rFonts w:ascii="Times New Roman" w:hAnsi="Times New Roman" w:eastAsia="宋体" w:cs="Times New Roman"/>
          <w:color w:val="auto"/>
          <w:szCs w:val="21"/>
          <w:highlight w:val="none"/>
        </w:rPr>
        <w:t xml:space="preserve"> 土工合成材料与路堤填料接触的界面摩擦系数</w:t>
      </w: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gs</w:t>
      </w:r>
      <w:r>
        <w:rPr>
          <w:rFonts w:ascii="Times New Roman" w:hAnsi="Times New Roman" w:eastAsia="宋体" w:cs="Times New Roman"/>
          <w:color w:val="auto"/>
          <w:szCs w:val="21"/>
          <w:highlight w:val="none"/>
        </w:rPr>
        <w:t>。可按下列公式估算</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对重要工程，当需要进一步校核</w:t>
      </w: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gs</w:t>
      </w:r>
      <w:r>
        <w:rPr>
          <w:rFonts w:ascii="Times New Roman" w:hAnsi="Times New Roman" w:eastAsia="宋体" w:cs="Times New Roman"/>
          <w:color w:val="auto"/>
          <w:szCs w:val="21"/>
          <w:highlight w:val="none"/>
        </w:rPr>
        <w:t>时，应符合JTG E50规定的剪切试验方法：</w:t>
      </w:r>
    </w:p>
    <w:p w14:paraId="496DF4E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a）土工织物可按</w:t>
      </w:r>
      <w:r>
        <w:rPr>
          <w:rFonts w:hint="eastAsia" w:ascii="Times New Roman" w:hAnsi="Times New Roman" w:eastAsia="宋体" w:cs="Times New Roman"/>
          <w:color w:val="auto"/>
          <w:szCs w:val="21"/>
          <w:highlight w:val="none"/>
          <w:lang w:val="en-US" w:eastAsia="zh-CN"/>
        </w:rPr>
        <w:t>公式（8）</w:t>
      </w:r>
      <w:r>
        <w:rPr>
          <w:rFonts w:ascii="Times New Roman" w:hAnsi="Times New Roman" w:eastAsia="宋体" w:cs="Times New Roman"/>
          <w:color w:val="auto"/>
          <w:szCs w:val="21"/>
          <w:highlight w:val="none"/>
        </w:rPr>
        <w:t>确定：</w:t>
      </w:r>
    </w:p>
    <w:p w14:paraId="66A48E45">
      <w:pPr>
        <w:spacing w:line="360" w:lineRule="auto"/>
        <w:ind w:firstLine="3150" w:firstLineChars="15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gs</m:t>
            </m:r>
            <m:ctrlPr>
              <w:rPr>
                <w:rFonts w:ascii="Cambria Math" w:hAnsi="Cambria Math" w:cs="Times New Roman" w:eastAsiaTheme="minorEastAsia"/>
                <w:i w:val="0"/>
                <w:color w:val="auto"/>
                <w:sz w:val="21"/>
                <w:szCs w:val="21"/>
                <w:highlight w:val="none"/>
              </w:rPr>
            </m:ctrlPr>
          </m:sub>
        </m:sSub>
        <m:r>
          <m:rPr>
            <m:sty m:val="p"/>
          </m:rPr>
          <w:rPr>
            <w:rFonts w:ascii="Cambria Math" w:hAnsi="Cambria Math" w:cs="Times New Roman" w:eastAsiaTheme="minorEastAsia"/>
            <w:color w:val="auto"/>
            <w:sz w:val="21"/>
            <w:szCs w:val="21"/>
            <w:highlight w:val="none"/>
          </w:rPr>
          <m:t>=0.9</m:t>
        </m:r>
        <m:r>
          <m:rPr>
            <m:sty m:val="p"/>
          </m:rPr>
          <w:rPr>
            <w:rFonts w:hint="default" w:ascii="Cambria Math" w:hAnsi="Cambria Math" w:cs="Times New Roman" w:eastAsiaTheme="minorEastAsia"/>
            <w:color w:val="auto"/>
            <w:sz w:val="21"/>
            <w:szCs w:val="21"/>
            <w:highlight w:val="none"/>
            <w:lang w:val="en-US" w:eastAsia="zh-CN"/>
          </w:rPr>
          <m:t>tan</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φ</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q</m:t>
            </m:r>
            <m:ctrlPr>
              <w:rPr>
                <w:rFonts w:ascii="Cambria Math" w:hAnsi="Cambria Math" w:cs="Times New Roman" w:eastAsiaTheme="minorEastAsia"/>
                <w:i w:val="0"/>
                <w:color w:val="auto"/>
                <w:sz w:val="21"/>
                <w:szCs w:val="21"/>
                <w:highlight w:val="none"/>
              </w:rPr>
            </m:ctrlPr>
          </m:sub>
        </m:sSub>
      </m:oMath>
      <w:r>
        <w:rPr>
          <w:rFonts w:hint="eastAsia" w:hAnsi="Cambria Math" w:cs="Times New Roman"/>
          <w:i w:val="0"/>
          <w:color w:val="auto"/>
          <w:szCs w:val="21"/>
          <w:highlight w:val="none"/>
          <w:lang w:val="en-US" w:eastAsia="zh-CN"/>
        </w:rPr>
        <w:t xml:space="preserve"> ...............................................................（8）</w:t>
      </w:r>
    </w:p>
    <w:p w14:paraId="17AB457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b）土工格栅可按</w:t>
      </w:r>
      <w:r>
        <w:rPr>
          <w:rFonts w:hint="eastAsia" w:ascii="Times New Roman" w:hAnsi="Times New Roman" w:eastAsia="宋体" w:cs="Times New Roman"/>
          <w:color w:val="auto"/>
          <w:szCs w:val="21"/>
          <w:highlight w:val="none"/>
          <w:lang w:val="en-US" w:eastAsia="zh-CN"/>
        </w:rPr>
        <w:t>公式（9）</w:t>
      </w:r>
      <w:r>
        <w:rPr>
          <w:rFonts w:ascii="Times New Roman" w:hAnsi="Times New Roman" w:eastAsia="宋体" w:cs="Times New Roman"/>
          <w:color w:val="auto"/>
          <w:szCs w:val="21"/>
          <w:highlight w:val="none"/>
        </w:rPr>
        <w:t>确定：</w:t>
      </w:r>
    </w:p>
    <w:p w14:paraId="08C43A31">
      <w:pPr>
        <w:spacing w:line="360" w:lineRule="auto"/>
        <w:ind w:firstLine="3150" w:firstLineChars="1500"/>
        <w:rPr>
          <w:rFonts w:hint="eastAsia" w:ascii="Times New Roman" w:hAnsi="Times New Roman" w:cs="Times New Roman" w:eastAsiaTheme="minorEastAsia"/>
          <w:color w:val="auto"/>
          <w:szCs w:val="21"/>
          <w:highlight w:val="none"/>
          <w:lang w:eastAsia="zh-CN"/>
        </w:rPr>
      </w:pPr>
      <m:oMath>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gs</m:t>
            </m:r>
            <m:ctrlPr>
              <w:rPr>
                <w:rFonts w:ascii="Cambria Math" w:hAnsi="Cambria Math" w:cs="Times New Roman" w:eastAsiaTheme="minorEastAsia"/>
                <w:i w:val="0"/>
                <w:color w:val="auto"/>
                <w:sz w:val="21"/>
                <w:szCs w:val="21"/>
                <w:highlight w:val="none"/>
              </w:rPr>
            </m:ctrlPr>
          </m:sub>
        </m:sSub>
        <m:r>
          <m:rPr>
            <m:sty m:val="p"/>
          </m:rPr>
          <w:rPr>
            <w:rFonts w:hint="default" w:ascii="Cambria Math" w:hAnsi="Cambria Math" w:cs="Times New Roman" w:eastAsiaTheme="minorEastAsia"/>
            <w:color w:val="auto"/>
            <w:sz w:val="21"/>
            <w:szCs w:val="21"/>
            <w:highlight w:val="none"/>
          </w:rPr>
          <m:t>=0.667t</m:t>
        </m:r>
        <m:r>
          <m:rPr>
            <m:sty m:val="p"/>
          </m:rPr>
          <w:rPr>
            <w:rFonts w:hint="default" w:ascii="Cambria Math" w:hAnsi="Cambria Math" w:cs="Times New Roman" w:eastAsiaTheme="minorEastAsia"/>
            <w:color w:val="auto"/>
            <w:sz w:val="21"/>
            <w:szCs w:val="21"/>
            <w:highlight w:val="none"/>
            <w:lang w:val="en-US" w:eastAsia="zh-CN"/>
          </w:rPr>
          <m:t>an</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φ</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q</m:t>
            </m:r>
            <m:ctrlPr>
              <w:rPr>
                <w:rFonts w:ascii="Cambria Math" w:hAnsi="Cambria Math" w:cs="Times New Roman" w:eastAsiaTheme="minorEastAsia"/>
                <w:i w:val="0"/>
                <w:color w:val="auto"/>
                <w:sz w:val="21"/>
                <w:szCs w:val="21"/>
                <w:highlight w:val="none"/>
              </w:rPr>
            </m:ctrlPr>
          </m:sub>
        </m:sSub>
      </m:oMath>
      <w:r>
        <w:rPr>
          <w:rFonts w:hint="eastAsia" w:hAnsi="Cambria Math" w:cs="Times New Roman"/>
          <w:i w:val="0"/>
          <w:color w:val="auto"/>
          <w:szCs w:val="21"/>
          <w:highlight w:val="none"/>
          <w:lang w:val="en-US" w:eastAsia="zh-CN"/>
        </w:rPr>
        <w:t xml:space="preserve"> .......................................................... </w:t>
      </w:r>
      <w:r>
        <w:rPr>
          <w:rFonts w:hint="eastAsia" w:hAnsi="Cambria Math" w:cs="Times New Roman"/>
          <w:i w:val="0"/>
          <w:color w:val="auto"/>
          <w:szCs w:val="21"/>
          <w:highlight w:val="none"/>
          <w:lang w:eastAsia="zh-CN"/>
        </w:rPr>
        <w:t>（</w:t>
      </w:r>
      <w:r>
        <w:rPr>
          <w:rFonts w:hint="eastAsia" w:hAnsi="Cambria Math" w:cs="Times New Roman"/>
          <w:i w:val="0"/>
          <w:color w:val="auto"/>
          <w:szCs w:val="21"/>
          <w:highlight w:val="none"/>
          <w:lang w:val="en-US" w:eastAsia="zh-CN"/>
        </w:rPr>
        <w:t>9</w:t>
      </w:r>
      <w:r>
        <w:rPr>
          <w:rFonts w:hint="eastAsia" w:hAnsi="Cambria Math" w:cs="Times New Roman"/>
          <w:i w:val="0"/>
          <w:color w:val="auto"/>
          <w:szCs w:val="21"/>
          <w:highlight w:val="none"/>
          <w:lang w:eastAsia="zh-CN"/>
        </w:rPr>
        <w:t>）</w:t>
      </w:r>
    </w:p>
    <w:p w14:paraId="25400F9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5530C4B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微软雅黑" w:cs="Times New Roman"/>
          <w:color w:val="auto"/>
          <w:szCs w:val="21"/>
          <w:highlight w:val="none"/>
        </w:rPr>
        <w:t>φ</w:t>
      </w:r>
      <w:r>
        <w:rPr>
          <w:rFonts w:ascii="Times New Roman" w:hAnsi="Times New Roman" w:eastAsia="宋体" w:cs="Times New Roman"/>
          <w:color w:val="auto"/>
          <w:szCs w:val="21"/>
          <w:highlight w:val="none"/>
          <w:vertAlign w:val="subscript"/>
        </w:rPr>
        <w:t>q</w:t>
      </w:r>
      <w:r>
        <w:rPr>
          <w:rFonts w:ascii="Times New Roman" w:hAnsi="Times New Roman" w:eastAsia="宋体" w:cs="Times New Roman"/>
          <w:color w:val="auto"/>
          <w:szCs w:val="21"/>
          <w:highlight w:val="none"/>
        </w:rPr>
        <w:t>——对无黏性土取土体快剪内摩擦角，对黏性土取考虑粘聚力影响的综合内摩擦角。</w:t>
      </w:r>
    </w:p>
    <w:p w14:paraId="6ECA6ED4">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6.2.1.7 </w:t>
      </w:r>
      <w:r>
        <w:rPr>
          <w:rFonts w:ascii="Times New Roman" w:hAnsi="Times New Roman" w:eastAsia="宋体" w:cs="Times New Roman"/>
          <w:color w:val="auto"/>
          <w:szCs w:val="21"/>
          <w:highlight w:val="none"/>
        </w:rPr>
        <w:t>土工合成材料的铺设层数、铺设方式、铺设范围应通过加筋路堤的稳定性、平面滑动稳定性等计算确定。</w:t>
      </w:r>
    </w:p>
    <w:p w14:paraId="74C0D6E9">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6.2.1.8 </w:t>
      </w:r>
      <w:r>
        <w:rPr>
          <w:rFonts w:ascii="Times New Roman" w:hAnsi="Times New Roman" w:eastAsia="宋体" w:cs="Times New Roman"/>
          <w:color w:val="auto"/>
          <w:szCs w:val="21"/>
          <w:highlight w:val="none"/>
        </w:rPr>
        <w:t>加筋路堤整体稳定性可采用圆弧条分法</w:t>
      </w:r>
      <w:r>
        <w:rPr>
          <w:rFonts w:hint="eastAsia" w:ascii="Times New Roman" w:hAnsi="Times New Roman" w:eastAsia="宋体" w:cs="Times New Roman"/>
          <w:color w:val="auto"/>
          <w:szCs w:val="21"/>
          <w:highlight w:val="none"/>
          <w:lang w:val="en-US" w:eastAsia="zh-CN"/>
        </w:rPr>
        <w:t>按公式（10）</w:t>
      </w:r>
      <w:r>
        <w:rPr>
          <w:rFonts w:ascii="Times New Roman" w:hAnsi="Times New Roman" w:eastAsia="宋体" w:cs="Times New Roman"/>
          <w:color w:val="auto"/>
          <w:szCs w:val="21"/>
          <w:highlight w:val="none"/>
        </w:rPr>
        <w:t>进行计算：</w:t>
      </w:r>
    </w:p>
    <w:p w14:paraId="5503C5B8">
      <w:pPr>
        <w:keepNext w:val="0"/>
        <w:keepLines w:val="0"/>
        <w:pageBreakBefore w:val="0"/>
        <w:widowControl w:val="0"/>
        <w:kinsoku/>
        <w:wordWrap/>
        <w:overflowPunct/>
        <w:topLinePunct w:val="0"/>
        <w:autoSpaceDE/>
        <w:autoSpaceDN/>
        <w:bidi w:val="0"/>
        <w:adjustRightInd/>
        <w:snapToGrid/>
        <w:spacing w:line="480" w:lineRule="auto"/>
        <w:ind w:firstLine="2730" w:firstLineChars="1300"/>
        <w:textAlignment w:val="auto"/>
        <w:rPr>
          <w:rFonts w:hint="default" w:hAnsi="Cambria Math" w:cs="Times New Roman" w:eastAsiaTheme="minorEastAsia"/>
          <w:i w:val="0"/>
          <w:color w:val="auto"/>
          <w:szCs w:val="21"/>
          <w:highlight w:val="none"/>
          <w:lang w:val="en-US" w:eastAsia="zh-CN"/>
        </w:rPr>
      </w:pPr>
      <m:oMath>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B</m:t>
            </m:r>
            <m:ctrlPr>
              <w:rPr>
                <w:rFonts w:ascii="Cambria Math" w:hAnsi="Cambria Math" w:cs="Times New Roman" w:eastAsiaTheme="minorEastAsia"/>
                <w:i w:val="0"/>
                <w:color w:val="auto"/>
                <w:sz w:val="21"/>
                <w:szCs w:val="21"/>
                <w:highlight w:val="none"/>
              </w:rPr>
            </m:ctrlPr>
          </m:sub>
        </m:sSub>
        <m:r>
          <m:rPr>
            <m:sty m:val="p"/>
          </m:rPr>
          <w:rPr>
            <w:rFonts w:ascii="Cambria Math" w:hAnsi="Cambria Math" w:cs="Times New Roman" w:eastAsiaTheme="minorEastAsia"/>
            <w:color w:val="auto"/>
            <w:sz w:val="21"/>
            <w:szCs w:val="21"/>
            <w:highlight w:val="none"/>
          </w:rPr>
          <m:t>=</m:t>
        </m:r>
        <m:f>
          <m:fPr>
            <m:ctrlPr>
              <w:rPr>
                <w:rFonts w:ascii="Cambria Math" w:hAnsi="Cambria Math" w:cs="Times New Roman" w:eastAsiaTheme="minorEastAsia"/>
                <w:i w:val="0"/>
                <w:color w:val="auto"/>
                <w:sz w:val="21"/>
                <w:szCs w:val="21"/>
                <w:highlight w:val="none"/>
              </w:rPr>
            </m:ctrlPr>
          </m:fPr>
          <m:num>
            <m:nary>
              <m:naryPr>
                <m:chr m:val="∑"/>
                <m:limLoc m:val="undOvr"/>
                <m:ctrlPr>
                  <w:rPr>
                    <w:rFonts w:ascii="Cambria Math" w:hAnsi="Cambria Math" w:cs="Times New Roman" w:eastAsiaTheme="minorEastAsia"/>
                    <w:i w:val="0"/>
                    <w:color w:val="auto"/>
                    <w:sz w:val="21"/>
                    <w:szCs w:val="21"/>
                    <w:highlight w:val="none"/>
                  </w:rPr>
                </m:ctrlPr>
              </m:naryPr>
              <m:sub>
                <m:r>
                  <m:rPr>
                    <m:sty m:val="p"/>
                  </m:rPr>
                  <w:rPr>
                    <w:rFonts w:hint="default" w:ascii="Cambria Math" w:hAnsi="Cambria Math" w:cs="Times New Roman" w:eastAsiaTheme="minorEastAsia"/>
                    <w:color w:val="auto"/>
                    <w:sz w:val="21"/>
                    <w:szCs w:val="21"/>
                    <w:highlight w:val="none"/>
                  </w:rPr>
                  <m:t>i=1</m:t>
                </m:r>
                <m:ctrlPr>
                  <w:rPr>
                    <w:rFonts w:ascii="Cambria Math" w:hAnsi="Cambria Math" w:cs="Times New Roman" w:eastAsiaTheme="minorEastAsia"/>
                    <w:i w:val="0"/>
                    <w:color w:val="auto"/>
                    <w:sz w:val="21"/>
                    <w:szCs w:val="21"/>
                    <w:highlight w:val="none"/>
                  </w:rPr>
                </m:ctrlPr>
              </m:sub>
              <m:sup>
                <m:r>
                  <m:rPr>
                    <m:sty m:val="p"/>
                  </m:rPr>
                  <w:rPr>
                    <w:rFonts w:hint="default" w:ascii="Cambria Math" w:hAnsi="Cambria Math" w:cs="Times New Roman" w:eastAsiaTheme="minorEastAsia"/>
                    <w:color w:val="auto"/>
                    <w:sz w:val="21"/>
                    <w:szCs w:val="21"/>
                    <w:highlight w:val="none"/>
                  </w:rPr>
                  <m:t>n</m:t>
                </m:r>
                <m:ctrlPr>
                  <w:rPr>
                    <w:rFonts w:ascii="Cambria Math" w:hAnsi="Cambria Math" w:cs="Times New Roman" w:eastAsiaTheme="minorEastAsia"/>
                    <w:i w:val="0"/>
                    <w:color w:val="auto"/>
                    <w:sz w:val="21"/>
                    <w:szCs w:val="21"/>
                    <w:highlight w:val="none"/>
                  </w:rPr>
                </m:ctrlPr>
              </m:sup>
              <m:e>
                <m:r>
                  <m:rPr>
                    <m:sty m:val="p"/>
                  </m:rPr>
                  <w:rPr>
                    <w:rFonts w:ascii="Cambria Math" w:hAnsi="Cambria Math" w:cs="Times New Roman" w:eastAsiaTheme="minorEastAsia"/>
                    <w:color w:val="auto"/>
                    <w:sz w:val="21"/>
                    <w:szCs w:val="21"/>
                    <w:highlight w:val="none"/>
                  </w:rPr>
                  <m:t>(</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w</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i</m:t>
                    </m:r>
                    <m:ctrlPr>
                      <w:rPr>
                        <w:rFonts w:ascii="Cambria Math" w:hAnsi="Cambria Math" w:cs="Times New Roman" w:eastAsiaTheme="minorEastAsia"/>
                        <w:i w:val="0"/>
                        <w:color w:val="auto"/>
                        <w:sz w:val="21"/>
                        <w:szCs w:val="21"/>
                        <w:highlight w:val="none"/>
                      </w:rPr>
                    </m:ctrlPr>
                  </m:sub>
                </m:sSub>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cosθ</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i</m:t>
                    </m:r>
                    <m:ctrlPr>
                      <w:rPr>
                        <w:rFonts w:ascii="Cambria Math" w:hAnsi="Cambria Math" w:cs="Times New Roman" w:eastAsiaTheme="minorEastAsia"/>
                        <w:i w:val="0"/>
                        <w:color w:val="auto"/>
                        <w:sz w:val="21"/>
                        <w:szCs w:val="21"/>
                        <w:highlight w:val="none"/>
                      </w:rPr>
                    </m:ctrlPr>
                  </m:sub>
                </m:sSub>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tanφ</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qi</m:t>
                    </m:r>
                    <m:ctrlPr>
                      <w:rPr>
                        <w:rFonts w:ascii="Cambria Math" w:hAnsi="Cambria Math" w:cs="Times New Roman" w:eastAsiaTheme="minorEastAsia"/>
                        <w:i w:val="0"/>
                        <w:color w:val="auto"/>
                        <w:sz w:val="21"/>
                        <w:szCs w:val="21"/>
                        <w:highlight w:val="none"/>
                      </w:rPr>
                    </m:ctrlPr>
                  </m:sub>
                </m:sSub>
                <m:r>
                  <m:rPr>
                    <m:sty m:val="p"/>
                  </m:rPr>
                  <w:rPr>
                    <w:rFonts w:ascii="Cambria Math" w:hAnsi="Cambria Math" w:cs="Times New Roman" w:eastAsiaTheme="minorEastAsia"/>
                    <w:color w:val="auto"/>
                    <w:sz w:val="21"/>
                    <w:szCs w:val="21"/>
                    <w:highlight w:val="none"/>
                  </w:rPr>
                  <m:t>+</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C</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qi</m:t>
                    </m:r>
                    <m:ctrlPr>
                      <w:rPr>
                        <w:rFonts w:ascii="Cambria Math" w:hAnsi="Cambria Math" w:cs="Times New Roman" w:eastAsiaTheme="minorEastAsia"/>
                        <w:i w:val="0"/>
                        <w:color w:val="auto"/>
                        <w:sz w:val="21"/>
                        <w:szCs w:val="21"/>
                        <w:highlight w:val="none"/>
                      </w:rPr>
                    </m:ctrlPr>
                  </m:sub>
                </m:sSub>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Δl</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i</m:t>
                    </m:r>
                    <m:ctrlPr>
                      <w:rPr>
                        <w:rFonts w:ascii="Cambria Math" w:hAnsi="Cambria Math" w:cs="Times New Roman" w:eastAsiaTheme="minorEastAsia"/>
                        <w:i w:val="0"/>
                        <w:color w:val="auto"/>
                        <w:sz w:val="21"/>
                        <w:szCs w:val="21"/>
                        <w:highlight w:val="none"/>
                      </w:rPr>
                    </m:ctrlPr>
                  </m:sub>
                </m:sSub>
                <m:r>
                  <m:rPr>
                    <m:sty m:val="p"/>
                  </m:rPr>
                  <w:rPr>
                    <w:rFonts w:hint="default" w:ascii="Cambria Math" w:hAnsi="Cambria Math" w:cs="Times New Roman" w:eastAsiaTheme="minorEastAsia"/>
                    <w:color w:val="auto"/>
                    <w:sz w:val="21"/>
                    <w:szCs w:val="21"/>
                    <w:highlight w:val="none"/>
                  </w:rPr>
                  <m:t>)R</m:t>
                </m:r>
                <m:ctrlPr>
                  <w:rPr>
                    <w:rFonts w:ascii="Cambria Math" w:hAnsi="Cambria Math" w:cs="Times New Roman" w:eastAsiaTheme="minorEastAsia"/>
                    <w:i w:val="0"/>
                    <w:color w:val="auto"/>
                    <w:sz w:val="21"/>
                    <w:szCs w:val="21"/>
                    <w:highlight w:val="none"/>
                  </w:rPr>
                </m:ctrlPr>
              </m:e>
            </m:nary>
            <m:r>
              <m:rPr>
                <m:sty m:val="p"/>
              </m:rPr>
              <w:rPr>
                <w:rFonts w:ascii="Cambria Math" w:hAnsi="Cambria Math" w:cs="Times New Roman" w:eastAsiaTheme="minorEastAsia"/>
                <w:color w:val="auto"/>
                <w:sz w:val="21"/>
                <w:szCs w:val="21"/>
                <w:highlight w:val="none"/>
              </w:rPr>
              <m:t>+</m:t>
            </m:r>
            <m:nary>
              <m:naryPr>
                <m:chr m:val="∑"/>
                <m:limLoc m:val="undOvr"/>
                <m:ctrlPr>
                  <w:rPr>
                    <w:rFonts w:ascii="Cambria Math" w:hAnsi="Cambria Math" w:cs="Times New Roman" w:eastAsiaTheme="minorEastAsia"/>
                    <w:i w:val="0"/>
                    <w:color w:val="auto"/>
                    <w:sz w:val="21"/>
                    <w:szCs w:val="21"/>
                    <w:highlight w:val="none"/>
                  </w:rPr>
                </m:ctrlPr>
              </m:naryPr>
              <m:sub>
                <m:r>
                  <m:rPr>
                    <m:sty m:val="p"/>
                  </m:rPr>
                  <w:rPr>
                    <w:rFonts w:hint="default" w:ascii="Cambria Math" w:hAnsi="Cambria Math" w:cs="Times New Roman" w:eastAsiaTheme="minorEastAsia"/>
                    <w:color w:val="auto"/>
                    <w:sz w:val="21"/>
                    <w:szCs w:val="21"/>
                    <w:highlight w:val="none"/>
                  </w:rPr>
                  <m:t>j=1</m:t>
                </m:r>
                <m:ctrlPr>
                  <w:rPr>
                    <w:rFonts w:ascii="Cambria Math" w:hAnsi="Cambria Math" w:cs="Times New Roman" w:eastAsiaTheme="minorEastAsia"/>
                    <w:i w:val="0"/>
                    <w:color w:val="auto"/>
                    <w:sz w:val="21"/>
                    <w:szCs w:val="21"/>
                    <w:highlight w:val="none"/>
                  </w:rPr>
                </m:ctrlPr>
              </m:sub>
              <m:sup>
                <m:r>
                  <m:rPr>
                    <m:sty m:val="p"/>
                  </m:rPr>
                  <w:rPr>
                    <w:rFonts w:hint="default" w:ascii="Cambria Math" w:hAnsi="Cambria Math" w:cs="Times New Roman" w:eastAsiaTheme="minorEastAsia"/>
                    <w:color w:val="auto"/>
                    <w:sz w:val="21"/>
                    <w:szCs w:val="21"/>
                    <w:highlight w:val="none"/>
                  </w:rPr>
                  <m:t>m</m:t>
                </m:r>
                <m:ctrlPr>
                  <w:rPr>
                    <w:rFonts w:ascii="Cambria Math" w:hAnsi="Cambria Math" w:cs="Times New Roman" w:eastAsiaTheme="minorEastAsia"/>
                    <w:i w:val="0"/>
                    <w:color w:val="auto"/>
                    <w:sz w:val="21"/>
                    <w:szCs w:val="21"/>
                    <w:highlight w:val="none"/>
                  </w:rPr>
                </m:ctrlPr>
              </m:sup>
              <m:e>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T</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j</m:t>
                    </m:r>
                    <m:ctrlPr>
                      <w:rPr>
                        <w:rFonts w:ascii="Cambria Math" w:hAnsi="Cambria Math" w:cs="Times New Roman" w:eastAsiaTheme="minorEastAsia"/>
                        <w:i w:val="0"/>
                        <w:color w:val="auto"/>
                        <w:sz w:val="21"/>
                        <w:szCs w:val="21"/>
                        <w:highlight w:val="none"/>
                      </w:rPr>
                    </m:ctrlPr>
                  </m:sub>
                </m:sSub>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Y</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j</m:t>
                    </m:r>
                    <m:ctrlPr>
                      <w:rPr>
                        <w:rFonts w:ascii="Cambria Math" w:hAnsi="Cambria Math" w:cs="Times New Roman" w:eastAsiaTheme="minorEastAsia"/>
                        <w:i w:val="0"/>
                        <w:color w:val="auto"/>
                        <w:sz w:val="21"/>
                        <w:szCs w:val="21"/>
                        <w:highlight w:val="none"/>
                      </w:rPr>
                    </m:ctrlPr>
                  </m:sub>
                </m:sSub>
                <m:ctrlPr>
                  <w:rPr>
                    <w:rFonts w:ascii="Cambria Math" w:hAnsi="Cambria Math" w:cs="Times New Roman" w:eastAsiaTheme="minorEastAsia"/>
                    <w:i w:val="0"/>
                    <w:color w:val="auto"/>
                    <w:sz w:val="21"/>
                    <w:szCs w:val="21"/>
                    <w:highlight w:val="none"/>
                  </w:rPr>
                </m:ctrlPr>
              </m:e>
            </m:nary>
            <m:ctrlPr>
              <w:rPr>
                <w:rFonts w:ascii="Cambria Math" w:hAnsi="Cambria Math" w:cs="Times New Roman" w:eastAsiaTheme="minorEastAsia"/>
                <w:i w:val="0"/>
                <w:color w:val="auto"/>
                <w:sz w:val="21"/>
                <w:szCs w:val="21"/>
                <w:highlight w:val="none"/>
              </w:rPr>
            </m:ctrlPr>
          </m:num>
          <m:den>
            <m:nary>
              <m:naryPr>
                <m:chr m:val="∑"/>
                <m:limLoc m:val="undOvr"/>
                <m:ctrlPr>
                  <w:rPr>
                    <w:rFonts w:ascii="Cambria Math" w:hAnsi="Cambria Math" w:cs="Times New Roman" w:eastAsiaTheme="minorEastAsia"/>
                    <w:i w:val="0"/>
                    <w:color w:val="auto"/>
                    <w:sz w:val="21"/>
                    <w:szCs w:val="21"/>
                    <w:highlight w:val="none"/>
                  </w:rPr>
                </m:ctrlPr>
              </m:naryPr>
              <m:sub>
                <m:r>
                  <m:rPr>
                    <m:sty m:val="p"/>
                  </m:rPr>
                  <w:rPr>
                    <w:rFonts w:hint="default" w:ascii="Cambria Math" w:hAnsi="Cambria Math" w:cs="Times New Roman" w:eastAsiaTheme="minorEastAsia"/>
                    <w:color w:val="auto"/>
                    <w:sz w:val="21"/>
                    <w:szCs w:val="21"/>
                    <w:highlight w:val="none"/>
                  </w:rPr>
                  <m:t>i=1</m:t>
                </m:r>
                <m:ctrlPr>
                  <w:rPr>
                    <w:rFonts w:ascii="Cambria Math" w:hAnsi="Cambria Math" w:cs="Times New Roman" w:eastAsiaTheme="minorEastAsia"/>
                    <w:i w:val="0"/>
                    <w:color w:val="auto"/>
                    <w:sz w:val="21"/>
                    <w:szCs w:val="21"/>
                    <w:highlight w:val="none"/>
                  </w:rPr>
                </m:ctrlPr>
              </m:sub>
              <m:sup>
                <m:r>
                  <m:rPr>
                    <m:sty m:val="p"/>
                  </m:rPr>
                  <w:rPr>
                    <w:rFonts w:hint="default" w:ascii="Cambria Math" w:hAnsi="Cambria Math" w:cs="Times New Roman" w:eastAsiaTheme="minorEastAsia"/>
                    <w:color w:val="auto"/>
                    <w:sz w:val="21"/>
                    <w:szCs w:val="21"/>
                    <w:highlight w:val="none"/>
                  </w:rPr>
                  <m:t>n</m:t>
                </m:r>
                <m:ctrlPr>
                  <w:rPr>
                    <w:rFonts w:ascii="Cambria Math" w:hAnsi="Cambria Math" w:cs="Times New Roman" w:eastAsiaTheme="minorEastAsia"/>
                    <w:i w:val="0"/>
                    <w:color w:val="auto"/>
                    <w:sz w:val="21"/>
                    <w:szCs w:val="21"/>
                    <w:highlight w:val="none"/>
                  </w:rPr>
                </m:ctrlPr>
              </m:sup>
              <m:e>
                <m:r>
                  <m:rPr>
                    <m:sty m:val="p"/>
                  </m:rPr>
                  <w:rPr>
                    <w:rFonts w:ascii="Cambria Math" w:hAnsi="Cambria Math" w:cs="Times New Roman" w:eastAsiaTheme="minorEastAsia"/>
                    <w:color w:val="auto"/>
                    <w:sz w:val="21"/>
                    <w:szCs w:val="21"/>
                    <w:highlight w:val="none"/>
                  </w:rPr>
                  <m:t>(</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w</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i</m:t>
                    </m:r>
                    <m:ctrlPr>
                      <w:rPr>
                        <w:rFonts w:ascii="Cambria Math" w:hAnsi="Cambria Math" w:cs="Times New Roman" w:eastAsiaTheme="minorEastAsia"/>
                        <w:i w:val="0"/>
                        <w:color w:val="auto"/>
                        <w:sz w:val="21"/>
                        <w:szCs w:val="21"/>
                        <w:highlight w:val="none"/>
                      </w:rPr>
                    </m:ctrlPr>
                  </m:sub>
                </m:sSub>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lang w:val="en-US" w:eastAsia="zh-CN"/>
                      </w:rPr>
                      <m:t>sin</m:t>
                    </m:r>
                    <m:r>
                      <m:rPr>
                        <m:sty m:val="p"/>
                      </m:rPr>
                      <w:rPr>
                        <w:rFonts w:hint="default" w:ascii="Cambria Math" w:hAnsi="Cambria Math" w:cs="Times New Roman" w:eastAsiaTheme="minorEastAsia"/>
                        <w:color w:val="auto"/>
                        <w:sz w:val="21"/>
                        <w:szCs w:val="21"/>
                        <w:highlight w:val="none"/>
                      </w:rPr>
                      <m:t>θ</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i</m:t>
                    </m:r>
                    <m:ctrlPr>
                      <w:rPr>
                        <w:rFonts w:ascii="Cambria Math" w:hAnsi="Cambria Math" w:cs="Times New Roman" w:eastAsiaTheme="minorEastAsia"/>
                        <w:i w:val="0"/>
                        <w:color w:val="auto"/>
                        <w:sz w:val="21"/>
                        <w:szCs w:val="21"/>
                        <w:highlight w:val="none"/>
                      </w:rPr>
                    </m:ctrlPr>
                  </m:sub>
                </m:sSub>
                <m:r>
                  <m:rPr>
                    <m:sty m:val="p"/>
                  </m:rPr>
                  <w:rPr>
                    <w:rFonts w:hint="default" w:ascii="Cambria Math" w:hAnsi="Cambria Math" w:cs="Times New Roman" w:eastAsiaTheme="minorEastAsia"/>
                    <w:color w:val="auto"/>
                    <w:sz w:val="21"/>
                    <w:szCs w:val="21"/>
                    <w:highlight w:val="none"/>
                  </w:rPr>
                  <m:t>)R</m:t>
                </m:r>
                <m:ctrlPr>
                  <w:rPr>
                    <w:rFonts w:ascii="Cambria Math" w:hAnsi="Cambria Math" w:cs="Times New Roman" w:eastAsiaTheme="minorEastAsia"/>
                    <w:i w:val="0"/>
                    <w:color w:val="auto"/>
                    <w:sz w:val="21"/>
                    <w:szCs w:val="21"/>
                    <w:highlight w:val="none"/>
                  </w:rPr>
                </m:ctrlPr>
              </m:e>
            </m:nary>
            <m:r>
              <m:rPr>
                <m:sty m:val="p"/>
              </m:rPr>
              <w:rPr>
                <w:rFonts w:ascii="Cambria Math" w:hAnsi="Cambria Math" w:cs="Times New Roman" w:eastAsiaTheme="minorEastAsia"/>
                <w:color w:val="auto"/>
                <w:sz w:val="21"/>
                <w:szCs w:val="21"/>
                <w:highlight w:val="none"/>
              </w:rPr>
              <m:t>+</m:t>
            </m:r>
            <m:nary>
              <m:naryPr>
                <m:chr m:val="∑"/>
                <m:limLoc m:val="undOvr"/>
                <m:ctrlPr>
                  <w:rPr>
                    <w:rFonts w:ascii="Cambria Math" w:hAnsi="Cambria Math" w:cs="Times New Roman" w:eastAsiaTheme="minorEastAsia"/>
                    <w:i w:val="0"/>
                    <w:color w:val="auto"/>
                    <w:sz w:val="21"/>
                    <w:szCs w:val="21"/>
                    <w:highlight w:val="none"/>
                  </w:rPr>
                </m:ctrlPr>
              </m:naryPr>
              <m:sub>
                <m:r>
                  <m:rPr>
                    <m:sty m:val="p"/>
                  </m:rPr>
                  <w:rPr>
                    <w:rFonts w:hint="default" w:ascii="Cambria Math" w:hAnsi="Cambria Math" w:cs="Times New Roman" w:eastAsiaTheme="minorEastAsia"/>
                    <w:color w:val="auto"/>
                    <w:sz w:val="21"/>
                    <w:szCs w:val="21"/>
                    <w:highlight w:val="none"/>
                  </w:rPr>
                  <m:t>i=1</m:t>
                </m:r>
                <m:ctrlPr>
                  <w:rPr>
                    <w:rFonts w:ascii="Cambria Math" w:hAnsi="Cambria Math" w:cs="Times New Roman" w:eastAsiaTheme="minorEastAsia"/>
                    <w:i w:val="0"/>
                    <w:color w:val="auto"/>
                    <w:sz w:val="21"/>
                    <w:szCs w:val="21"/>
                    <w:highlight w:val="none"/>
                  </w:rPr>
                </m:ctrlPr>
              </m:sub>
              <m:sup>
                <m:r>
                  <m:rPr>
                    <m:sty m:val="p"/>
                  </m:rPr>
                  <w:rPr>
                    <w:rFonts w:hint="default" w:ascii="Cambria Math" w:hAnsi="Cambria Math" w:cs="Times New Roman" w:eastAsiaTheme="minorEastAsia"/>
                    <w:color w:val="auto"/>
                    <w:sz w:val="21"/>
                    <w:szCs w:val="21"/>
                    <w:highlight w:val="none"/>
                  </w:rPr>
                  <m:t>n</m:t>
                </m:r>
                <m:ctrlPr>
                  <w:rPr>
                    <w:rFonts w:ascii="Cambria Math" w:hAnsi="Cambria Math" w:cs="Times New Roman" w:eastAsiaTheme="minorEastAsia"/>
                    <w:i w:val="0"/>
                    <w:color w:val="auto"/>
                    <w:sz w:val="21"/>
                    <w:szCs w:val="21"/>
                    <w:highlight w:val="none"/>
                  </w:rPr>
                </m:ctrlPr>
              </m:sup>
              <m:e>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Q</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i</m:t>
                    </m:r>
                    <m:ctrlPr>
                      <w:rPr>
                        <w:rFonts w:ascii="Cambria Math" w:hAnsi="Cambria Math" w:cs="Times New Roman" w:eastAsiaTheme="minorEastAsia"/>
                        <w:i w:val="0"/>
                        <w:color w:val="auto"/>
                        <w:sz w:val="21"/>
                        <w:szCs w:val="21"/>
                        <w:highlight w:val="none"/>
                      </w:rPr>
                    </m:ctrlPr>
                  </m:sub>
                </m:sSub>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y</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Qi</m:t>
                    </m:r>
                    <m:ctrlPr>
                      <w:rPr>
                        <w:rFonts w:ascii="Cambria Math" w:hAnsi="Cambria Math" w:cs="Times New Roman" w:eastAsiaTheme="minorEastAsia"/>
                        <w:i w:val="0"/>
                        <w:color w:val="auto"/>
                        <w:sz w:val="21"/>
                        <w:szCs w:val="21"/>
                        <w:highlight w:val="none"/>
                      </w:rPr>
                    </m:ctrlPr>
                  </m:sub>
                </m:sSub>
                <m:ctrlPr>
                  <w:rPr>
                    <w:rFonts w:ascii="Cambria Math" w:hAnsi="Cambria Math" w:cs="Times New Roman" w:eastAsiaTheme="minorEastAsia"/>
                    <w:i w:val="0"/>
                    <w:color w:val="auto"/>
                    <w:sz w:val="21"/>
                    <w:szCs w:val="21"/>
                    <w:highlight w:val="none"/>
                  </w:rPr>
                </m:ctrlPr>
              </m:e>
            </m:nary>
            <m:ctrlPr>
              <w:rPr>
                <w:rFonts w:ascii="Cambria Math" w:hAnsi="Cambria Math" w:cs="Times New Roman" w:eastAsiaTheme="minorEastAsia"/>
                <w:i w:val="0"/>
                <w:color w:val="auto"/>
                <w:sz w:val="21"/>
                <w:szCs w:val="21"/>
                <w:highlight w:val="none"/>
              </w:rPr>
            </m:ctrlPr>
          </m:den>
        </m:f>
      </m:oMath>
      <w:r>
        <w:rPr>
          <w:rFonts w:hint="eastAsia" w:hAnsi="Cambria Math" w:cs="Times New Roman"/>
          <w:i w:val="0"/>
          <w:color w:val="auto"/>
          <w:szCs w:val="21"/>
          <w:highlight w:val="none"/>
          <w:lang w:val="en-US" w:eastAsia="zh-CN"/>
        </w:rPr>
        <w:t xml:space="preserve">  ...................................（10）</w:t>
      </w:r>
    </w:p>
    <w:p w14:paraId="44CF78E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79507BE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B</w:t>
      </w:r>
      <w:r>
        <w:rPr>
          <w:rFonts w:ascii="Times New Roman" w:hAnsi="Times New Roman" w:eastAsia="宋体" w:cs="Times New Roman"/>
          <w:color w:val="auto"/>
          <w:szCs w:val="21"/>
          <w:highlight w:val="none"/>
        </w:rPr>
        <w:t>——整体稳定安全系数；</w:t>
      </w:r>
    </w:p>
    <w:p w14:paraId="2B19C94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——第i土条重（kN／m）；</w:t>
      </w:r>
    </w:p>
    <w:p w14:paraId="691F251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ascii="Times New Roman" w:hAnsi="Times New Roman" w:eastAsia="宋体" w:cs="Times New Roman"/>
          <w:color w:val="auto"/>
          <w:szCs w:val="21"/>
          <w:highlight w:val="none"/>
          <w:vertAlign w:val="subscript"/>
        </w:rPr>
        <w:t>qi</w:t>
      </w:r>
      <w:r>
        <w:rPr>
          <w:rFonts w:ascii="Times New Roman" w:hAnsi="Times New Roman" w:eastAsia="宋体" w:cs="Times New Roman"/>
          <w:color w:val="auto"/>
          <w:szCs w:val="21"/>
          <w:highlight w:val="none"/>
        </w:rPr>
        <w:t>、</w:t>
      </w:r>
      <w:r>
        <w:rPr>
          <w:rFonts w:ascii="Times New Roman" w:hAnsi="Times New Roman" w:eastAsia="微软雅黑" w:cs="Times New Roman"/>
          <w:color w:val="auto"/>
          <w:szCs w:val="21"/>
          <w:highlight w:val="none"/>
        </w:rPr>
        <w:t>φ</w:t>
      </w:r>
      <w:r>
        <w:rPr>
          <w:rFonts w:ascii="Times New Roman" w:hAnsi="Times New Roman" w:eastAsia="宋体" w:cs="Times New Roman"/>
          <w:color w:val="auto"/>
          <w:szCs w:val="21"/>
          <w:highlight w:val="none"/>
          <w:vertAlign w:val="subscript"/>
        </w:rPr>
        <w:t>qi</w:t>
      </w:r>
      <w:r>
        <w:rPr>
          <w:rFonts w:ascii="Times New Roman" w:hAnsi="Times New Roman" w:eastAsia="宋体" w:cs="Times New Roman"/>
          <w:color w:val="auto"/>
          <w:szCs w:val="21"/>
          <w:highlight w:val="none"/>
        </w:rPr>
        <w:t>——第i土条底土体粘聚力（kPa）和内摩擦角（°），由直剪快剪试验确定；</w:t>
      </w:r>
    </w:p>
    <w:p w14:paraId="0CCD131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j</w:t>
      </w:r>
      <w:r>
        <w:rPr>
          <w:rFonts w:ascii="Times New Roman" w:hAnsi="Times New Roman" w:eastAsia="宋体" w:cs="Times New Roman"/>
          <w:color w:val="auto"/>
          <w:szCs w:val="21"/>
          <w:highlight w:val="none"/>
        </w:rPr>
        <w:t>——第j层土工合成材料设计抗拉强度（kN／m）；</w:t>
      </w:r>
    </w:p>
    <w:p w14:paraId="5D0C7E7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——第i土条所受地震水平力（kN／m）；</w:t>
      </w:r>
    </w:p>
    <w:p w14:paraId="5C28537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Y</w:t>
      </w:r>
      <w:r>
        <w:rPr>
          <w:rFonts w:ascii="Times New Roman" w:hAnsi="Times New Roman" w:eastAsia="宋体" w:cs="Times New Roman"/>
          <w:color w:val="auto"/>
          <w:szCs w:val="21"/>
          <w:highlight w:val="none"/>
          <w:vertAlign w:val="subscript"/>
        </w:rPr>
        <w:t>j</w:t>
      </w:r>
      <w:r>
        <w:rPr>
          <w:rFonts w:ascii="Times New Roman" w:hAnsi="Times New Roman" w:eastAsia="宋体" w:cs="Times New Roman"/>
          <w:color w:val="auto"/>
          <w:szCs w:val="21"/>
          <w:highlight w:val="none"/>
        </w:rPr>
        <w:t>——第j层土工合成材料距滑弧圆心的垂直高度；</w:t>
      </w:r>
    </w:p>
    <w:p w14:paraId="0E51BE7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Δ1</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——第i条滑弧的弧长（m）；</w:t>
      </w:r>
    </w:p>
    <w:p w14:paraId="557FDA4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y</w:t>
      </w:r>
      <w:r>
        <w:rPr>
          <w:rFonts w:ascii="Times New Roman" w:hAnsi="Times New Roman" w:eastAsia="宋体" w:cs="Times New Roman"/>
          <w:color w:val="auto"/>
          <w:szCs w:val="21"/>
          <w:highlight w:val="none"/>
          <w:vertAlign w:val="subscript"/>
        </w:rPr>
        <w:t>Qi</w:t>
      </w:r>
      <w:r>
        <w:rPr>
          <w:rFonts w:ascii="Times New Roman" w:hAnsi="Times New Roman" w:eastAsia="宋体" w:cs="Times New Roman"/>
          <w:color w:val="auto"/>
          <w:szCs w:val="21"/>
          <w:highlight w:val="none"/>
        </w:rPr>
        <w:t>——第i土条底部距滑弧圆心的垂直高度；</w:t>
      </w:r>
    </w:p>
    <w:p w14:paraId="0552C12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R——滑弧半径；</w:t>
      </w:r>
    </w:p>
    <w:p w14:paraId="44FE822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θ</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——第i条滑弧的仰角。</w:t>
      </w:r>
    </w:p>
    <w:p w14:paraId="5A8FBC06">
      <w:pPr>
        <w:tabs>
          <w:tab w:val="left" w:pos="420"/>
        </w:tabs>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6.2.1.9</w:t>
      </w:r>
      <w:r>
        <w:rPr>
          <w:rFonts w:ascii="Times New Roman" w:hAnsi="Times New Roman" w:eastAsia="宋体" w:cs="Times New Roman"/>
          <w:color w:val="auto"/>
          <w:szCs w:val="21"/>
          <w:highlight w:val="none"/>
        </w:rPr>
        <w:t xml:space="preserve"> 薄层软基可采用水平滑动面法计算抗滑稳定安全系数，可按</w:t>
      </w:r>
      <w:r>
        <w:rPr>
          <w:rFonts w:hint="eastAsia" w:ascii="Times New Roman" w:hAnsi="Times New Roman" w:eastAsia="宋体" w:cs="Times New Roman"/>
          <w:color w:val="auto"/>
          <w:szCs w:val="21"/>
          <w:highlight w:val="none"/>
          <w:lang w:val="en-US" w:eastAsia="zh-CN"/>
        </w:rPr>
        <w:t>公式（11）</w:t>
      </w:r>
      <w:r>
        <w:rPr>
          <w:rFonts w:ascii="Times New Roman" w:hAnsi="Times New Roman" w:eastAsia="宋体" w:cs="Times New Roman"/>
          <w:color w:val="auto"/>
          <w:szCs w:val="21"/>
          <w:highlight w:val="none"/>
        </w:rPr>
        <w:t>确定，计算示意图见图8。</w:t>
      </w:r>
    </w:p>
    <w:p w14:paraId="5F7AFC02">
      <w:pPr>
        <w:spacing w:line="360" w:lineRule="auto"/>
        <w:jc w:val="center"/>
        <w:rPr>
          <w:rFonts w:ascii="Times New Roman" w:hAnsi="Times New Roman" w:eastAsia="宋体" w:cs="Times New Roman"/>
          <w:b/>
          <w:color w:val="auto"/>
          <w:szCs w:val="21"/>
          <w:highlight w:val="none"/>
        </w:rPr>
      </w:pPr>
      <w:r>
        <w:rPr>
          <w:rFonts w:hint="eastAsia" w:hAnsi="Cambria Math" w:cs="Times New Roman"/>
          <w:i w:val="0"/>
          <w:color w:val="auto"/>
          <w:szCs w:val="21"/>
          <w:highlight w:val="none"/>
          <w:lang w:val="en-US" w:eastAsia="zh-CN"/>
        </w:rPr>
        <w:t xml:space="preserve">                                </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b</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gc</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ag</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as</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.........................................................（11）</w:t>
      </w:r>
    </w:p>
    <w:p w14:paraId="3537D87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62A2873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——抗滑稳定安全系数；</w:t>
      </w:r>
    </w:p>
    <w:p w14:paraId="1487836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——被动土压力（kN/m）；</w:t>
      </w:r>
    </w:p>
    <w:p w14:paraId="0729AD9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b</w:t>
      </w:r>
      <w:r>
        <w:rPr>
          <w:rFonts w:ascii="Times New Roman" w:hAnsi="Times New Roman" w:eastAsia="宋体" w:cs="Times New Roman"/>
          <w:color w:val="auto"/>
          <w:szCs w:val="21"/>
          <w:highlight w:val="none"/>
        </w:rPr>
        <w:t>——软弱土层底部抗滑力（kN/m）；</w:t>
      </w:r>
    </w:p>
    <w:p w14:paraId="29D0C59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gc</w:t>
      </w:r>
      <w:r>
        <w:rPr>
          <w:rFonts w:ascii="Times New Roman" w:hAnsi="Times New Roman" w:eastAsia="宋体" w:cs="Times New Roman"/>
          <w:color w:val="auto"/>
          <w:szCs w:val="21"/>
          <w:highlight w:val="none"/>
        </w:rPr>
        <w:t>——土工合成材料设计抗拉强度（kN/m）；</w:t>
      </w:r>
    </w:p>
    <w:p w14:paraId="29974A0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ag</w:t>
      </w:r>
      <w:r>
        <w:rPr>
          <w:rFonts w:ascii="Times New Roman" w:hAnsi="Times New Roman" w:eastAsia="宋体" w:cs="Times New Roman"/>
          <w:color w:val="auto"/>
          <w:szCs w:val="21"/>
          <w:highlight w:val="none"/>
        </w:rPr>
        <w:t>——加筋垫层以上堤体主动土压力（kN/m）；</w:t>
      </w:r>
    </w:p>
    <w:p w14:paraId="66F8F8D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as</w:t>
      </w:r>
      <w:r>
        <w:rPr>
          <w:rFonts w:ascii="Times New Roman" w:hAnsi="Times New Roman" w:eastAsia="宋体" w:cs="Times New Roman"/>
          <w:color w:val="auto"/>
          <w:szCs w:val="21"/>
          <w:highlight w:val="none"/>
        </w:rPr>
        <w:t>——软弱土层主动土压力（kN/m）。</w:t>
      </w:r>
    </w:p>
    <w:p w14:paraId="1E0429C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4716780" cy="1512570"/>
            <wp:effectExtent l="0" t="0" r="7620" b="11430"/>
            <wp:docPr id="14" name="图片 14" descr="C:/Users/22308/Desktop/27ca01506ba8c4e77cdb3aacca9158a.jpg27ca01506ba8c4e77cdb3aacca91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22308/Desktop/27ca01506ba8c4e77cdb3aacca9158a.jpg27ca01506ba8c4e77cdb3aacca9158a"/>
                    <pic:cNvPicPr>
                      <a:picLocks noChangeAspect="1"/>
                    </pic:cNvPicPr>
                  </pic:nvPicPr>
                  <pic:blipFill>
                    <a:blip r:embed="rId39"/>
                    <a:srcRect t="7" b="7"/>
                    <a:stretch>
                      <a:fillRect/>
                    </a:stretch>
                  </pic:blipFill>
                  <pic:spPr>
                    <a:xfrm>
                      <a:off x="0" y="0"/>
                      <a:ext cx="4716780" cy="1512570"/>
                    </a:xfrm>
                    <a:prstGeom prst="rect">
                      <a:avLst/>
                    </a:prstGeom>
                  </pic:spPr>
                </pic:pic>
              </a:graphicData>
            </a:graphic>
          </wp:inline>
        </w:drawing>
      </w:r>
    </w:p>
    <w:p w14:paraId="32B2E6C2">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outlineLvl w:val="2"/>
        <w:rPr>
          <w:rFonts w:hint="eastAsia" w:ascii="黑体" w:hAnsi="黑体" w:eastAsia="黑体" w:cs="黑体"/>
          <w:bCs/>
          <w:color w:val="auto"/>
          <w:szCs w:val="21"/>
          <w:highlight w:val="none"/>
          <w:lang w:val="en-US" w:eastAsia="zh-CN"/>
        </w:rPr>
      </w:pPr>
      <w:r>
        <w:rPr>
          <w:rFonts w:ascii="Times New Roman" w:hAnsi="Times New Roman" w:eastAsia="宋体" w:cs="Times New Roman"/>
          <w:b/>
          <w:color w:val="auto"/>
          <w:szCs w:val="21"/>
          <w:highlight w:val="none"/>
        </w:rPr>
        <w:t>图8  水平滑动稳定验算图</w:t>
      </w:r>
    </w:p>
    <w:p w14:paraId="4A1A21AF">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ascii="Times New Roman" w:hAnsi="Times New Roman" w:eastAsia="宋体" w:cs="Times New Roman"/>
          <w:bCs/>
          <w:color w:val="auto"/>
          <w:szCs w:val="21"/>
          <w:highlight w:val="none"/>
        </w:rPr>
      </w:pPr>
      <w:r>
        <w:rPr>
          <w:rFonts w:hint="eastAsia" w:ascii="黑体" w:hAnsi="黑体" w:eastAsia="黑体" w:cs="黑体"/>
          <w:bCs/>
          <w:color w:val="auto"/>
          <w:szCs w:val="21"/>
          <w:highlight w:val="none"/>
          <w:lang w:val="en-US" w:eastAsia="zh-CN"/>
        </w:rPr>
        <w:t>6</w:t>
      </w:r>
      <w:r>
        <w:rPr>
          <w:rFonts w:hint="eastAsia" w:ascii="黑体" w:hAnsi="黑体" w:eastAsia="黑体" w:cs="黑体"/>
          <w:bCs/>
          <w:color w:val="auto"/>
          <w:szCs w:val="21"/>
          <w:highlight w:val="none"/>
        </w:rPr>
        <w:t>.2.2 土工合成材料布设</w:t>
      </w:r>
    </w:p>
    <w:p w14:paraId="0BF3A62C">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6.2.2.1 </w:t>
      </w:r>
      <w:r>
        <w:rPr>
          <w:rFonts w:ascii="Times New Roman" w:hAnsi="Times New Roman" w:eastAsia="宋体" w:cs="Times New Roman"/>
          <w:color w:val="auto"/>
          <w:szCs w:val="21"/>
          <w:highlight w:val="none"/>
        </w:rPr>
        <w:t>碳酸盐岩红</w:t>
      </w:r>
      <w:r>
        <w:rPr>
          <w:rFonts w:hint="eastAsia" w:ascii="Times New Roman" w:hAnsi="Times New Roman" w:eastAsia="宋体" w:cs="Times New Roman"/>
          <w:color w:val="auto"/>
          <w:szCs w:val="21"/>
          <w:highlight w:val="none"/>
          <w:lang w:eastAsia="zh-CN"/>
        </w:rPr>
        <w:t>黏土</w:t>
      </w:r>
      <w:r>
        <w:rPr>
          <w:rFonts w:ascii="Times New Roman" w:hAnsi="Times New Roman" w:eastAsia="宋体" w:cs="Times New Roman"/>
          <w:color w:val="auto"/>
          <w:szCs w:val="21"/>
          <w:highlight w:val="none"/>
        </w:rPr>
        <w:t>地区的软弱土多为上硬下软结构，当上部硬壳层有一定厚度，下部软弱层厚度较小，且性质相对较好时，清表后可铺设厚约60cm碎石垫层，垫层</w:t>
      </w:r>
      <w:r>
        <w:rPr>
          <w:rFonts w:hint="eastAsia" w:ascii="Times New Roman" w:hAnsi="Times New Roman" w:eastAsia="宋体" w:cs="Times New Roman"/>
          <w:color w:val="auto"/>
          <w:szCs w:val="21"/>
          <w:highlight w:val="none"/>
          <w:lang w:val="en-US" w:eastAsia="zh-CN"/>
        </w:rPr>
        <w:t>底部</w:t>
      </w:r>
      <w:r>
        <w:rPr>
          <w:rFonts w:ascii="Times New Roman" w:hAnsi="Times New Roman" w:eastAsia="宋体" w:cs="Times New Roman"/>
          <w:color w:val="auto"/>
          <w:szCs w:val="21"/>
          <w:highlight w:val="none"/>
        </w:rPr>
        <w:t>按竖向50cm间距铺设1～3层土工格栅或土工格室，典型结构如图9所示，土工格栅抗拉强度宜</w:t>
      </w:r>
      <w:r>
        <w:rPr>
          <w:rFonts w:hint="eastAsia" w:ascii="Times New Roman" w:hAnsi="Times New Roman" w:eastAsia="宋体" w:cs="Times New Roman"/>
          <w:color w:val="auto"/>
          <w:szCs w:val="21"/>
          <w:highlight w:val="none"/>
          <w:lang w:val="en-US" w:eastAsia="zh-CN"/>
        </w:rPr>
        <w:t>≥</w:t>
      </w:r>
      <w:r>
        <w:rPr>
          <w:rFonts w:ascii="Times New Roman" w:hAnsi="Times New Roman" w:eastAsia="宋体" w:cs="Times New Roman"/>
          <w:color w:val="auto"/>
          <w:szCs w:val="21"/>
          <w:highlight w:val="none"/>
        </w:rPr>
        <w:t>50kN/m；当采用该处治方案时，应进行路基稳定与沉降验算，路基变形和软弱下卧层验算应满足规范要求。</w:t>
      </w:r>
    </w:p>
    <w:p w14:paraId="49CA1496">
      <w:pPr>
        <w:spacing w:line="360"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drawing>
          <wp:inline distT="0" distB="0" distL="0" distR="0">
            <wp:extent cx="4393565" cy="1500505"/>
            <wp:effectExtent l="0" t="0" r="635" b="10795"/>
            <wp:docPr id="403" name="Picture 1" descr="C:/Users/22308/Desktop/5f9df5094d0ecb989a6cd735dda36d7.jpg5f9df5094d0ecb989a6cd735dda3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 descr="C:/Users/22308/Desktop/5f9df5094d0ecb989a6cd735dda36d7.jpg5f9df5094d0ecb989a6cd735dda36d7"/>
                    <pic:cNvPicPr>
                      <a:picLocks noChangeAspect="1"/>
                    </pic:cNvPicPr>
                  </pic:nvPicPr>
                  <pic:blipFill>
                    <a:blip r:embed="rId40"/>
                    <a:srcRect t="13" b="13"/>
                    <a:stretch>
                      <a:fillRect/>
                    </a:stretch>
                  </pic:blipFill>
                  <pic:spPr>
                    <a:xfrm>
                      <a:off x="0" y="0"/>
                      <a:ext cx="4393565" cy="1500505"/>
                    </a:xfrm>
                    <a:prstGeom prst="rect">
                      <a:avLst/>
                    </a:prstGeom>
                  </pic:spPr>
                </pic:pic>
              </a:graphicData>
            </a:graphic>
          </wp:inline>
        </w:drawing>
      </w:r>
    </w:p>
    <w:p w14:paraId="3056A4A6">
      <w:pPr>
        <w:spacing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图9  上硬下软地基土工合成材料加筋典型结构图</w:t>
      </w:r>
    </w:p>
    <w:p w14:paraId="18E73F6D">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6.2.2.2 </w:t>
      </w:r>
      <w:r>
        <w:rPr>
          <w:rFonts w:ascii="Times New Roman" w:hAnsi="Times New Roman" w:eastAsia="宋体" w:cs="Times New Roman"/>
          <w:color w:val="auto"/>
          <w:szCs w:val="21"/>
          <w:highlight w:val="none"/>
        </w:rPr>
        <w:t>当上部软弱土为软～可塑含砂黏性土或松散砂性土、性质相对较好、厚度较小时，可考虑清表后，铺设厚约60cm碎石垫层，垫层</w:t>
      </w:r>
      <w:r>
        <w:rPr>
          <w:rFonts w:hint="eastAsia" w:ascii="Times New Roman" w:hAnsi="Times New Roman" w:eastAsia="宋体" w:cs="Times New Roman"/>
          <w:color w:val="auto"/>
          <w:szCs w:val="21"/>
          <w:highlight w:val="none"/>
          <w:lang w:val="en-US" w:eastAsia="zh-CN"/>
        </w:rPr>
        <w:t>底部</w:t>
      </w:r>
      <w:r>
        <w:rPr>
          <w:rFonts w:ascii="Times New Roman" w:hAnsi="Times New Roman" w:eastAsia="宋体" w:cs="Times New Roman"/>
          <w:color w:val="auto"/>
          <w:szCs w:val="21"/>
          <w:highlight w:val="none"/>
        </w:rPr>
        <w:t>按竖向50cm间距铺设1～3层土工格栅或土工格室，典型结构如图1</w:t>
      </w:r>
      <w:r>
        <w:rPr>
          <w:rFonts w:hint="eastAsia" w:ascii="Times New Roman" w:hAnsi="Times New Roman" w:eastAsia="宋体" w:cs="Times New Roman"/>
          <w:color w:val="auto"/>
          <w:szCs w:val="21"/>
          <w:highlight w:val="none"/>
          <w:lang w:val="en-US" w:eastAsia="zh-CN"/>
        </w:rPr>
        <w:t>0</w:t>
      </w:r>
      <w:r>
        <w:rPr>
          <w:rFonts w:ascii="Times New Roman" w:hAnsi="Times New Roman" w:eastAsia="宋体" w:cs="Times New Roman"/>
          <w:color w:val="auto"/>
          <w:szCs w:val="21"/>
          <w:highlight w:val="none"/>
        </w:rPr>
        <w:t>所示，土工格栅抗拉强度宜</w:t>
      </w:r>
      <w:r>
        <w:rPr>
          <w:rFonts w:hint="eastAsia" w:ascii="Times New Roman" w:hAnsi="Times New Roman" w:eastAsia="宋体" w:cs="Times New Roman"/>
          <w:color w:val="auto"/>
          <w:szCs w:val="21"/>
          <w:highlight w:val="none"/>
          <w:lang w:val="en-US" w:eastAsia="zh-CN"/>
        </w:rPr>
        <w:t>≥</w:t>
      </w:r>
      <w:r>
        <w:rPr>
          <w:rFonts w:ascii="Times New Roman" w:hAnsi="Times New Roman" w:eastAsia="宋体" w:cs="Times New Roman"/>
          <w:color w:val="auto"/>
          <w:szCs w:val="21"/>
          <w:highlight w:val="none"/>
        </w:rPr>
        <w:t>50kN／m。</w:t>
      </w:r>
    </w:p>
    <w:p w14:paraId="58B55CB3">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0" distR="0">
            <wp:extent cx="4709795" cy="1450340"/>
            <wp:effectExtent l="0" t="0" r="1905" b="10160"/>
            <wp:docPr id="404" name="Picture 1" descr="C:/Users/22308/Desktop/32e0c655b5b305f2c76c397ffb2ffba.jpg32e0c655b5b305f2c76c397ffb2f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 descr="C:/Users/22308/Desktop/32e0c655b5b305f2c76c397ffb2ffba.jpg32e0c655b5b305f2c76c397ffb2ffba"/>
                    <pic:cNvPicPr>
                      <a:picLocks noChangeAspect="1"/>
                    </pic:cNvPicPr>
                  </pic:nvPicPr>
                  <pic:blipFill>
                    <a:blip r:embed="rId41"/>
                    <a:srcRect t="13" b="13"/>
                    <a:stretch>
                      <a:fillRect/>
                    </a:stretch>
                  </pic:blipFill>
                  <pic:spPr>
                    <a:xfrm>
                      <a:off x="0" y="0"/>
                      <a:ext cx="4709795" cy="1450340"/>
                    </a:xfrm>
                    <a:prstGeom prst="rect">
                      <a:avLst/>
                    </a:prstGeom>
                  </pic:spPr>
                </pic:pic>
              </a:graphicData>
            </a:graphic>
          </wp:inline>
        </w:drawing>
      </w:r>
      <w:bookmarkStart w:id="46" w:name="_GoBack"/>
      <w:bookmarkEnd w:id="46"/>
    </w:p>
    <w:p w14:paraId="2F5BA5F5">
      <w:pPr>
        <w:keepNext/>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图10 上软下硬地基土工合成材料加筋典型结构图</w:t>
      </w:r>
    </w:p>
    <w:p w14:paraId="599420E9">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6.2.2.3 </w:t>
      </w:r>
      <w:r>
        <w:rPr>
          <w:rFonts w:ascii="Times New Roman" w:hAnsi="Times New Roman" w:eastAsia="宋体" w:cs="Times New Roman"/>
          <w:color w:val="auto"/>
          <w:szCs w:val="21"/>
          <w:highlight w:val="none"/>
        </w:rPr>
        <w:t>用于减小公路改建工程新旧路基差异沉降时，土工合成材料宜铺设在路基的底部和路床处，新老路基结合部位应进行搭接，搭接长度宜不小于2.0m，如图11所示，土工格栅或土工格室的铺设层数应根据软弱土厚度、性质及填土高度综合确定，路基底部宜铺设1～2层，当拓宽路基的填土高度较大时，应根据计算差异沉降量大小，在路基中部按一定间距增设一定层数的土工合成材料。</w:t>
      </w:r>
    </w:p>
    <w:p w14:paraId="30880CCF">
      <w:pPr>
        <w:spacing w:line="360" w:lineRule="auto"/>
        <w:ind w:firstLine="420" w:firstLineChars="200"/>
        <w:rPr>
          <w:rFonts w:ascii="Times New Roman" w:hAnsi="Times New Roman" w:eastAsia="宋体" w:cs="Times New Roman"/>
          <w:color w:val="auto"/>
          <w:szCs w:val="21"/>
          <w:highlight w:val="none"/>
        </w:rPr>
      </w:pPr>
    </w:p>
    <w:p w14:paraId="591400E0">
      <w:pPr>
        <w:spacing w:line="360" w:lineRule="auto"/>
        <w:rPr>
          <w:rFonts w:ascii="Times New Roman" w:hAnsi="Times New Roman" w:eastAsia="宋体" w:cs="Times New Roman"/>
          <w:color w:val="auto"/>
          <w:szCs w:val="21"/>
          <w:highlight w:val="none"/>
        </w:rPr>
      </w:pPr>
    </w:p>
    <w:p w14:paraId="114184A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4278630" cy="1734185"/>
            <wp:effectExtent l="0" t="0" r="1270" b="5715"/>
            <wp:docPr id="15" name="图片 15" descr="C:/Users/22308/Desktop/微信图片_20240806104936.jpg微信图片_2024080610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22308/Desktop/微信图片_20240806104936.jpg微信图片_20240806104936"/>
                    <pic:cNvPicPr>
                      <a:picLocks noChangeAspect="1"/>
                    </pic:cNvPicPr>
                  </pic:nvPicPr>
                  <pic:blipFill>
                    <a:blip r:embed="rId42"/>
                    <a:srcRect l="92" r="92"/>
                    <a:stretch>
                      <a:fillRect/>
                    </a:stretch>
                  </pic:blipFill>
                  <pic:spPr>
                    <a:xfrm>
                      <a:off x="0" y="0"/>
                      <a:ext cx="4278630" cy="1734185"/>
                    </a:xfrm>
                    <a:prstGeom prst="rect">
                      <a:avLst/>
                    </a:prstGeom>
                  </pic:spPr>
                </pic:pic>
              </a:graphicData>
            </a:graphic>
          </wp:inline>
        </w:drawing>
      </w:r>
    </w:p>
    <w:p w14:paraId="5E463DF3">
      <w:pPr>
        <w:spacing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图11  拓宽路基不均匀沉降防治典型结构图</w:t>
      </w:r>
    </w:p>
    <w:p w14:paraId="015D126E">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6.2.2.4 </w:t>
      </w:r>
      <w:r>
        <w:rPr>
          <w:rFonts w:ascii="Times New Roman" w:hAnsi="Times New Roman" w:eastAsia="宋体" w:cs="Times New Roman"/>
          <w:color w:val="auto"/>
          <w:szCs w:val="21"/>
          <w:highlight w:val="none"/>
        </w:rPr>
        <w:t>土工合成材料可用于不同软弱土地基处理方法的过渡路段，宜铺设在交界处的路基底部，不同地基处理方法路段内铺设长度不宜小于10m，典型结构如图12所示，必要时还可在路床部位设置1～2层土工合成材料。</w:t>
      </w:r>
    </w:p>
    <w:p w14:paraId="04487FB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2454910" cy="1640205"/>
            <wp:effectExtent l="0" t="0" r="13970" b="5715"/>
            <wp:docPr id="16" name="图片 16" descr="C:/Users/22308/Desktop/微信图片_20240806105246.jpg微信图片_2024080610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22308/Desktop/微信图片_20240806105246.jpg微信图片_20240806105246"/>
                    <pic:cNvPicPr>
                      <a:picLocks noChangeAspect="1"/>
                    </pic:cNvPicPr>
                  </pic:nvPicPr>
                  <pic:blipFill>
                    <a:blip r:embed="rId43"/>
                    <a:srcRect t="52" b="52"/>
                    <a:stretch>
                      <a:fillRect/>
                    </a:stretch>
                  </pic:blipFill>
                  <pic:spPr>
                    <a:xfrm>
                      <a:off x="0" y="0"/>
                      <a:ext cx="2454910" cy="1640205"/>
                    </a:xfrm>
                    <a:prstGeom prst="rect">
                      <a:avLst/>
                    </a:prstGeom>
                  </pic:spPr>
                </pic:pic>
              </a:graphicData>
            </a:graphic>
          </wp:inline>
        </w:drawing>
      </w:r>
      <w:r>
        <w:rPr>
          <w:rFonts w:ascii="Times New Roman" w:hAnsi="Times New Roman" w:eastAsia="宋体" w:cs="Times New Roman"/>
          <w:color w:val="auto"/>
          <w:szCs w:val="21"/>
          <w:highlight w:val="none"/>
        </w:rPr>
        <w:drawing>
          <wp:inline distT="0" distB="0" distL="114300" distR="114300">
            <wp:extent cx="2468880" cy="1662430"/>
            <wp:effectExtent l="0" t="0" r="7620" b="1270"/>
            <wp:docPr id="17" name="图片 17" descr="C:/Users/22308/Desktop/微信图片_20240806105601.jpg微信图片_2024080610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22308/Desktop/微信图片_20240806105601.jpg微信图片_20240806105601"/>
                    <pic:cNvPicPr>
                      <a:picLocks noChangeAspect="1"/>
                    </pic:cNvPicPr>
                  </pic:nvPicPr>
                  <pic:blipFill>
                    <a:blip r:embed="rId44"/>
                    <a:srcRect t="51" b="51"/>
                    <a:stretch>
                      <a:fillRect/>
                    </a:stretch>
                  </pic:blipFill>
                  <pic:spPr>
                    <a:xfrm>
                      <a:off x="0" y="0"/>
                      <a:ext cx="2468880" cy="1662430"/>
                    </a:xfrm>
                    <a:prstGeom prst="rect">
                      <a:avLst/>
                    </a:prstGeom>
                  </pic:spPr>
                </pic:pic>
              </a:graphicData>
            </a:graphic>
          </wp:inline>
        </w:drawing>
      </w:r>
    </w:p>
    <w:p w14:paraId="5DBE9C92">
      <w:pPr>
        <w:numPr>
          <w:ilvl w:val="0"/>
          <w:numId w:val="1"/>
        </w:numPr>
        <w:spacing w:line="360" w:lineRule="auto"/>
        <w:ind w:firstLine="1050" w:firstLineChars="5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复合地基与浅层处理交界处     </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b）刚性桩与粒料桩路段交界处</w:t>
      </w:r>
    </w:p>
    <w:p w14:paraId="284BDBAE">
      <w:pPr>
        <w:numPr>
          <w:ilvl w:val="0"/>
          <w:numId w:val="0"/>
        </w:numPr>
        <w:spacing w:line="360" w:lineRule="auto"/>
        <w:ind w:firstLine="2108" w:firstLineChars="10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图12 软基不同处理方法过渡路段典型结构图</w:t>
      </w:r>
    </w:p>
    <w:p w14:paraId="2B7E9EA1">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6.2.2.5 </w:t>
      </w:r>
      <w:r>
        <w:rPr>
          <w:rFonts w:ascii="Times New Roman" w:hAnsi="Times New Roman" w:eastAsia="宋体" w:cs="Times New Roman"/>
          <w:color w:val="auto"/>
          <w:szCs w:val="21"/>
          <w:highlight w:val="none"/>
        </w:rPr>
        <w:t>土工合成材料可用于防治桥台、涵洞等构造物与一般软弱土路基间的不均匀沉降，可在U型桥台或涵洞基础顶面铺设土工格栅；对于桩柱式桥台，可在桥台锥坡及桥台范围内铺设土工格栅。</w:t>
      </w:r>
    </w:p>
    <w:p w14:paraId="0B18262E">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6.2.2.6</w:t>
      </w:r>
      <w:r>
        <w:rPr>
          <w:rFonts w:ascii="Times New Roman" w:hAnsi="Times New Roman" w:eastAsia="宋体" w:cs="Times New Roman"/>
          <w:color w:val="auto"/>
          <w:szCs w:val="21"/>
          <w:highlight w:val="none"/>
        </w:rPr>
        <w:t xml:space="preserve"> 土工合成材料可与粒料桩、加固土桩、刚性桩等复合地基处理措施相结合，在复合地基桩顶的碎石或砂砾垫层部位加铺1～N层土工格栅或土工格室，铺设宽度宜与路基底部同宽。</w:t>
      </w:r>
    </w:p>
    <w:p w14:paraId="25984201">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6.2.2.7 </w:t>
      </w:r>
      <w:r>
        <w:rPr>
          <w:rFonts w:hint="eastAsia" w:ascii="Times New Roman" w:hAnsi="Times New Roman" w:eastAsia="宋体" w:cs="Times New Roman"/>
          <w:color w:val="auto"/>
          <w:szCs w:val="21"/>
          <w:highlight w:val="none"/>
        </w:rPr>
        <w:t>一般在以下情况考虑使用土工格栅：</w:t>
      </w:r>
    </w:p>
    <w:p w14:paraId="40C57B0D">
      <w:pPr>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填挖交界路基加固：在进行路基施工时，特别是在纵向填挖交界的地方，土工格栅能够减少由于填土不均匀而导致的路基非均匀沉降，避免路表产生横向裂缝，确保路基的稳定性和使用寿命。</w:t>
      </w:r>
    </w:p>
    <w:p w14:paraId="569DA082">
      <w:pPr>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路基稳定性增强：在路基的填筑过程中，土工格栅能够有效地限制填土的侧向位移，防止因填土重量大而产生的滑坡，同时也能减少路基顶面的沉降和路面结构所受的拉应力和剪应力，从而避免路基和路面出现拉裂或滑裂现象。</w:t>
      </w:r>
    </w:p>
    <w:p w14:paraId="4D9F6E4A">
      <w:pPr>
        <w:spacing w:line="360" w:lineRule="auto"/>
        <w:ind w:left="840" w:leftChars="200" w:hanging="420" w:hanging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加固边坡稳定：土工格栅还可以用于边坡的稳定工程中，通过其加筋作用，增加边坡土壤的抗剪强度，有效控制</w:t>
      </w:r>
      <w:r>
        <w:rPr>
          <w:rFonts w:hint="eastAsia" w:ascii="Times New Roman" w:hAnsi="Times New Roman" w:eastAsia="宋体" w:cs="Times New Roman"/>
          <w:color w:val="auto"/>
          <w:szCs w:val="21"/>
          <w:highlight w:val="none"/>
          <w:lang w:val="en-US" w:eastAsia="zh-CN"/>
        </w:rPr>
        <w:t>路基</w:t>
      </w:r>
      <w:r>
        <w:rPr>
          <w:rFonts w:hint="eastAsia" w:ascii="Times New Roman" w:hAnsi="Times New Roman" w:eastAsia="宋体" w:cs="Times New Roman"/>
          <w:color w:val="auto"/>
          <w:szCs w:val="21"/>
          <w:highlight w:val="none"/>
        </w:rPr>
        <w:t>滑移，提高边坡稳定性。</w:t>
      </w:r>
    </w:p>
    <w:p w14:paraId="6D3F2C8A">
      <w:pPr>
        <w:spacing w:line="360" w:lineRule="auto"/>
        <w:rPr>
          <w:rFonts w:hint="eastAsia"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 xml:space="preserve">6.2.2.8 </w:t>
      </w:r>
      <w:r>
        <w:rPr>
          <w:rFonts w:hint="eastAsia"/>
          <w:color w:val="auto"/>
          <w:highlight w:val="none"/>
        </w:rPr>
        <w:t>填挖交界处土工格栅铺设应铺设在填挖交界上部，间距为1m～3m，锚固端长度2m。</w:t>
      </w:r>
    </w:p>
    <w:p w14:paraId="00E8BE91">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6.2.2.9</w:t>
      </w:r>
      <w:r>
        <w:rPr>
          <w:rFonts w:hint="eastAsia" w:ascii="Times New Roman" w:hAnsi="Times New Roman" w:eastAsia="宋体" w:cs="Times New Roman"/>
          <w:color w:val="auto"/>
          <w:szCs w:val="21"/>
          <w:highlight w:val="none"/>
        </w:rPr>
        <w:t>涵洞台背路基土工格栅铺设方案如下，土工格栅铺设方案如表</w:t>
      </w:r>
      <w:r>
        <w:rPr>
          <w:rFonts w:hint="eastAsia" w:ascii="Times New Roman" w:hAnsi="Times New Roman" w:eastAsia="宋体" w:cs="Times New Roman"/>
          <w:color w:val="auto"/>
          <w:szCs w:val="21"/>
          <w:highlight w:val="none"/>
          <w:lang w:val="en-US" w:eastAsia="zh-CN"/>
        </w:rPr>
        <w:t>13</w:t>
      </w:r>
      <w:r>
        <w:rPr>
          <w:rFonts w:hint="eastAsia" w:ascii="Times New Roman" w:hAnsi="Times New Roman" w:eastAsia="宋体" w:cs="Times New Roman"/>
          <w:color w:val="auto"/>
          <w:szCs w:val="21"/>
          <w:highlight w:val="none"/>
        </w:rPr>
        <w:t>所示:</w:t>
      </w:r>
    </w:p>
    <w:p w14:paraId="4D41EC67">
      <w:pPr>
        <w:numPr>
          <w:ilvl w:val="0"/>
          <w:numId w:val="2"/>
        </w:num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当涵洞顶部填高H</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5m时，在涵洞顶部以上h</w:t>
      </w:r>
      <w:r>
        <w:rPr>
          <w:rFonts w:hint="eastAsia" w:ascii="Times New Roman" w:hAnsi="Times New Roman" w:eastAsia="宋体" w:cs="Times New Roman"/>
          <w:color w:val="auto"/>
          <w:szCs w:val="21"/>
          <w:highlight w:val="none"/>
          <w:vertAlign w:val="subscript"/>
        </w:rPr>
        <w:t>1</w:t>
      </w:r>
      <w:r>
        <w:rPr>
          <w:rFonts w:hint="eastAsia" w:ascii="Times New Roman" w:hAnsi="Times New Roman" w:eastAsia="宋体" w:cs="Times New Roman"/>
          <w:color w:val="auto"/>
          <w:szCs w:val="21"/>
          <w:highlight w:val="none"/>
        </w:rPr>
        <w:t>布置第一层土工格栅，格栅长度</w:t>
      </w:r>
      <w:r>
        <w:rPr>
          <w:rFonts w:hint="eastAsia" w:ascii="Times New Roman" w:hAnsi="Times New Roman" w:eastAsia="宋体" w:cs="Times New Roman"/>
          <w:color w:val="auto"/>
          <w:szCs w:val="21"/>
          <w:highlight w:val="none"/>
          <w:lang w:val="en-US" w:eastAsia="zh-CN"/>
        </w:rPr>
        <w:t>为</w:t>
      </w:r>
    </w:p>
    <w:p w14:paraId="730E8250">
      <w:pPr>
        <w:numPr>
          <w:ilvl w:val="0"/>
          <w:numId w:val="0"/>
        </w:numPr>
        <w:spacing w:line="360" w:lineRule="auto"/>
        <w:ind w:left="840" w:leftChars="400" w:firstLine="0" w:firstLineChars="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L</w:t>
      </w:r>
      <w:r>
        <w:rPr>
          <w:rFonts w:hint="eastAsia" w:ascii="Times New Roman" w:hAnsi="Times New Roman" w:eastAsia="宋体" w:cs="Times New Roman"/>
          <w:color w:val="auto"/>
          <w:szCs w:val="21"/>
          <w:highlight w:val="none"/>
          <w:vertAlign w:val="subscript"/>
        </w:rPr>
        <w:t>1</w:t>
      </w:r>
      <w:r>
        <w:rPr>
          <w:rFonts w:hint="eastAsia" w:ascii="Times New Roman" w:hAnsi="Times New Roman" w:eastAsia="宋体" w:cs="Times New Roman"/>
          <w:color w:val="auto"/>
          <w:szCs w:val="21"/>
          <w:highlight w:val="none"/>
        </w:rPr>
        <w:t>，延伸到强夯区;自第一层格栅向上间隔h</w:t>
      </w:r>
      <w:r>
        <w:rPr>
          <w:rFonts w:hint="eastAsia" w:ascii="Times New Roman" w:hAnsi="Times New Roman" w:eastAsia="宋体" w:cs="Times New Roman"/>
          <w:color w:val="auto"/>
          <w:szCs w:val="21"/>
          <w:highlight w:val="none"/>
          <w:vertAlign w:val="subscript"/>
        </w:rPr>
        <w:t>2</w:t>
      </w:r>
      <w:r>
        <w:rPr>
          <w:rFonts w:hint="eastAsia" w:ascii="Times New Roman" w:hAnsi="Times New Roman" w:eastAsia="宋体" w:cs="Times New Roman"/>
          <w:color w:val="auto"/>
          <w:szCs w:val="21"/>
          <w:highlight w:val="none"/>
        </w:rPr>
        <w:t>铺设第二层格栅，格栅长度为L</w:t>
      </w:r>
      <w:r>
        <w:rPr>
          <w:rFonts w:hint="eastAsia" w:ascii="Times New Roman" w:hAnsi="Times New Roman" w:eastAsia="宋体" w:cs="Times New Roman"/>
          <w:color w:val="auto"/>
          <w:szCs w:val="21"/>
          <w:highlight w:val="none"/>
          <w:vertAlign w:val="subscript"/>
        </w:rPr>
        <w:t>2</w:t>
      </w:r>
      <w:r>
        <w:rPr>
          <w:rFonts w:hint="eastAsia" w:ascii="Times New Roman" w:hAnsi="Times New Roman" w:eastAsia="宋体" w:cs="Times New Roman"/>
          <w:color w:val="auto"/>
          <w:szCs w:val="21"/>
          <w:highlight w:val="none"/>
        </w:rPr>
        <w:t>;自第二层格栅向上间隔h</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铺设第三层格栅，格栅长度为L</w:t>
      </w:r>
      <w:r>
        <w:rPr>
          <w:rFonts w:hint="eastAsia" w:ascii="Times New Roman" w:hAnsi="Times New Roman" w:eastAsia="宋体" w:cs="Times New Roman"/>
          <w:color w:val="auto"/>
          <w:szCs w:val="21"/>
          <w:highlight w:val="none"/>
          <w:vertAlign w:val="subscript"/>
        </w:rPr>
        <w:t>3</w:t>
      </w:r>
      <w:r>
        <w:rPr>
          <w:rFonts w:ascii="Times New Roman" w:hAnsi="Times New Roman" w:eastAsia="宋体" w:cs="Times New Roman"/>
          <w:color w:val="auto"/>
          <w:szCs w:val="21"/>
          <w:highlight w:val="none"/>
        </w:rPr>
        <w:t>;</w:t>
      </w:r>
    </w:p>
    <w:p w14:paraId="488E7E33">
      <w:pPr>
        <w:numPr>
          <w:ilvl w:val="0"/>
          <w:numId w:val="2"/>
        </w:numPr>
        <w:spacing w:line="360" w:lineRule="auto"/>
        <w:ind w:left="840" w:leftChars="200" w:hanging="420" w:hangingChars="200"/>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当路基填高H＞5m时，需按照</w:t>
      </w:r>
      <w:r>
        <w:rPr>
          <w:rFonts w:hint="eastAsia" w:ascii="Times New Roman" w:hAnsi="Times New Roman" w:eastAsia="宋体" w:cs="Times New Roman"/>
          <w:color w:val="auto"/>
          <w:szCs w:val="21"/>
          <w:highlight w:val="none"/>
          <w:lang w:val="en-US" w:eastAsia="zh-CN"/>
        </w:rPr>
        <w:t xml:space="preserve">a) </w:t>
      </w:r>
      <w:r>
        <w:rPr>
          <w:rFonts w:hint="eastAsia" w:ascii="Times New Roman" w:hAnsi="Times New Roman" w:eastAsia="宋体" w:cs="Times New Roman"/>
          <w:color w:val="auto"/>
          <w:szCs w:val="21"/>
          <w:highlight w:val="none"/>
        </w:rPr>
        <w:t>中规定铺设格栅，另外在第三层格栅上部视情况</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加设1～2道土工格栅，格栅总长为L</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。格栅布设方案如图1</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所示。</w:t>
      </w:r>
    </w:p>
    <w:p w14:paraId="4DE83815">
      <w:pPr>
        <w:keepNext/>
        <w:spacing w:before="156" w:beforeLines="50"/>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13</w:t>
      </w:r>
      <w:r>
        <w:rPr>
          <w:rFonts w:ascii="Times New Roman" w:hAnsi="Times New Roman" w:eastAsia="宋体" w:cs="Times New Roman"/>
          <w:b/>
          <w:color w:val="auto"/>
          <w:szCs w:val="21"/>
          <w:highlight w:val="none"/>
        </w:rPr>
        <w:t xml:space="preserve">  </w:t>
      </w:r>
      <w:r>
        <w:rPr>
          <w:rFonts w:hint="eastAsia" w:ascii="Times New Roman" w:hAnsi="Times New Roman" w:eastAsia="宋体" w:cs="Times New Roman"/>
          <w:b/>
          <w:color w:val="auto"/>
          <w:szCs w:val="21"/>
          <w:highlight w:val="none"/>
        </w:rPr>
        <w:t>涵洞处土工格栅布设方案</w:t>
      </w:r>
    </w:p>
    <w:tbl>
      <w:tblPr>
        <w:tblStyle w:val="16"/>
        <w:tblW w:w="4810" w:type="pct"/>
        <w:tblInd w:w="164" w:type="dxa"/>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32"/>
        <w:gridCol w:w="1860"/>
        <w:gridCol w:w="881"/>
        <w:gridCol w:w="879"/>
        <w:gridCol w:w="881"/>
        <w:gridCol w:w="864"/>
        <w:gridCol w:w="844"/>
        <w:gridCol w:w="848"/>
      </w:tblGrid>
      <w:tr w14:paraId="655048C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trPr>
        <w:tc>
          <w:tcPr>
            <w:tcW w:w="743" w:type="pct"/>
            <w:tcBorders>
              <w:tl2br w:val="nil"/>
              <w:tr2bl w:val="nil"/>
            </w:tcBorders>
            <w:vAlign w:val="center"/>
          </w:tcPr>
          <w:p w14:paraId="33D0AE1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行车速度</w:t>
            </w:r>
          </w:p>
          <w:p w14:paraId="5A250D4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km</w:t>
            </w:r>
            <w:r>
              <w:rPr>
                <w:rFonts w:hint="eastAsia" w:ascii="Times New Roman" w:hAnsi="Times New Roman" w:eastAsia="宋体" w:cs="Times New Roman"/>
                <w:color w:val="auto"/>
                <w:sz w:val="18"/>
                <w:szCs w:val="18"/>
                <w:highlight w:val="none"/>
                <w:lang w:eastAsia="zh-CN"/>
              </w:rPr>
              <w:t>）</w:t>
            </w:r>
          </w:p>
        </w:tc>
        <w:tc>
          <w:tcPr>
            <w:tcW w:w="1121" w:type="pct"/>
            <w:tcBorders>
              <w:tl2br w:val="nil"/>
              <w:tr2bl w:val="nil"/>
            </w:tcBorders>
            <w:vAlign w:val="center"/>
          </w:tcPr>
          <w:p w14:paraId="6B80124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不同差异沉降</w:t>
            </w:r>
          </w:p>
          <w:p w14:paraId="7BA2328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 </w:t>
            </w:r>
            <w:r>
              <w:rPr>
                <w:rFonts w:ascii="Times New Roman" w:hAnsi="Times New Roman" w:eastAsia="宋体" w:cs="Times New Roman"/>
                <w:color w:val="auto"/>
                <w:sz w:val="18"/>
                <w:szCs w:val="18"/>
                <w:highlight w:val="none"/>
              </w:rPr>
              <w:t>分布距离</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m</w:t>
            </w:r>
            <w:r>
              <w:rPr>
                <w:rFonts w:hint="eastAsia" w:ascii="Times New Roman" w:hAnsi="Times New Roman" w:eastAsia="宋体" w:cs="Times New Roman"/>
                <w:color w:val="auto"/>
                <w:sz w:val="18"/>
                <w:szCs w:val="18"/>
                <w:highlight w:val="none"/>
                <w:lang w:eastAsia="zh-CN"/>
              </w:rPr>
              <w:t>）</w:t>
            </w:r>
          </w:p>
        </w:tc>
        <w:tc>
          <w:tcPr>
            <w:tcW w:w="531" w:type="pct"/>
            <w:tcBorders>
              <w:tl2br w:val="nil"/>
              <w:tr2bl w:val="nil"/>
            </w:tcBorders>
            <w:vAlign w:val="center"/>
          </w:tcPr>
          <w:p w14:paraId="3A05B13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ascii="Times New Roman" w:hAnsi="Times New Roman" w:eastAsia="宋体" w:cs="Times New Roman"/>
                <w:color w:val="auto"/>
                <w:sz w:val="18"/>
                <w:szCs w:val="18"/>
                <w:highlight w:val="none"/>
                <w:vertAlign w:val="subscript"/>
              </w:rPr>
              <w:t>1</w:t>
            </w:r>
          </w:p>
        </w:tc>
        <w:tc>
          <w:tcPr>
            <w:tcW w:w="530" w:type="pct"/>
            <w:tcBorders>
              <w:tl2br w:val="nil"/>
              <w:tr2bl w:val="nil"/>
            </w:tcBorders>
            <w:vAlign w:val="center"/>
          </w:tcPr>
          <w:p w14:paraId="6737900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ascii="Times New Roman" w:hAnsi="Times New Roman" w:eastAsia="宋体" w:cs="Times New Roman"/>
                <w:color w:val="auto"/>
                <w:sz w:val="18"/>
                <w:szCs w:val="18"/>
                <w:highlight w:val="none"/>
                <w:vertAlign w:val="subscript"/>
              </w:rPr>
              <w:t>2</w:t>
            </w:r>
          </w:p>
        </w:tc>
        <w:tc>
          <w:tcPr>
            <w:tcW w:w="531" w:type="pct"/>
            <w:tcBorders>
              <w:tl2br w:val="nil"/>
              <w:tr2bl w:val="nil"/>
            </w:tcBorders>
            <w:vAlign w:val="center"/>
          </w:tcPr>
          <w:p w14:paraId="34C46A0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ascii="Times New Roman" w:hAnsi="Times New Roman" w:eastAsia="宋体" w:cs="Times New Roman"/>
                <w:color w:val="auto"/>
                <w:sz w:val="18"/>
                <w:szCs w:val="18"/>
                <w:highlight w:val="none"/>
                <w:vertAlign w:val="subscript"/>
              </w:rPr>
              <w:t>3</w:t>
            </w:r>
          </w:p>
        </w:tc>
        <w:tc>
          <w:tcPr>
            <w:tcW w:w="521" w:type="pct"/>
            <w:tcBorders>
              <w:tl2br w:val="nil"/>
              <w:tr2bl w:val="nil"/>
            </w:tcBorders>
            <w:vAlign w:val="center"/>
          </w:tcPr>
          <w:p w14:paraId="710601E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vertAlign w:val="subscript"/>
              </w:rPr>
            </w:pPr>
            <w:r>
              <w:rPr>
                <w:rFonts w:ascii="Times New Roman" w:hAnsi="Times New Roman" w:eastAsia="宋体" w:cs="Times New Roman"/>
                <w:color w:val="auto"/>
                <w:sz w:val="18"/>
                <w:szCs w:val="18"/>
                <w:highlight w:val="none"/>
              </w:rPr>
              <w:t>h</w:t>
            </w:r>
            <w:r>
              <w:rPr>
                <w:rFonts w:ascii="Times New Roman" w:hAnsi="Times New Roman" w:eastAsia="宋体" w:cs="Times New Roman"/>
                <w:color w:val="auto"/>
                <w:sz w:val="18"/>
                <w:szCs w:val="18"/>
                <w:highlight w:val="none"/>
                <w:vertAlign w:val="subscript"/>
              </w:rPr>
              <w:t>1</w:t>
            </w:r>
          </w:p>
          <w:p w14:paraId="013CD03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m</w:t>
            </w:r>
            <w:r>
              <w:rPr>
                <w:rFonts w:hint="eastAsia" w:ascii="Times New Roman" w:hAnsi="Times New Roman" w:eastAsia="宋体" w:cs="Times New Roman"/>
                <w:color w:val="auto"/>
                <w:sz w:val="18"/>
                <w:szCs w:val="18"/>
                <w:highlight w:val="none"/>
                <w:lang w:eastAsia="zh-CN"/>
              </w:rPr>
              <w:t>）</w:t>
            </w:r>
          </w:p>
        </w:tc>
        <w:tc>
          <w:tcPr>
            <w:tcW w:w="509" w:type="pct"/>
            <w:tcBorders>
              <w:tl2br w:val="nil"/>
              <w:tr2bl w:val="nil"/>
            </w:tcBorders>
            <w:vAlign w:val="center"/>
          </w:tcPr>
          <w:p w14:paraId="626619A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vertAlign w:val="subscript"/>
              </w:rPr>
            </w:pPr>
            <w:r>
              <w:rPr>
                <w:rFonts w:ascii="Times New Roman" w:hAnsi="Times New Roman" w:eastAsia="宋体" w:cs="Times New Roman"/>
                <w:color w:val="auto"/>
                <w:sz w:val="18"/>
                <w:szCs w:val="18"/>
                <w:highlight w:val="none"/>
              </w:rPr>
              <w:t>h</w:t>
            </w:r>
            <w:r>
              <w:rPr>
                <w:rFonts w:ascii="Times New Roman" w:hAnsi="Times New Roman" w:eastAsia="宋体" w:cs="Times New Roman"/>
                <w:color w:val="auto"/>
                <w:sz w:val="18"/>
                <w:szCs w:val="18"/>
                <w:highlight w:val="none"/>
                <w:vertAlign w:val="subscript"/>
              </w:rPr>
              <w:t>2</w:t>
            </w:r>
          </w:p>
          <w:p w14:paraId="704C92C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m</w:t>
            </w:r>
            <w:r>
              <w:rPr>
                <w:rFonts w:hint="eastAsia" w:ascii="Times New Roman" w:hAnsi="Times New Roman" w:eastAsia="宋体" w:cs="Times New Roman"/>
                <w:color w:val="auto"/>
                <w:sz w:val="18"/>
                <w:szCs w:val="18"/>
                <w:highlight w:val="none"/>
                <w:lang w:eastAsia="zh-CN"/>
              </w:rPr>
              <w:t>）</w:t>
            </w:r>
          </w:p>
        </w:tc>
        <w:tc>
          <w:tcPr>
            <w:tcW w:w="511" w:type="pct"/>
            <w:tcBorders>
              <w:tl2br w:val="nil"/>
              <w:tr2bl w:val="nil"/>
            </w:tcBorders>
            <w:vAlign w:val="center"/>
          </w:tcPr>
          <w:p w14:paraId="19F3FA5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vertAlign w:val="subscript"/>
              </w:rPr>
            </w:pPr>
            <w:r>
              <w:rPr>
                <w:rFonts w:ascii="Times New Roman" w:hAnsi="Times New Roman" w:eastAsia="宋体" w:cs="Times New Roman"/>
                <w:color w:val="auto"/>
                <w:sz w:val="18"/>
                <w:szCs w:val="18"/>
                <w:highlight w:val="none"/>
              </w:rPr>
              <w:t>h</w:t>
            </w:r>
            <w:r>
              <w:rPr>
                <w:rFonts w:ascii="Times New Roman" w:hAnsi="Times New Roman" w:eastAsia="宋体" w:cs="Times New Roman"/>
                <w:color w:val="auto"/>
                <w:sz w:val="18"/>
                <w:szCs w:val="18"/>
                <w:highlight w:val="none"/>
                <w:vertAlign w:val="subscript"/>
              </w:rPr>
              <w:t>3</w:t>
            </w:r>
          </w:p>
          <w:p w14:paraId="0C3A4A7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m</w:t>
            </w:r>
            <w:r>
              <w:rPr>
                <w:rFonts w:hint="eastAsia" w:ascii="Times New Roman" w:hAnsi="Times New Roman" w:eastAsia="宋体" w:cs="Times New Roman"/>
                <w:color w:val="auto"/>
                <w:sz w:val="18"/>
                <w:szCs w:val="18"/>
                <w:highlight w:val="none"/>
                <w:lang w:eastAsia="zh-CN"/>
              </w:rPr>
              <w:t>）</w:t>
            </w:r>
          </w:p>
        </w:tc>
      </w:tr>
      <w:tr w14:paraId="6213C18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restart"/>
            <w:tcBorders>
              <w:tl2br w:val="nil"/>
              <w:tr2bl w:val="nil"/>
            </w:tcBorders>
            <w:vAlign w:val="center"/>
          </w:tcPr>
          <w:p w14:paraId="417A14B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120</w:t>
            </w:r>
          </w:p>
        </w:tc>
        <w:tc>
          <w:tcPr>
            <w:tcW w:w="1121" w:type="pct"/>
            <w:tcBorders>
              <w:tl2br w:val="nil"/>
              <w:tr2bl w:val="nil"/>
            </w:tcBorders>
            <w:vAlign w:val="center"/>
          </w:tcPr>
          <w:p w14:paraId="452B9F4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2000</w:t>
            </w:r>
          </w:p>
        </w:tc>
        <w:tc>
          <w:tcPr>
            <w:tcW w:w="531" w:type="pct"/>
            <w:tcBorders>
              <w:tl2br w:val="nil"/>
              <w:tr2bl w:val="nil"/>
            </w:tcBorders>
            <w:vAlign w:val="center"/>
          </w:tcPr>
          <w:p w14:paraId="09351348">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val="en-US" w:eastAsia="zh-CN"/>
              </w:rPr>
              <w:t>a</w:t>
            </w:r>
          </w:p>
        </w:tc>
        <w:tc>
          <w:tcPr>
            <w:tcW w:w="530" w:type="pct"/>
            <w:tcBorders>
              <w:tl2br w:val="nil"/>
              <w:tr2bl w:val="nil"/>
            </w:tcBorders>
            <w:vAlign w:val="center"/>
          </w:tcPr>
          <w:p w14:paraId="299B0FD7">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2BA9A727">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5</w:t>
            </w:r>
            <w:r>
              <w:rPr>
                <w:rFonts w:hint="eastAsia" w:ascii="Times New Roman" w:hAnsi="Times New Roman" w:eastAsia="宋体" w:cs="Times New Roman"/>
                <w:color w:val="auto"/>
                <w:spacing w:val="-5"/>
                <w:w w:val="110"/>
                <w:sz w:val="18"/>
                <w:szCs w:val="18"/>
                <w:highlight w:val="none"/>
                <w:lang w:eastAsia="zh-CN"/>
              </w:rPr>
              <w:t>a</w:t>
            </w:r>
          </w:p>
        </w:tc>
        <w:tc>
          <w:tcPr>
            <w:tcW w:w="521" w:type="pct"/>
            <w:vMerge w:val="restart"/>
            <w:tcBorders>
              <w:tl2br w:val="nil"/>
              <w:tr2bl w:val="nil"/>
            </w:tcBorders>
            <w:vAlign w:val="center"/>
          </w:tcPr>
          <w:p w14:paraId="40654E0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0.5</w:t>
            </w:r>
          </w:p>
        </w:tc>
        <w:tc>
          <w:tcPr>
            <w:tcW w:w="509" w:type="pct"/>
            <w:tcBorders>
              <w:tl2br w:val="nil"/>
              <w:tr2bl w:val="nil"/>
            </w:tcBorders>
            <w:vAlign w:val="center"/>
          </w:tcPr>
          <w:p w14:paraId="6356410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1</w:t>
            </w:r>
          </w:p>
        </w:tc>
        <w:tc>
          <w:tcPr>
            <w:tcW w:w="511" w:type="pct"/>
            <w:tcBorders>
              <w:tl2br w:val="nil"/>
              <w:tr2bl w:val="nil"/>
            </w:tcBorders>
            <w:vAlign w:val="center"/>
          </w:tcPr>
          <w:p w14:paraId="53CC70C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r>
      <w:tr w14:paraId="57B59F2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35640BE5">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751CDC1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2000＜L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4000</w:t>
            </w:r>
          </w:p>
        </w:tc>
        <w:tc>
          <w:tcPr>
            <w:tcW w:w="531" w:type="pct"/>
            <w:tcBorders>
              <w:tl2br w:val="nil"/>
              <w:tr2bl w:val="nil"/>
            </w:tcBorders>
            <w:vAlign w:val="center"/>
          </w:tcPr>
          <w:p w14:paraId="41DB7EC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val="en-US" w:eastAsia="zh-CN"/>
              </w:rPr>
              <w:t>a</w:t>
            </w:r>
          </w:p>
        </w:tc>
        <w:tc>
          <w:tcPr>
            <w:tcW w:w="530" w:type="pct"/>
            <w:tcBorders>
              <w:tl2br w:val="nil"/>
              <w:tr2bl w:val="nil"/>
            </w:tcBorders>
            <w:vAlign w:val="center"/>
          </w:tcPr>
          <w:p w14:paraId="5ED0155B">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5</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50A1D05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5093A6AC">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1392151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4825D27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6BEF1B3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2517C9A8">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754C124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L＞4000</w:t>
            </w:r>
          </w:p>
        </w:tc>
        <w:tc>
          <w:tcPr>
            <w:tcW w:w="531" w:type="pct"/>
            <w:tcBorders>
              <w:tl2br w:val="nil"/>
              <w:tr2bl w:val="nil"/>
            </w:tcBorders>
            <w:vAlign w:val="center"/>
          </w:tcPr>
          <w:p w14:paraId="5E23E75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val="en-US" w:eastAsia="zh-CN"/>
              </w:rPr>
              <w:t>a</w:t>
            </w:r>
          </w:p>
        </w:tc>
        <w:tc>
          <w:tcPr>
            <w:tcW w:w="530" w:type="pct"/>
            <w:tcBorders>
              <w:tl2br w:val="nil"/>
              <w:tr2bl w:val="nil"/>
            </w:tcBorders>
            <w:vAlign w:val="center"/>
          </w:tcPr>
          <w:p w14:paraId="1EAFB585">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02D6365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41E0FAC6">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32C57C9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3B290BD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636FC4F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restart"/>
            <w:tcBorders>
              <w:tl2br w:val="nil"/>
              <w:tr2bl w:val="nil"/>
            </w:tcBorders>
            <w:vAlign w:val="center"/>
          </w:tcPr>
          <w:p w14:paraId="3F8D9C7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w:t>
            </w:r>
          </w:p>
        </w:tc>
        <w:tc>
          <w:tcPr>
            <w:tcW w:w="1121" w:type="pct"/>
            <w:tcBorders>
              <w:tl2br w:val="nil"/>
              <w:tr2bl w:val="nil"/>
            </w:tcBorders>
            <w:vAlign w:val="center"/>
          </w:tcPr>
          <w:p w14:paraId="54B0918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1670</w:t>
            </w:r>
          </w:p>
        </w:tc>
        <w:tc>
          <w:tcPr>
            <w:tcW w:w="531" w:type="pct"/>
            <w:tcBorders>
              <w:tl2br w:val="nil"/>
              <w:tr2bl w:val="nil"/>
            </w:tcBorders>
            <w:vAlign w:val="center"/>
          </w:tcPr>
          <w:p w14:paraId="61E3990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val="en-US" w:eastAsia="zh-CN"/>
              </w:rPr>
              <w:t>a</w:t>
            </w:r>
          </w:p>
        </w:tc>
        <w:tc>
          <w:tcPr>
            <w:tcW w:w="530" w:type="pct"/>
            <w:tcBorders>
              <w:tl2br w:val="nil"/>
              <w:tr2bl w:val="nil"/>
            </w:tcBorders>
            <w:vAlign w:val="center"/>
          </w:tcPr>
          <w:p w14:paraId="23F1079F">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3205C590">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21" w:type="pct"/>
            <w:vMerge w:val="continue"/>
            <w:tcBorders>
              <w:tl2br w:val="nil"/>
              <w:tr2bl w:val="nil"/>
            </w:tcBorders>
            <w:vAlign w:val="center"/>
          </w:tcPr>
          <w:p w14:paraId="4528B269">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32163D5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1</w:t>
            </w:r>
          </w:p>
        </w:tc>
        <w:tc>
          <w:tcPr>
            <w:tcW w:w="511" w:type="pct"/>
            <w:tcBorders>
              <w:tl2br w:val="nil"/>
              <w:tr2bl w:val="nil"/>
            </w:tcBorders>
            <w:vAlign w:val="center"/>
          </w:tcPr>
          <w:p w14:paraId="6F75ACB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r>
      <w:tr w14:paraId="1D70CDC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40694067">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5F746A4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1670＜L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3340</w:t>
            </w:r>
          </w:p>
        </w:tc>
        <w:tc>
          <w:tcPr>
            <w:tcW w:w="531" w:type="pct"/>
            <w:tcBorders>
              <w:tl2br w:val="nil"/>
              <w:tr2bl w:val="nil"/>
            </w:tcBorders>
            <w:vAlign w:val="center"/>
          </w:tcPr>
          <w:p w14:paraId="52911B46">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6B5BF1B7">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6CC871B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29C82C26">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5095AD7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015A2EB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66961A7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4F1A040A">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5DB21E9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L＞3340</w:t>
            </w:r>
          </w:p>
        </w:tc>
        <w:tc>
          <w:tcPr>
            <w:tcW w:w="531" w:type="pct"/>
            <w:tcBorders>
              <w:tl2br w:val="nil"/>
              <w:tr2bl w:val="nil"/>
            </w:tcBorders>
            <w:vAlign w:val="center"/>
          </w:tcPr>
          <w:p w14:paraId="2FBBC0CD">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2389192B">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134EF00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4E50FFD8">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5C53462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424E8CA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6C720B9A">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restart"/>
            <w:tcBorders>
              <w:tl2br w:val="nil"/>
              <w:tr2bl w:val="nil"/>
            </w:tcBorders>
            <w:vAlign w:val="center"/>
          </w:tcPr>
          <w:p w14:paraId="6629162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w:t>
            </w:r>
          </w:p>
        </w:tc>
        <w:tc>
          <w:tcPr>
            <w:tcW w:w="1121" w:type="pct"/>
            <w:tcBorders>
              <w:tl2br w:val="nil"/>
              <w:tr2bl w:val="nil"/>
            </w:tcBorders>
            <w:vAlign w:val="center"/>
          </w:tcPr>
          <w:p w14:paraId="42A0135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1330</w:t>
            </w:r>
          </w:p>
        </w:tc>
        <w:tc>
          <w:tcPr>
            <w:tcW w:w="531" w:type="pct"/>
            <w:tcBorders>
              <w:tl2br w:val="nil"/>
              <w:tr2bl w:val="nil"/>
            </w:tcBorders>
            <w:vAlign w:val="center"/>
          </w:tcPr>
          <w:p w14:paraId="56B0F297">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5D09352A">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45372E7F">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21" w:type="pct"/>
            <w:vMerge w:val="continue"/>
            <w:tcBorders>
              <w:tl2br w:val="nil"/>
              <w:tr2bl w:val="nil"/>
            </w:tcBorders>
            <w:vAlign w:val="center"/>
          </w:tcPr>
          <w:p w14:paraId="7E18D7F3">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67F0A50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1</w:t>
            </w:r>
          </w:p>
        </w:tc>
        <w:tc>
          <w:tcPr>
            <w:tcW w:w="511" w:type="pct"/>
            <w:tcBorders>
              <w:tl2br w:val="nil"/>
              <w:tr2bl w:val="nil"/>
            </w:tcBorders>
            <w:vAlign w:val="center"/>
          </w:tcPr>
          <w:p w14:paraId="72D833B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r>
      <w:tr w14:paraId="5D3A419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382AFACD">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065D410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1330＜L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2660</w:t>
            </w:r>
          </w:p>
        </w:tc>
        <w:tc>
          <w:tcPr>
            <w:tcW w:w="531" w:type="pct"/>
            <w:tcBorders>
              <w:tl2br w:val="nil"/>
              <w:tr2bl w:val="nil"/>
            </w:tcBorders>
            <w:vAlign w:val="center"/>
          </w:tcPr>
          <w:p w14:paraId="0441AFCE">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1B55029C">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720A3A3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78C2D865">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7B5660B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4D19269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7A9D5E5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0F875DAF">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32C3B42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L＞2660</w:t>
            </w:r>
          </w:p>
        </w:tc>
        <w:tc>
          <w:tcPr>
            <w:tcW w:w="531" w:type="pct"/>
            <w:tcBorders>
              <w:tl2br w:val="nil"/>
              <w:tr2bl w:val="nil"/>
            </w:tcBorders>
            <w:vAlign w:val="center"/>
          </w:tcPr>
          <w:p w14:paraId="6BB0152C">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5CE578DA">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0E2C565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45E3FBC2">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7A82214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019DA80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7B4B7C7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restart"/>
            <w:tcBorders>
              <w:tl2br w:val="nil"/>
              <w:tr2bl w:val="nil"/>
            </w:tcBorders>
            <w:vAlign w:val="center"/>
          </w:tcPr>
          <w:p w14:paraId="1120BC2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w:t>
            </w:r>
          </w:p>
        </w:tc>
        <w:tc>
          <w:tcPr>
            <w:tcW w:w="1121" w:type="pct"/>
            <w:tcBorders>
              <w:tl2br w:val="nil"/>
              <w:tr2bl w:val="nil"/>
            </w:tcBorders>
            <w:vAlign w:val="center"/>
          </w:tcPr>
          <w:p w14:paraId="4BC7764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1000</w:t>
            </w:r>
          </w:p>
        </w:tc>
        <w:tc>
          <w:tcPr>
            <w:tcW w:w="531" w:type="pct"/>
            <w:tcBorders>
              <w:tl2br w:val="nil"/>
              <w:tr2bl w:val="nil"/>
            </w:tcBorders>
            <w:vAlign w:val="center"/>
          </w:tcPr>
          <w:p w14:paraId="533EAEC0">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3EE48383">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5617AC43">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21" w:type="pct"/>
            <w:vMerge w:val="continue"/>
            <w:tcBorders>
              <w:tl2br w:val="nil"/>
              <w:tr2bl w:val="nil"/>
            </w:tcBorders>
            <w:vAlign w:val="center"/>
          </w:tcPr>
          <w:p w14:paraId="5D958AFB">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3BF9B22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1</w:t>
            </w:r>
          </w:p>
        </w:tc>
        <w:tc>
          <w:tcPr>
            <w:tcW w:w="511" w:type="pct"/>
            <w:tcBorders>
              <w:tl2br w:val="nil"/>
              <w:tr2bl w:val="nil"/>
            </w:tcBorders>
            <w:vAlign w:val="center"/>
          </w:tcPr>
          <w:p w14:paraId="7E5557B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r>
      <w:tr w14:paraId="2AC4046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5F1369C9">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75A8118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1000＜L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2000</w:t>
            </w:r>
          </w:p>
        </w:tc>
        <w:tc>
          <w:tcPr>
            <w:tcW w:w="531" w:type="pct"/>
            <w:tcBorders>
              <w:tl2br w:val="nil"/>
              <w:tr2bl w:val="nil"/>
            </w:tcBorders>
            <w:vAlign w:val="center"/>
          </w:tcPr>
          <w:p w14:paraId="37A38950">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5A5EEBAD">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3AF7C94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360444BC">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410FFBB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1E02AE5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0CF231E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24B7F4BA">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322E50C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L＞2000</w:t>
            </w:r>
          </w:p>
        </w:tc>
        <w:tc>
          <w:tcPr>
            <w:tcW w:w="531" w:type="pct"/>
            <w:tcBorders>
              <w:tl2br w:val="nil"/>
              <w:tr2bl w:val="nil"/>
            </w:tcBorders>
            <w:vAlign w:val="center"/>
          </w:tcPr>
          <w:p w14:paraId="6CABFA04">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5B8E0FFC">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777E055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5C591B6B">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0D9A06A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034E66D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09F21CA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restart"/>
            <w:tcBorders>
              <w:tl2br w:val="nil"/>
              <w:tr2bl w:val="nil"/>
            </w:tcBorders>
            <w:vAlign w:val="center"/>
          </w:tcPr>
          <w:p w14:paraId="561FEB3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w:t>
            </w:r>
          </w:p>
        </w:tc>
        <w:tc>
          <w:tcPr>
            <w:tcW w:w="1121" w:type="pct"/>
            <w:tcBorders>
              <w:tl2br w:val="nil"/>
              <w:tr2bl w:val="nil"/>
            </w:tcBorders>
            <w:vAlign w:val="center"/>
          </w:tcPr>
          <w:p w14:paraId="2E2CD36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670</w:t>
            </w:r>
          </w:p>
        </w:tc>
        <w:tc>
          <w:tcPr>
            <w:tcW w:w="531" w:type="pct"/>
            <w:tcBorders>
              <w:tl2br w:val="nil"/>
              <w:tr2bl w:val="nil"/>
            </w:tcBorders>
            <w:vAlign w:val="center"/>
          </w:tcPr>
          <w:p w14:paraId="4CB5D3B6">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43139E7A">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1A940BEC">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21" w:type="pct"/>
            <w:vMerge w:val="continue"/>
            <w:tcBorders>
              <w:tl2br w:val="nil"/>
              <w:tr2bl w:val="nil"/>
            </w:tcBorders>
            <w:vAlign w:val="center"/>
          </w:tcPr>
          <w:p w14:paraId="1CDBE43E">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11061F3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1</w:t>
            </w:r>
          </w:p>
        </w:tc>
        <w:tc>
          <w:tcPr>
            <w:tcW w:w="511" w:type="pct"/>
            <w:tcBorders>
              <w:tl2br w:val="nil"/>
              <w:tr2bl w:val="nil"/>
            </w:tcBorders>
            <w:vAlign w:val="center"/>
          </w:tcPr>
          <w:p w14:paraId="322DE9A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r>
      <w:tr w14:paraId="1D13946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33BA8EE7">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47F6923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670＜L</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1340</w:t>
            </w:r>
          </w:p>
        </w:tc>
        <w:tc>
          <w:tcPr>
            <w:tcW w:w="531" w:type="pct"/>
            <w:tcBorders>
              <w:tl2br w:val="nil"/>
              <w:tr2bl w:val="nil"/>
            </w:tcBorders>
            <w:vAlign w:val="center"/>
          </w:tcPr>
          <w:p w14:paraId="4D585944">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4002B9EF">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4</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47D61F1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4AB030E9">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536DC60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3A59A01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r w14:paraId="68D2E58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trPr>
        <w:tc>
          <w:tcPr>
            <w:tcW w:w="743" w:type="pct"/>
            <w:vMerge w:val="continue"/>
            <w:tcBorders>
              <w:tl2br w:val="nil"/>
              <w:tr2bl w:val="nil"/>
            </w:tcBorders>
            <w:vAlign w:val="center"/>
          </w:tcPr>
          <w:p w14:paraId="31D21AD7">
            <w:pPr>
              <w:spacing w:line="360" w:lineRule="auto"/>
              <w:jc w:val="center"/>
              <w:rPr>
                <w:rFonts w:ascii="Times New Roman" w:hAnsi="Times New Roman" w:eastAsia="宋体" w:cs="Times New Roman"/>
                <w:color w:val="auto"/>
                <w:sz w:val="18"/>
                <w:szCs w:val="18"/>
                <w:highlight w:val="none"/>
              </w:rPr>
            </w:pPr>
          </w:p>
        </w:tc>
        <w:tc>
          <w:tcPr>
            <w:tcW w:w="1121" w:type="pct"/>
            <w:tcBorders>
              <w:tl2br w:val="nil"/>
              <w:tr2bl w:val="nil"/>
            </w:tcBorders>
            <w:vAlign w:val="center"/>
          </w:tcPr>
          <w:p w14:paraId="130774A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L＞1340</w:t>
            </w:r>
          </w:p>
        </w:tc>
        <w:tc>
          <w:tcPr>
            <w:tcW w:w="531" w:type="pct"/>
            <w:tcBorders>
              <w:tl2br w:val="nil"/>
              <w:tr2bl w:val="nil"/>
            </w:tcBorders>
            <w:vAlign w:val="center"/>
          </w:tcPr>
          <w:p w14:paraId="2BDA1EB3">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2</w:t>
            </w:r>
            <w:r>
              <w:rPr>
                <w:rFonts w:hint="eastAsia" w:ascii="Times New Roman" w:hAnsi="Times New Roman" w:eastAsia="宋体" w:cs="Times New Roman"/>
                <w:color w:val="auto"/>
                <w:spacing w:val="-5"/>
                <w:w w:val="110"/>
                <w:sz w:val="18"/>
                <w:szCs w:val="18"/>
                <w:highlight w:val="none"/>
                <w:lang w:eastAsia="zh-CN"/>
              </w:rPr>
              <w:t>a</w:t>
            </w:r>
          </w:p>
        </w:tc>
        <w:tc>
          <w:tcPr>
            <w:tcW w:w="530" w:type="pct"/>
            <w:tcBorders>
              <w:tl2br w:val="nil"/>
              <w:tr2bl w:val="nil"/>
            </w:tcBorders>
            <w:vAlign w:val="center"/>
          </w:tcPr>
          <w:p w14:paraId="3BBFB896">
            <w:pPr>
              <w:spacing w:line="360" w:lineRule="auto"/>
              <w:jc w:val="center"/>
              <w:rPr>
                <w:rFonts w:hint="eastAsia" w:ascii="Times New Roman" w:hAnsi="Times New Roman" w:eastAsia="宋体" w:cs="Times New Roman"/>
                <w:color w:val="auto"/>
                <w:sz w:val="18"/>
                <w:szCs w:val="18"/>
                <w:highlight w:val="none"/>
                <w:lang w:eastAsia="zh-CN"/>
              </w:rPr>
            </w:pPr>
            <w:r>
              <w:rPr>
                <w:rFonts w:ascii="Times New Roman" w:hAnsi="Times New Roman" w:eastAsia="宋体" w:cs="Times New Roman"/>
                <w:color w:val="auto"/>
                <w:spacing w:val="-5"/>
                <w:w w:val="110"/>
                <w:sz w:val="18"/>
                <w:szCs w:val="18"/>
                <w:highlight w:val="none"/>
              </w:rPr>
              <w:t>3</w:t>
            </w:r>
            <w:r>
              <w:rPr>
                <w:rFonts w:hint="eastAsia" w:ascii="Times New Roman" w:hAnsi="Times New Roman" w:eastAsia="宋体" w:cs="Times New Roman"/>
                <w:color w:val="auto"/>
                <w:spacing w:val="-5"/>
                <w:w w:val="110"/>
                <w:sz w:val="18"/>
                <w:szCs w:val="18"/>
                <w:highlight w:val="none"/>
                <w:lang w:eastAsia="zh-CN"/>
              </w:rPr>
              <w:t>a</w:t>
            </w:r>
          </w:p>
        </w:tc>
        <w:tc>
          <w:tcPr>
            <w:tcW w:w="531" w:type="pct"/>
            <w:tcBorders>
              <w:tl2br w:val="nil"/>
              <w:tr2bl w:val="nil"/>
            </w:tcBorders>
            <w:vAlign w:val="center"/>
          </w:tcPr>
          <w:p w14:paraId="18226B0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05"/>
                <w:sz w:val="18"/>
                <w:szCs w:val="18"/>
                <w:highlight w:val="none"/>
              </w:rPr>
              <w:t>0</w:t>
            </w:r>
          </w:p>
        </w:tc>
        <w:tc>
          <w:tcPr>
            <w:tcW w:w="521" w:type="pct"/>
            <w:vMerge w:val="continue"/>
            <w:tcBorders>
              <w:tl2br w:val="nil"/>
              <w:tr2bl w:val="nil"/>
            </w:tcBorders>
            <w:vAlign w:val="center"/>
          </w:tcPr>
          <w:p w14:paraId="42E50C07">
            <w:pPr>
              <w:spacing w:line="360" w:lineRule="auto"/>
              <w:jc w:val="center"/>
              <w:rPr>
                <w:rFonts w:ascii="Times New Roman" w:hAnsi="Times New Roman" w:eastAsia="宋体" w:cs="Times New Roman"/>
                <w:color w:val="auto"/>
                <w:sz w:val="18"/>
                <w:szCs w:val="18"/>
                <w:highlight w:val="none"/>
              </w:rPr>
            </w:pPr>
          </w:p>
        </w:tc>
        <w:tc>
          <w:tcPr>
            <w:tcW w:w="509" w:type="pct"/>
            <w:tcBorders>
              <w:tl2br w:val="nil"/>
              <w:tr2bl w:val="nil"/>
            </w:tcBorders>
            <w:vAlign w:val="center"/>
          </w:tcPr>
          <w:p w14:paraId="7BB3BF7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w w:val="90"/>
                <w:sz w:val="18"/>
                <w:szCs w:val="18"/>
                <w:highlight w:val="none"/>
              </w:rPr>
              <w:t>1．5</w:t>
            </w:r>
          </w:p>
        </w:tc>
        <w:tc>
          <w:tcPr>
            <w:tcW w:w="511" w:type="pct"/>
            <w:tcBorders>
              <w:tl2br w:val="nil"/>
              <w:tr2bl w:val="nil"/>
            </w:tcBorders>
            <w:vAlign w:val="center"/>
          </w:tcPr>
          <w:p w14:paraId="1287D11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10"/>
                <w:w w:val="115"/>
                <w:sz w:val="18"/>
                <w:szCs w:val="18"/>
                <w:highlight w:val="none"/>
              </w:rPr>
              <w:t>—</w:t>
            </w:r>
          </w:p>
        </w:tc>
      </w:tr>
    </w:tbl>
    <w:p w14:paraId="31A12C65">
      <w:pPr>
        <w:adjustRightInd w:val="0"/>
        <w:snapToGrid w:val="0"/>
        <w:spacing w:line="360" w:lineRule="auto"/>
        <w:outlineLvl w:val="2"/>
        <w:rPr>
          <w:rFonts w:hint="eastAsia" w:ascii="Times New Roman" w:hAnsi="Times New Roman" w:eastAsia="宋体" w:cs="Times New Roman"/>
          <w:color w:val="auto"/>
          <w:szCs w:val="21"/>
          <w:highlight w:val="none"/>
          <w:lang w:val="en-US" w:eastAsia="zh-CN"/>
        </w:rPr>
      </w:pPr>
    </w:p>
    <w:p w14:paraId="37BFD636">
      <w:pPr>
        <w:adjustRightInd w:val="0"/>
        <w:snapToGrid w:val="0"/>
        <w:spacing w:line="360" w:lineRule="auto"/>
        <w:jc w:val="center"/>
        <w:outlineLvl w:val="2"/>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drawing>
          <wp:inline distT="0" distB="0" distL="114300" distR="114300">
            <wp:extent cx="3844290" cy="1647825"/>
            <wp:effectExtent l="0" t="0" r="11430" b="13335"/>
            <wp:docPr id="34" name="图片 34" descr="3b44fda5ea81c2dfe69e58fbfde0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b44fda5ea81c2dfe69e58fbfde0e3b"/>
                    <pic:cNvPicPr>
                      <a:picLocks noChangeAspect="1"/>
                    </pic:cNvPicPr>
                  </pic:nvPicPr>
                  <pic:blipFill>
                    <a:blip r:embed="rId45"/>
                    <a:stretch>
                      <a:fillRect/>
                    </a:stretch>
                  </pic:blipFill>
                  <pic:spPr>
                    <a:xfrm>
                      <a:off x="0" y="0"/>
                      <a:ext cx="3844290" cy="1647825"/>
                    </a:xfrm>
                    <a:prstGeom prst="rect">
                      <a:avLst/>
                    </a:prstGeom>
                  </pic:spPr>
                </pic:pic>
              </a:graphicData>
            </a:graphic>
          </wp:inline>
        </w:drawing>
      </w:r>
    </w:p>
    <w:p w14:paraId="3CED4287">
      <w:pPr>
        <w:spacing w:line="360" w:lineRule="auto"/>
        <w:ind w:firstLine="422" w:firstLineChars="200"/>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图1</w:t>
      </w:r>
      <w:r>
        <w:rPr>
          <w:rFonts w:ascii="Times New Roman" w:hAnsi="Times New Roman" w:eastAsia="宋体" w:cs="Times New Roman"/>
          <w:b/>
          <w:color w:val="auto"/>
          <w:szCs w:val="21"/>
          <w:highlight w:val="none"/>
        </w:rPr>
        <w:t xml:space="preserve">3  </w:t>
      </w:r>
      <w:r>
        <w:rPr>
          <w:rFonts w:hint="eastAsia" w:ascii="Times New Roman" w:hAnsi="Times New Roman" w:eastAsia="宋体" w:cs="Times New Roman"/>
          <w:b/>
          <w:color w:val="auto"/>
          <w:szCs w:val="21"/>
          <w:highlight w:val="none"/>
        </w:rPr>
        <w:t>涵洞处格栅布设方案</w:t>
      </w:r>
    </w:p>
    <w:p w14:paraId="6567A9B8">
      <w:pPr>
        <w:adjustRightInd w:val="0"/>
        <w:snapToGrid w:val="0"/>
        <w:spacing w:line="360" w:lineRule="auto"/>
        <w:outlineLvl w:val="2"/>
        <w:rPr>
          <w:rFonts w:hint="eastAsia" w:ascii="Times New Roman" w:hAnsi="Times New Roman" w:eastAsia="宋体" w:cs="Times New Roman"/>
          <w:color w:val="auto"/>
          <w:szCs w:val="21"/>
          <w:highlight w:val="none"/>
          <w:lang w:val="en-US" w:eastAsia="zh-CN"/>
        </w:rPr>
      </w:pPr>
    </w:p>
    <w:p w14:paraId="7AFA521F">
      <w:pPr>
        <w:spacing w:line="360" w:lineRule="auto"/>
        <w:rPr>
          <w:rFonts w:hint="eastAsia" w:ascii="黑体" w:hAnsi="黑体" w:eastAsia="黑体" w:cs="黑体"/>
          <w:b w:val="0"/>
          <w:bCs/>
          <w:color w:val="auto"/>
          <w:kern w:val="2"/>
          <w:sz w:val="21"/>
          <w:szCs w:val="21"/>
          <w:highlight w:val="none"/>
          <w:lang w:val="en-US" w:eastAsia="zh-CN" w:bidi="ar-SA"/>
        </w:rPr>
      </w:pPr>
      <w:r>
        <w:rPr>
          <w:rFonts w:hint="eastAsia" w:ascii="黑体" w:hAnsi="黑体" w:eastAsia="黑体" w:cs="黑体"/>
          <w:b w:val="0"/>
          <w:bCs/>
          <w:color w:val="auto"/>
          <w:kern w:val="2"/>
          <w:sz w:val="21"/>
          <w:szCs w:val="21"/>
          <w:highlight w:val="none"/>
          <w:lang w:val="en-US" w:eastAsia="zh-CN" w:bidi="ar-SA"/>
        </w:rPr>
        <w:t>6.2.3 土工合成材料施工</w:t>
      </w:r>
    </w:p>
    <w:p w14:paraId="01D829DD">
      <w:pPr>
        <w:spacing w:line="360" w:lineRule="auto"/>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6.2.3.1</w:t>
      </w:r>
      <w:r>
        <w:rPr>
          <w:rFonts w:ascii="Times New Roman" w:hAnsi="Times New Roman" w:eastAsia="宋体" w:cs="Times New Roman"/>
          <w:color w:val="auto"/>
          <w:szCs w:val="21"/>
          <w:highlight w:val="none"/>
        </w:rPr>
        <w:t xml:space="preserve"> 土工合成材料施工应符合以下技术要求：</w:t>
      </w:r>
    </w:p>
    <w:p w14:paraId="2C3CBA4C">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土工合成材料不应露天堆放，避免暴晒或雨淋，在铺筑土工合成材料前和施工中均应保证材料的完好性，不应使用有断裂或破损的土工合成材料；</w:t>
      </w:r>
    </w:p>
    <w:p w14:paraId="4FF1329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土工合成材料铺设时，应将强度较高的方向布置于主要受力方向，在地形平坦或横向填挖交界的软基路段，土工合成材料主要受力方向应垂直于路线方向；在纵向填挖交界地段，土工合成材料主要受力方向应平行于路线方向；</w:t>
      </w:r>
    </w:p>
    <w:p w14:paraId="336512C5">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铺设土工合成材料的土层表面应平整，表面不得有碎、块石等坚硬凸出物；在距土工合成材料层8cm以内的路堤填料其最大粒径不得大于6cm；</w:t>
      </w:r>
    </w:p>
    <w:p w14:paraId="4468B490">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土工合成材料需要搭接的部位，</w:t>
      </w:r>
      <w:r>
        <w:rPr>
          <w:rFonts w:hint="eastAsia" w:ascii="Times New Roman" w:hAnsi="Times New Roman" w:eastAsia="宋体" w:cs="Times New Roman"/>
          <w:color w:val="auto"/>
          <w:szCs w:val="21"/>
          <w:highlight w:val="none"/>
        </w:rPr>
        <w:t>在受力方向联结处的强度不得低于材料设计抗拉强度，</w:t>
      </w:r>
      <w:r>
        <w:rPr>
          <w:rFonts w:hint="eastAsia" w:ascii="Times New Roman" w:hAnsi="Times New Roman" w:eastAsia="宋体" w:cs="Times New Roman"/>
          <w:color w:val="auto"/>
          <w:szCs w:val="21"/>
          <w:highlight w:val="none"/>
        </w:rPr>
        <w:t xml:space="preserve">纵向接头搭接距离不小于20 cm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横向搭接宽度不小于15 cm。</w:t>
      </w:r>
      <w:r>
        <w:rPr>
          <w:rFonts w:ascii="Times New Roman" w:hAnsi="Times New Roman" w:eastAsia="宋体" w:cs="Times New Roman"/>
          <w:color w:val="auto"/>
          <w:szCs w:val="21"/>
          <w:highlight w:val="none"/>
        </w:rPr>
        <w:t>不同层面的搭接位置应相互错开，应采用专用锁扣、铁丝绑扎或U型钢钉等联接方式，土工合成材料的铺设不允许有褶皱，铺设时应按照有关规范操作；</w:t>
      </w:r>
    </w:p>
    <w:p w14:paraId="67A345F3">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土工合成材料在铺设完毕未填土前，机械设备不得在上面行驶，填筑时不得直接将填料卸载在土工合成材料上，在有一定坡度的填挖交界处填筑时，应从低处往高处分层摊铺碾压；</w:t>
      </w:r>
    </w:p>
    <w:p w14:paraId="38F898B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土工合成材料铺设完毕至填筑覆盖</w:t>
      </w:r>
      <w:r>
        <w:rPr>
          <w:rFonts w:hint="eastAsia" w:ascii="Times New Roman" w:hAnsi="Times New Roman" w:eastAsia="宋体" w:cs="Times New Roman"/>
          <w:color w:val="auto"/>
          <w:szCs w:val="21"/>
          <w:highlight w:val="none"/>
          <w:lang w:val="en-US" w:eastAsia="zh-CN"/>
        </w:rPr>
        <w:t>时间</w:t>
      </w:r>
      <w:r>
        <w:rPr>
          <w:rFonts w:ascii="Times New Roman" w:hAnsi="Times New Roman" w:eastAsia="宋体" w:cs="Times New Roman"/>
          <w:color w:val="auto"/>
          <w:szCs w:val="21"/>
          <w:highlight w:val="none"/>
        </w:rPr>
        <w:t>不宜大于36h。</w:t>
      </w:r>
    </w:p>
    <w:p w14:paraId="7D4F3D70">
      <w:pPr>
        <w:spacing w:line="360" w:lineRule="auto"/>
        <w:ind w:firstLine="420" w:firstLineChars="200"/>
        <w:rPr>
          <w:rFonts w:ascii="Times New Roman" w:hAnsi="Times New Roman" w:eastAsia="宋体" w:cs="Times New Roman"/>
          <w:color w:val="auto"/>
          <w:szCs w:val="21"/>
          <w:highlight w:val="none"/>
        </w:rPr>
      </w:pPr>
      <w:r>
        <w:rPr>
          <w:rFonts w:hint="eastAsia" w:ascii="黑体" w:hAnsi="黑体" w:eastAsia="黑体" w:cs="黑体"/>
          <w:b w:val="0"/>
          <w:bCs/>
          <w:color w:val="auto"/>
          <w:kern w:val="2"/>
          <w:sz w:val="21"/>
          <w:szCs w:val="21"/>
          <w:highlight w:val="none"/>
          <w:lang w:val="en-US" w:eastAsia="zh-CN" w:bidi="ar-SA"/>
        </w:rPr>
        <w:t>6.2.3.2</w:t>
      </w:r>
      <w:r>
        <w:rPr>
          <w:rFonts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需根据设计文件所要求的设计指标对加筋土工合成材料</w:t>
      </w:r>
      <w:r>
        <w:rPr>
          <w:rFonts w:hint="eastAsia" w:ascii="Times New Roman" w:hAnsi="Times New Roman" w:eastAsia="宋体" w:cs="Times New Roman"/>
          <w:color w:val="auto"/>
          <w:szCs w:val="21"/>
          <w:highlight w:val="none"/>
        </w:rPr>
        <w:t>进行</w:t>
      </w:r>
      <w:r>
        <w:rPr>
          <w:rFonts w:ascii="Times New Roman" w:hAnsi="Times New Roman" w:eastAsia="宋体" w:cs="Times New Roman"/>
          <w:color w:val="auto"/>
          <w:szCs w:val="21"/>
          <w:highlight w:val="none"/>
        </w:rPr>
        <w:t>检验</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检验项目和频率可按表</w:t>
      </w:r>
      <w:r>
        <w:rPr>
          <w:rFonts w:hint="eastAsia" w:ascii="Times New Roman" w:hAnsi="Times New Roman" w:eastAsia="宋体" w:cs="Times New Roman"/>
          <w:color w:val="auto"/>
          <w:szCs w:val="21"/>
          <w:highlight w:val="none"/>
          <w:lang w:val="en-US" w:eastAsia="zh-CN"/>
        </w:rPr>
        <w:t>14</w:t>
      </w:r>
      <w:r>
        <w:rPr>
          <w:rFonts w:ascii="Times New Roman" w:hAnsi="Times New Roman" w:eastAsia="宋体" w:cs="Times New Roman"/>
          <w:color w:val="auto"/>
          <w:szCs w:val="21"/>
          <w:highlight w:val="none"/>
        </w:rPr>
        <w:t>执行，同时应满足JTG／T D32相关技术要求。</w:t>
      </w:r>
    </w:p>
    <w:p w14:paraId="49FC49B3">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14</w:t>
      </w:r>
      <w:r>
        <w:rPr>
          <w:rFonts w:ascii="Times New Roman" w:hAnsi="Times New Roman" w:eastAsia="宋体" w:cs="Times New Roman"/>
          <w:b/>
          <w:color w:val="auto"/>
          <w:szCs w:val="21"/>
          <w:highlight w:val="none"/>
        </w:rPr>
        <w:t xml:space="preserve">  土工合成材料加筋检验项目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13"/>
        <w:gridCol w:w="843"/>
        <w:gridCol w:w="928"/>
        <w:gridCol w:w="915"/>
        <w:gridCol w:w="928"/>
        <w:gridCol w:w="928"/>
        <w:gridCol w:w="928"/>
        <w:gridCol w:w="928"/>
        <w:gridCol w:w="915"/>
      </w:tblGrid>
      <w:tr w14:paraId="59A4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exact"/>
        </w:trPr>
        <w:tc>
          <w:tcPr>
            <w:tcW w:w="1013" w:type="dxa"/>
            <w:vAlign w:val="center"/>
          </w:tcPr>
          <w:p w14:paraId="0A37127E">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检验项目</w:t>
            </w:r>
          </w:p>
        </w:tc>
        <w:tc>
          <w:tcPr>
            <w:tcW w:w="843" w:type="dxa"/>
            <w:vAlign w:val="center"/>
          </w:tcPr>
          <w:p w14:paraId="772A5FE6">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单位面积质量</w:t>
            </w:r>
          </w:p>
        </w:tc>
        <w:tc>
          <w:tcPr>
            <w:tcW w:w="928" w:type="dxa"/>
            <w:vAlign w:val="center"/>
          </w:tcPr>
          <w:p w14:paraId="1C8AFF16">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厚度</w:t>
            </w:r>
          </w:p>
        </w:tc>
        <w:tc>
          <w:tcPr>
            <w:tcW w:w="915" w:type="dxa"/>
            <w:vAlign w:val="center"/>
          </w:tcPr>
          <w:p w14:paraId="36898D97">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孔径</w:t>
            </w:r>
          </w:p>
        </w:tc>
        <w:tc>
          <w:tcPr>
            <w:tcW w:w="928" w:type="dxa"/>
            <w:vAlign w:val="center"/>
          </w:tcPr>
          <w:p w14:paraId="51815F88">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几何尺寸</w:t>
            </w:r>
          </w:p>
        </w:tc>
        <w:tc>
          <w:tcPr>
            <w:tcW w:w="928" w:type="dxa"/>
            <w:vAlign w:val="center"/>
          </w:tcPr>
          <w:p w14:paraId="1777E88C">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拉伸强度</w:t>
            </w:r>
          </w:p>
        </w:tc>
        <w:tc>
          <w:tcPr>
            <w:tcW w:w="928" w:type="dxa"/>
            <w:vAlign w:val="center"/>
          </w:tcPr>
          <w:p w14:paraId="26B63988">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节点焊接</w:t>
            </w:r>
          </w:p>
          <w:p w14:paraId="47ADD019">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强度</w:t>
            </w:r>
          </w:p>
        </w:tc>
        <w:tc>
          <w:tcPr>
            <w:tcW w:w="928" w:type="dxa"/>
            <w:vAlign w:val="center"/>
          </w:tcPr>
          <w:p w14:paraId="782A414E">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直接剪切</w:t>
            </w:r>
          </w:p>
          <w:p w14:paraId="48B69030">
            <w:pPr>
              <w:keepNext/>
              <w:keepLines w:val="0"/>
              <w:pageBreakBefore w:val="0"/>
              <w:widowControl w:val="0"/>
              <w:kinsoku/>
              <w:wordWrap/>
              <w:overflowPunct/>
              <w:topLinePunct w:val="0"/>
              <w:autoSpaceDE/>
              <w:autoSpaceDN/>
              <w:bidi w:val="0"/>
              <w:adjustRightInd/>
              <w:snapToGrid/>
              <w:spacing w:line="288" w:lineRule="auto"/>
              <w:jc w:val="center"/>
              <w:textAlignment w:val="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摩擦</w:t>
            </w:r>
          </w:p>
        </w:tc>
        <w:tc>
          <w:tcPr>
            <w:tcW w:w="915" w:type="dxa"/>
            <w:vAlign w:val="center"/>
          </w:tcPr>
          <w:p w14:paraId="7A5942E0">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拉拔摩擦</w:t>
            </w:r>
          </w:p>
        </w:tc>
      </w:tr>
      <w:tr w14:paraId="666B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1013" w:type="dxa"/>
            <w:vAlign w:val="center"/>
          </w:tcPr>
          <w:p w14:paraId="418920F8">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检验选择</w:t>
            </w:r>
          </w:p>
        </w:tc>
        <w:tc>
          <w:tcPr>
            <w:tcW w:w="843" w:type="dxa"/>
            <w:vAlign w:val="center"/>
          </w:tcPr>
          <w:p w14:paraId="39D21223">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28" w:type="dxa"/>
            <w:vAlign w:val="center"/>
          </w:tcPr>
          <w:p w14:paraId="09C9E9D2">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15" w:type="dxa"/>
            <w:vAlign w:val="center"/>
          </w:tcPr>
          <w:p w14:paraId="1BD9513D">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28" w:type="dxa"/>
            <w:vAlign w:val="center"/>
          </w:tcPr>
          <w:p w14:paraId="6747050D">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28" w:type="dxa"/>
            <w:vAlign w:val="center"/>
          </w:tcPr>
          <w:p w14:paraId="3066298B">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28" w:type="dxa"/>
            <w:vAlign w:val="center"/>
          </w:tcPr>
          <w:p w14:paraId="6DB5EBBC">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28" w:type="dxa"/>
            <w:vAlign w:val="center"/>
          </w:tcPr>
          <w:p w14:paraId="39AC2755">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15" w:type="dxa"/>
            <w:vAlign w:val="center"/>
          </w:tcPr>
          <w:p w14:paraId="1934660C">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r w14:paraId="1A9A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1013" w:type="dxa"/>
            <w:vAlign w:val="center"/>
          </w:tcPr>
          <w:p w14:paraId="402183BA">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检验频率</w:t>
            </w:r>
          </w:p>
        </w:tc>
        <w:tc>
          <w:tcPr>
            <w:tcW w:w="4542" w:type="dxa"/>
            <w:gridSpan w:val="5"/>
            <w:vAlign w:val="center"/>
          </w:tcPr>
          <w:p w14:paraId="4448BC1C">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1次／10000㎡</w:t>
            </w:r>
          </w:p>
        </w:tc>
        <w:tc>
          <w:tcPr>
            <w:tcW w:w="2771" w:type="dxa"/>
            <w:gridSpan w:val="3"/>
            <w:vAlign w:val="center"/>
          </w:tcPr>
          <w:p w14:paraId="7856DDE9">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1次／1批</w:t>
            </w:r>
          </w:p>
        </w:tc>
      </w:tr>
      <w:tr w14:paraId="6BF4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0" w:hRule="atLeast"/>
        </w:trPr>
        <w:tc>
          <w:tcPr>
            <w:tcW w:w="8326" w:type="dxa"/>
            <w:gridSpan w:val="9"/>
          </w:tcPr>
          <w:p w14:paraId="0ACCFCBE">
            <w:pPr>
              <w:keepNext/>
              <w:ind w:firstLine="360" w:firstLineChars="20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“★”为必检项目，“☆”为选检项目。</w:t>
            </w:r>
          </w:p>
          <w:p w14:paraId="2E566888">
            <w:pPr>
              <w:keepNext/>
              <w:ind w:firstLine="360" w:firstLineChars="20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试验频率亦可根据工程规模、所用数量，由设计单位或监理单位确定。</w:t>
            </w:r>
          </w:p>
          <w:p w14:paraId="10378AB9">
            <w:pPr>
              <w:keepNext/>
              <w:ind w:firstLine="360" w:firstLineChars="200"/>
              <w:rPr>
                <w:rFonts w:ascii="Times New Roman" w:hAnsi="Times New Roman" w:eastAsia="宋体" w:cs="Times New Roman"/>
                <w:color w:val="auto"/>
                <w:sz w:val="18"/>
                <w:szCs w:val="18"/>
                <w:highlight w:val="none"/>
              </w:rPr>
            </w:pPr>
            <w:r>
              <w:rPr>
                <w:rFonts w:hint="eastAsia" w:asciiTheme="minorEastAsia" w:hAnsiTheme="minorEastAsia" w:eastAsiaTheme="minorEastAsia" w:cstheme="minorEastAsia"/>
                <w:color w:val="auto"/>
                <w:sz w:val="18"/>
                <w:szCs w:val="18"/>
                <w:highlight w:val="none"/>
              </w:rPr>
              <w:t>工地试验频率按所购材料的批次进行，如每批大于5000㎡，则以5000㎡为一批。</w:t>
            </w:r>
          </w:p>
        </w:tc>
      </w:tr>
    </w:tbl>
    <w:p w14:paraId="76B45A11">
      <w:pPr>
        <w:keepNext/>
        <w:adjustRightInd w:val="0"/>
        <w:snapToGrid w:val="0"/>
        <w:spacing w:before="156" w:beforeLines="50" w:line="360" w:lineRule="auto"/>
        <w:outlineLvl w:val="1"/>
        <w:rPr>
          <w:rFonts w:hint="eastAsia" w:ascii="Times New Roman" w:hAnsi="Times New Roman" w:eastAsia="宋体" w:cs="Times New Roman"/>
          <w:b/>
          <w:color w:val="auto"/>
          <w:szCs w:val="21"/>
          <w:highlight w:val="none"/>
          <w:lang w:val="en-US" w:eastAsia="zh-CN"/>
        </w:rPr>
      </w:pPr>
      <w:bookmarkStart w:id="33" w:name="_Toc170244944"/>
    </w:p>
    <w:p w14:paraId="2F20FFCD">
      <w:pPr>
        <w:keepNext/>
        <w:keepLines w:val="0"/>
        <w:pageBreakBefore w:val="0"/>
        <w:widowControl w:val="0"/>
        <w:kinsoku/>
        <w:wordWrap/>
        <w:overflowPunct/>
        <w:topLinePunct w:val="0"/>
        <w:autoSpaceDE/>
        <w:autoSpaceDN/>
        <w:bidi w:val="0"/>
        <w:adjustRightInd w:val="0"/>
        <w:snapToGrid w:val="0"/>
        <w:spacing w:after="157" w:afterLines="50" w:line="360" w:lineRule="auto"/>
        <w:textAlignment w:val="auto"/>
        <w:outlineLvl w:val="1"/>
        <w:rPr>
          <w:rFonts w:hint="eastAsia" w:ascii="黑体" w:hAnsi="黑体" w:eastAsia="黑体" w:cs="黑体"/>
          <w:b w:val="0"/>
          <w:bCs/>
          <w:color w:val="auto"/>
          <w:szCs w:val="21"/>
          <w:highlight w:val="none"/>
        </w:rPr>
      </w:pPr>
      <w:r>
        <w:rPr>
          <w:rFonts w:hint="eastAsia" w:ascii="黑体" w:hAnsi="黑体" w:eastAsia="黑体" w:cs="黑体"/>
          <w:b w:val="0"/>
          <w:bCs/>
          <w:color w:val="auto"/>
          <w:szCs w:val="21"/>
          <w:highlight w:val="none"/>
          <w:lang w:val="en-US" w:eastAsia="zh-CN"/>
        </w:rPr>
        <w:t>6</w:t>
      </w:r>
      <w:r>
        <w:rPr>
          <w:rFonts w:hint="eastAsia" w:ascii="黑体" w:hAnsi="黑体" w:eastAsia="黑体" w:cs="黑体"/>
          <w:b w:val="0"/>
          <w:bCs/>
          <w:color w:val="auto"/>
          <w:szCs w:val="21"/>
          <w:highlight w:val="none"/>
        </w:rPr>
        <w:t>.3 强夯与强夯置换法</w:t>
      </w:r>
      <w:bookmarkEnd w:id="33"/>
    </w:p>
    <w:p w14:paraId="0C162679">
      <w:pPr>
        <w:spacing w:line="360"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w:t>
      </w:r>
      <w:r>
        <w:rPr>
          <w:rFonts w:ascii="Times New Roman" w:hAnsi="Times New Roman" w:eastAsia="宋体" w:cs="Times New Roman"/>
          <w:color w:val="auto"/>
          <w:szCs w:val="21"/>
          <w:highlight w:val="none"/>
        </w:rPr>
        <w:t>.3.1 强夯法可用于处理碎石土、砂土、低饱和度的粉土与黏性土、杂填土、素填土及冲填土等软弱地基，处治深度不宜大于10m。</w:t>
      </w:r>
    </w:p>
    <w:p w14:paraId="52DEC597">
      <w:pPr>
        <w:spacing w:line="360"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w:t>
      </w:r>
      <w:r>
        <w:rPr>
          <w:rFonts w:ascii="Times New Roman" w:hAnsi="Times New Roman" w:eastAsia="宋体" w:cs="Times New Roman"/>
          <w:color w:val="auto"/>
          <w:szCs w:val="21"/>
          <w:highlight w:val="none"/>
        </w:rPr>
        <w:t>.3.2 强夯置换法可分为抛石挤淤强夯置换法和强夯置换墩法，适用于高饱和度的松散砂土、粉士或流塑～软塑状的淤泥、淤泥质土等地基，处治深度不宜大于7m。</w:t>
      </w:r>
    </w:p>
    <w:p w14:paraId="74FE6D6B">
      <w:pPr>
        <w:spacing w:line="360"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w:t>
      </w:r>
      <w:r>
        <w:rPr>
          <w:rFonts w:ascii="Times New Roman" w:hAnsi="Times New Roman" w:eastAsia="宋体" w:cs="Times New Roman"/>
          <w:color w:val="auto"/>
          <w:szCs w:val="21"/>
          <w:highlight w:val="none"/>
        </w:rPr>
        <w:t>.3.3 对临近建筑物、设备、地下管线等设施会产生有害影响时，应慎重考虑采用强夯法，当需采用强夯法时，应采取防震、隔振或其他必要措施。</w:t>
      </w:r>
    </w:p>
    <w:p w14:paraId="01BAFA5C">
      <w:pPr>
        <w:spacing w:line="360"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w:t>
      </w:r>
      <w:r>
        <w:rPr>
          <w:rFonts w:ascii="Times New Roman" w:hAnsi="Times New Roman" w:eastAsia="宋体" w:cs="Times New Roman"/>
          <w:color w:val="auto"/>
          <w:szCs w:val="21"/>
          <w:highlight w:val="none"/>
        </w:rPr>
        <w:t>.3.4 采用强夯法处理后的地基应满足沉降与稳定计算的要求，强夯置换墩复合地基的沉降与稳定计算方法与粒料桩相同，桩土应力比可取2～4。</w:t>
      </w:r>
    </w:p>
    <w:p w14:paraId="1AFE3D35">
      <w:pPr>
        <w:spacing w:line="360" w:lineRule="auto"/>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w:t>
      </w:r>
      <w:r>
        <w:rPr>
          <w:rFonts w:ascii="Times New Roman" w:hAnsi="Times New Roman" w:eastAsia="宋体" w:cs="Times New Roman"/>
          <w:color w:val="auto"/>
          <w:szCs w:val="21"/>
          <w:highlight w:val="none"/>
        </w:rPr>
        <w:t>.3.5 强夯法宜根据软弱土厚度、性质、承载力要求及周围环境（建筑物、设备及地下管线等）选择合理、有效的夯实处治方案，公路软弱土地基常用的强夯与强夯置换适用条件及典型处治方案可参考表</w:t>
      </w:r>
      <w:r>
        <w:rPr>
          <w:rFonts w:hint="eastAsia" w:ascii="Times New Roman" w:hAnsi="Times New Roman" w:eastAsia="宋体" w:cs="Times New Roman"/>
          <w:color w:val="auto"/>
          <w:szCs w:val="21"/>
          <w:highlight w:val="none"/>
          <w:lang w:val="en-US" w:eastAsia="zh-CN"/>
        </w:rPr>
        <w:t>15</w:t>
      </w:r>
      <w:r>
        <w:rPr>
          <w:rFonts w:ascii="Times New Roman" w:hAnsi="Times New Roman" w:eastAsia="宋体" w:cs="Times New Roman"/>
          <w:color w:val="auto"/>
          <w:szCs w:val="21"/>
          <w:highlight w:val="none"/>
        </w:rPr>
        <w:t>进行设计。</w:t>
      </w:r>
    </w:p>
    <w:p w14:paraId="439765F5">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15</w:t>
      </w:r>
      <w:r>
        <w:rPr>
          <w:rFonts w:ascii="Times New Roman" w:hAnsi="Times New Roman" w:eastAsia="宋体" w:cs="Times New Roman"/>
          <w:b/>
          <w:color w:val="auto"/>
          <w:szCs w:val="21"/>
          <w:highlight w:val="none"/>
        </w:rPr>
        <w:t xml:space="preserve">  强夯法适用条件及典型处治方案</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08"/>
        <w:gridCol w:w="3263"/>
        <w:gridCol w:w="3731"/>
        <w:gridCol w:w="18"/>
      </w:tblGrid>
      <w:tr w14:paraId="41C4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8" w:type="dxa"/>
          <w:trHeight w:val="454" w:hRule="exact"/>
        </w:trPr>
        <w:tc>
          <w:tcPr>
            <w:tcW w:w="1408" w:type="dxa"/>
            <w:vAlign w:val="center"/>
          </w:tcPr>
          <w:p w14:paraId="41E1800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分类名称</w:t>
            </w:r>
          </w:p>
        </w:tc>
        <w:tc>
          <w:tcPr>
            <w:tcW w:w="3263" w:type="dxa"/>
            <w:vAlign w:val="center"/>
          </w:tcPr>
          <w:p w14:paraId="66996ED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典型适用条件</w:t>
            </w:r>
          </w:p>
        </w:tc>
        <w:tc>
          <w:tcPr>
            <w:tcW w:w="3731" w:type="dxa"/>
            <w:vAlign w:val="center"/>
          </w:tcPr>
          <w:p w14:paraId="6B1D94D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典型处治方案示意图</w:t>
            </w:r>
          </w:p>
        </w:tc>
      </w:tr>
      <w:tr w14:paraId="0A0D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8" w:type="dxa"/>
          <w:trHeight w:val="1380" w:hRule="atLeast"/>
        </w:trPr>
        <w:tc>
          <w:tcPr>
            <w:tcW w:w="1408" w:type="dxa"/>
            <w:vAlign w:val="center"/>
          </w:tcPr>
          <w:p w14:paraId="7422F75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①一般软弱土</w:t>
            </w:r>
          </w:p>
          <w:p w14:paraId="0B55143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强夯</w:t>
            </w:r>
          </w:p>
        </w:tc>
        <w:tc>
          <w:tcPr>
            <w:tcW w:w="3263" w:type="dxa"/>
            <w:vAlign w:val="center"/>
          </w:tcPr>
          <w:p w14:paraId="697E8D1F">
            <w:pPr>
              <w:adjustRightInd w:val="0"/>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主要适用于地势较低的旱地，地下水距离地表有一定距离，软弱土以低饱和度的粉质</w:t>
            </w:r>
            <w:r>
              <w:rPr>
                <w:rFonts w:hint="eastAsia" w:ascii="Times New Roman" w:hAnsi="Times New Roman" w:eastAsia="宋体" w:cs="Times New Roman"/>
                <w:color w:val="auto"/>
                <w:sz w:val="18"/>
                <w:szCs w:val="18"/>
                <w:highlight w:val="none"/>
                <w:lang w:eastAsia="zh-CN"/>
              </w:rPr>
              <w:t>黏土</w:t>
            </w:r>
            <w:r>
              <w:rPr>
                <w:rFonts w:ascii="Times New Roman" w:hAnsi="Times New Roman" w:eastAsia="宋体" w:cs="Times New Roman"/>
                <w:color w:val="auto"/>
                <w:sz w:val="18"/>
                <w:szCs w:val="18"/>
                <w:highlight w:val="none"/>
              </w:rPr>
              <w:t>、粉土或砂性土为主，呈软～可塑状，软弱土性质较差，沉降与稳定不满足路基要求，可采用普通强夯法处理，强夯沉降区可回填水稳定性和透水性较好的回填材料</w:t>
            </w:r>
          </w:p>
        </w:tc>
        <w:tc>
          <w:tcPr>
            <w:tcW w:w="3731" w:type="dxa"/>
            <w:vAlign w:val="center"/>
          </w:tcPr>
          <w:p w14:paraId="164A8AE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drawing>
                <wp:inline distT="0" distB="0" distL="114300" distR="114300">
                  <wp:extent cx="2177415" cy="1182370"/>
                  <wp:effectExtent l="0" t="0" r="6985" b="11430"/>
                  <wp:docPr id="19" name="图片 19" descr="C:/Users/22308/Desktop/c4b08dfb959ad7f25da92bc5bb5ab71.jpgc4b08dfb959ad7f25da92bc5bb5a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22308/Desktop/c4b08dfb959ad7f25da92bc5bb5ab71.jpgc4b08dfb959ad7f25da92bc5bb5ab71"/>
                          <pic:cNvPicPr>
                            <a:picLocks noChangeAspect="1"/>
                          </pic:cNvPicPr>
                        </pic:nvPicPr>
                        <pic:blipFill>
                          <a:blip r:embed="rId46"/>
                          <a:srcRect t="62" b="62"/>
                          <a:stretch>
                            <a:fillRect/>
                          </a:stretch>
                        </pic:blipFill>
                        <pic:spPr>
                          <a:xfrm>
                            <a:off x="0" y="0"/>
                            <a:ext cx="2177415" cy="1182370"/>
                          </a:xfrm>
                          <a:prstGeom prst="rect">
                            <a:avLst/>
                          </a:prstGeom>
                        </pic:spPr>
                      </pic:pic>
                    </a:graphicData>
                  </a:graphic>
                </wp:inline>
              </w:drawing>
            </w:r>
          </w:p>
        </w:tc>
      </w:tr>
      <w:tr w14:paraId="6F5A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32" w:hRule="atLeast"/>
        </w:trPr>
        <w:tc>
          <w:tcPr>
            <w:tcW w:w="1408" w:type="dxa"/>
            <w:vAlign w:val="center"/>
          </w:tcPr>
          <w:p w14:paraId="5965C0C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②洞穴软弱土</w:t>
            </w:r>
          </w:p>
          <w:p w14:paraId="43278E2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强夯</w:t>
            </w:r>
          </w:p>
        </w:tc>
        <w:tc>
          <w:tcPr>
            <w:tcW w:w="3263" w:type="dxa"/>
            <w:vAlign w:val="center"/>
          </w:tcPr>
          <w:p w14:paraId="38D33688">
            <w:pPr>
              <w:adjustRightInd w:val="0"/>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主要适用于存在土洞、或浅层采空区的地势低洼段，软弱土以软～可塑状的黏性土为主，软弱土性质较差，且存在浅层洞穴，可采用普通强夯法补强，排除洞穴安</w:t>
            </w:r>
            <w:r>
              <w:rPr>
                <w:rFonts w:hint="eastAsia" w:ascii="Times New Roman" w:hAnsi="Times New Roman" w:eastAsia="宋体" w:cs="Times New Roman"/>
                <w:color w:val="auto"/>
                <w:sz w:val="18"/>
                <w:szCs w:val="18"/>
                <w:highlight w:val="none"/>
                <w:lang w:val="en-US" w:eastAsia="zh-CN"/>
              </w:rPr>
              <w:t>全</w:t>
            </w:r>
            <w:r>
              <w:rPr>
                <w:rFonts w:ascii="Times New Roman" w:hAnsi="Times New Roman" w:eastAsia="宋体" w:cs="Times New Roman"/>
                <w:color w:val="auto"/>
                <w:sz w:val="18"/>
                <w:szCs w:val="18"/>
                <w:highlight w:val="none"/>
              </w:rPr>
              <w:t>隐患，强夯沉降区可回填水稳定性和透水性较好的回填材料</w:t>
            </w:r>
          </w:p>
        </w:tc>
        <w:tc>
          <w:tcPr>
            <w:tcW w:w="3749" w:type="dxa"/>
            <w:gridSpan w:val="2"/>
            <w:vAlign w:val="center"/>
          </w:tcPr>
          <w:p w14:paraId="0C9F3E9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drawing>
                <wp:inline distT="0" distB="0" distL="114300" distR="114300">
                  <wp:extent cx="2352040" cy="1299845"/>
                  <wp:effectExtent l="0" t="0" r="10160" b="8255"/>
                  <wp:docPr id="20" name="图片 20" descr="C:/Users/22308/Desktop/微信图片_20240806111951.jpg微信图片_20240806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22308/Desktop/微信图片_20240806111951.jpg微信图片_20240806111951"/>
                          <pic:cNvPicPr>
                            <a:picLocks noChangeAspect="1"/>
                          </pic:cNvPicPr>
                        </pic:nvPicPr>
                        <pic:blipFill>
                          <a:blip r:embed="rId47"/>
                          <a:srcRect t="56" b="56"/>
                          <a:stretch>
                            <a:fillRect/>
                          </a:stretch>
                        </pic:blipFill>
                        <pic:spPr>
                          <a:xfrm>
                            <a:off x="0" y="0"/>
                            <a:ext cx="2352040" cy="1299845"/>
                          </a:xfrm>
                          <a:prstGeom prst="rect">
                            <a:avLst/>
                          </a:prstGeom>
                        </pic:spPr>
                      </pic:pic>
                    </a:graphicData>
                  </a:graphic>
                </wp:inline>
              </w:drawing>
            </w:r>
          </w:p>
        </w:tc>
      </w:tr>
      <w:tr w14:paraId="7FAF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0" w:hRule="atLeast"/>
        </w:trPr>
        <w:tc>
          <w:tcPr>
            <w:tcW w:w="1408" w:type="dxa"/>
            <w:vAlign w:val="center"/>
          </w:tcPr>
          <w:p w14:paraId="2827A52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③抛石挤淤</w:t>
            </w:r>
          </w:p>
          <w:p w14:paraId="667243E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强夯置换</w:t>
            </w:r>
          </w:p>
        </w:tc>
        <w:tc>
          <w:tcPr>
            <w:tcW w:w="3263" w:type="dxa"/>
            <w:vAlign w:val="center"/>
          </w:tcPr>
          <w:p w14:paraId="60302E5F">
            <w:pPr>
              <w:adjustRightInd w:val="0"/>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适用于地势低洼的山间沟谷、水塘及滨海汲水路段，软弱土以流塑～软塑状淤泥、泥炭土为主，性质极差，触变性强，软弱土厚度3m～5m，若采用换填法，基坑开挖困难，开挖深度不易到底，基坑不易成形，可预铺一定厚度片石，再使用强夯进行补强夯实</w:t>
            </w:r>
          </w:p>
        </w:tc>
        <w:tc>
          <w:tcPr>
            <w:tcW w:w="3749" w:type="dxa"/>
            <w:gridSpan w:val="2"/>
            <w:vAlign w:val="center"/>
          </w:tcPr>
          <w:p w14:paraId="016E763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drawing>
                <wp:inline distT="0" distB="0" distL="114300" distR="114300">
                  <wp:extent cx="2297430" cy="1266825"/>
                  <wp:effectExtent l="0" t="0" r="3810" b="13335"/>
                  <wp:docPr id="21" name="图片 21" descr="C:/Users/王天成/Desktop/123.jp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王天成/Desktop/123.jpg123"/>
                          <pic:cNvPicPr>
                            <a:picLocks noChangeAspect="1"/>
                          </pic:cNvPicPr>
                        </pic:nvPicPr>
                        <pic:blipFill>
                          <a:blip r:embed="rId48"/>
                          <a:srcRect t="995" b="995"/>
                          <a:stretch>
                            <a:fillRect/>
                          </a:stretch>
                        </pic:blipFill>
                        <pic:spPr>
                          <a:xfrm>
                            <a:off x="0" y="0"/>
                            <a:ext cx="2297430" cy="1266825"/>
                          </a:xfrm>
                          <a:prstGeom prst="rect">
                            <a:avLst/>
                          </a:prstGeom>
                        </pic:spPr>
                      </pic:pic>
                    </a:graphicData>
                  </a:graphic>
                </wp:inline>
              </w:drawing>
            </w:r>
          </w:p>
        </w:tc>
      </w:tr>
      <w:tr w14:paraId="7FFF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20" w:hRule="atLeast"/>
        </w:trPr>
        <w:tc>
          <w:tcPr>
            <w:tcW w:w="1408" w:type="dxa"/>
            <w:vAlign w:val="center"/>
          </w:tcPr>
          <w:p w14:paraId="3179E9D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④浅层开挖区＋抛石挤淤</w:t>
            </w:r>
          </w:p>
          <w:p w14:paraId="5A18AC1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强夯置换</w:t>
            </w:r>
          </w:p>
        </w:tc>
        <w:tc>
          <w:tcPr>
            <w:tcW w:w="3263" w:type="dxa"/>
            <w:vAlign w:val="center"/>
          </w:tcPr>
          <w:p w14:paraId="67620C3F">
            <w:pPr>
              <w:adjustRightInd w:val="0"/>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适用于地势低洼的山间沟谷和水田段，软弱土以流～软塑状淤泥、淤泥质土为主，性质差，软弱土厚度3m～6m，若采用换填法基坑开挖困难，开挖深度不易到底，可先浅层开挖2m～3m，然后抛填片石，再使用强夯进行补强夯实，浅层开挖区回填水稳定性和透水性较好的回填材料</w:t>
            </w:r>
          </w:p>
        </w:tc>
        <w:tc>
          <w:tcPr>
            <w:tcW w:w="3749" w:type="dxa"/>
            <w:gridSpan w:val="2"/>
            <w:vAlign w:val="center"/>
          </w:tcPr>
          <w:p w14:paraId="0A4CE09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drawing>
                <wp:inline distT="0" distB="0" distL="114300" distR="114300">
                  <wp:extent cx="2302510" cy="1370965"/>
                  <wp:effectExtent l="0" t="0" r="8890" b="635"/>
                  <wp:docPr id="22" name="图片 22" descr="C:/Users/22308/Desktop/71a55e797986d4084651fba01c649e8.jpg71a55e797986d4084651fba01c64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22308/Desktop/71a55e797986d4084651fba01c649e8.jpg71a55e797986d4084651fba01c649e8"/>
                          <pic:cNvPicPr>
                            <a:picLocks noChangeAspect="1"/>
                          </pic:cNvPicPr>
                        </pic:nvPicPr>
                        <pic:blipFill>
                          <a:blip r:embed="rId49"/>
                          <a:srcRect t="41" b="41"/>
                          <a:stretch>
                            <a:fillRect/>
                          </a:stretch>
                        </pic:blipFill>
                        <pic:spPr>
                          <a:xfrm>
                            <a:off x="0" y="0"/>
                            <a:ext cx="2302510" cy="1370965"/>
                          </a:xfrm>
                          <a:prstGeom prst="rect">
                            <a:avLst/>
                          </a:prstGeom>
                        </pic:spPr>
                      </pic:pic>
                    </a:graphicData>
                  </a:graphic>
                </wp:inline>
              </w:drawing>
            </w:r>
          </w:p>
        </w:tc>
      </w:tr>
      <w:tr w14:paraId="0DA8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00" w:hRule="atLeast"/>
        </w:trPr>
        <w:tc>
          <w:tcPr>
            <w:tcW w:w="1408" w:type="dxa"/>
            <w:vAlign w:val="center"/>
          </w:tcPr>
          <w:p w14:paraId="5F9B76A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⑤强夯片石墩</w:t>
            </w:r>
          </w:p>
          <w:p w14:paraId="5272C97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置换</w:t>
            </w:r>
          </w:p>
        </w:tc>
        <w:tc>
          <w:tcPr>
            <w:tcW w:w="3263" w:type="dxa"/>
            <w:vAlign w:val="center"/>
          </w:tcPr>
          <w:p w14:paraId="096698BA">
            <w:pPr>
              <w:adjustRightInd w:val="0"/>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适用于地势低洼的山间沟谷、水田、水塘等路段，软弱土以流～软塑状淤泥、淤泥质土为主，性质差，软弱土厚度3m～7m，可采用高夯击能将铺于地表的片石、碎石材料以点夯的方式不断夯入软基中，在夯坑中采用多次填入和重复夯击，直到片石、碎石穿过软弱土达到下部持力层</w:t>
            </w:r>
          </w:p>
        </w:tc>
        <w:tc>
          <w:tcPr>
            <w:tcW w:w="3749" w:type="dxa"/>
            <w:gridSpan w:val="2"/>
            <w:vAlign w:val="center"/>
          </w:tcPr>
          <w:p w14:paraId="28A39B3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drawing>
                <wp:inline distT="0" distB="0" distL="114300" distR="114300">
                  <wp:extent cx="2318385" cy="1437005"/>
                  <wp:effectExtent l="0" t="0" r="5715" b="10795"/>
                  <wp:docPr id="23" name="图片 23" descr="C:/Users/22308/Desktop/2902cf14c5d0eaf2422494896cee34d.jpg2902cf14c5d0eaf2422494896cee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22308/Desktop/2902cf14c5d0eaf2422494896cee34d.jpg2902cf14c5d0eaf2422494896cee34d"/>
                          <pic:cNvPicPr>
                            <a:picLocks noChangeAspect="1"/>
                          </pic:cNvPicPr>
                        </pic:nvPicPr>
                        <pic:blipFill>
                          <a:blip r:embed="rId50"/>
                          <a:srcRect t="14" b="14"/>
                          <a:stretch>
                            <a:fillRect/>
                          </a:stretch>
                        </pic:blipFill>
                        <pic:spPr>
                          <a:xfrm>
                            <a:off x="0" y="0"/>
                            <a:ext cx="2318385" cy="1437005"/>
                          </a:xfrm>
                          <a:prstGeom prst="rect">
                            <a:avLst/>
                          </a:prstGeom>
                        </pic:spPr>
                      </pic:pic>
                    </a:graphicData>
                  </a:graphic>
                </wp:inline>
              </w:drawing>
            </w:r>
          </w:p>
        </w:tc>
      </w:tr>
    </w:tbl>
    <w:p w14:paraId="0F5251D0">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rPr>
        <w:t>.3.6</w:t>
      </w:r>
      <w:r>
        <w:rPr>
          <w:rFonts w:ascii="Times New Roman" w:hAnsi="Times New Roman" w:eastAsia="宋体" w:cs="Times New Roman"/>
          <w:color w:val="auto"/>
          <w:szCs w:val="21"/>
          <w:highlight w:val="none"/>
        </w:rPr>
        <w:t xml:space="preserve"> 强夯法与强夯置换法处理范围应符合下列要求：</w:t>
      </w:r>
    </w:p>
    <w:p w14:paraId="66C0052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 强夯法处理范围应超过路堤坡脚，每边超过坡脚的宽度不宜小于3m；</w:t>
      </w:r>
    </w:p>
    <w:p w14:paraId="4241CCA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 抛石挤淤强夯置换处理范围应超过坡脚宽度不宜小于4m～5m；</w:t>
      </w:r>
    </w:p>
    <w:p w14:paraId="694A2B5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 强夯置换桩处理范围应为坡脚外增加1～2排置换桩。</w:t>
      </w:r>
    </w:p>
    <w:p w14:paraId="14370F30">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6.3.7 </w:t>
      </w:r>
      <w:r>
        <w:rPr>
          <w:rFonts w:ascii="Times New Roman" w:hAnsi="Times New Roman" w:eastAsia="宋体" w:cs="Times New Roman"/>
          <w:color w:val="auto"/>
          <w:szCs w:val="21"/>
          <w:highlight w:val="none"/>
        </w:rPr>
        <w:t>夯击能G和有效加固深度d应考虑工程技术要求、地质条件、现场试夯或当地经验等因素，按下列要求确定：</w:t>
      </w:r>
    </w:p>
    <w:p w14:paraId="401FEB7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可按公式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12</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13</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进行估算：</w:t>
      </w:r>
    </w:p>
    <w:p w14:paraId="21A9F099">
      <w:pPr>
        <w:spacing w:line="360" w:lineRule="auto"/>
        <w:jc w:val="center"/>
        <w:rPr>
          <w:rFonts w:hint="default" w:ascii="Times New Roman" w:hAnsi="Times New Roman" w:eastAsia="宋体" w:cs="Times New Roman"/>
          <w:color w:val="auto"/>
          <w:szCs w:val="21"/>
          <w:highlight w:val="none"/>
          <w:lang w:val="en-US" w:eastAsia="zh-CN"/>
        </w:rPr>
      </w:pPr>
      <w:r>
        <w:rPr>
          <w:rFonts w:hint="eastAsia" w:hAnsi="Cambria Math" w:eastAsia="宋体" w:cs="Times New Roman"/>
          <w:b w:val="0"/>
          <w:i w:val="0"/>
          <w:color w:val="auto"/>
          <w:szCs w:val="21"/>
          <w:highlight w:val="none"/>
          <w:lang w:val="en-US" w:eastAsia="zh-CN"/>
        </w:rPr>
        <w:t xml:space="preserve">                                    </w:t>
      </w:r>
      <w:r>
        <w:rPr>
          <w:rFonts w:hint="eastAsia" w:hAnsi="Cambria Math" w:eastAsia="宋体" w:cs="Times New Roman"/>
          <w:b w:val="0"/>
          <w:i w:val="0"/>
          <w:color w:val="auto"/>
          <w:position w:val="-12"/>
          <w:szCs w:val="21"/>
          <w:highlight w:val="none"/>
          <w:lang w:val="en-US" w:eastAsia="zh-CN"/>
        </w:rPr>
        <w:object>
          <v:shape id="_x0000_i1035" o:spt="75" type="#_x0000_t75" style="height:18pt;width:45pt;" o:ole="t" filled="f" o:preferrelative="t" stroked="f" coordsize="21600,21600">
            <v:path/>
            <v:fill on="f" focussize="0,0"/>
            <v:stroke on="f"/>
            <v:imagedata r:id="rId52" o:title=""/>
            <o:lock v:ext="edit" aspectratio="t"/>
            <w10:wrap type="none"/>
            <w10:anchorlock/>
          </v:shape>
          <o:OLEObject Type="Embed" ProgID="Equation.KSEE3" ShapeID="_x0000_i1035" DrawAspect="Content" ObjectID="_1468075736" r:id="rId51">
            <o:LockedField>false</o:LockedField>
          </o:OLEObject>
        </w:object>
      </w:r>
      <w:r>
        <w:rPr>
          <w:rFonts w:hint="eastAsia" w:hAnsi="Cambria Math" w:eastAsia="宋体" w:cs="Times New Roman"/>
          <w:b w:val="0"/>
          <w:i w:val="0"/>
          <w:color w:val="auto"/>
          <w:szCs w:val="21"/>
          <w:highlight w:val="none"/>
          <w:lang w:val="en-US" w:eastAsia="zh-CN"/>
        </w:rPr>
        <w:t>................................................................（12）</w:t>
      </w:r>
    </w:p>
    <w:p w14:paraId="729C87CB">
      <w:pPr>
        <w:spacing w:line="360" w:lineRule="auto"/>
        <w:jc w:val="center"/>
        <w:rPr>
          <w:rFonts w:hint="default" w:ascii="Times New Roman" w:hAnsi="Times New Roman" w:cs="Times New Roman" w:eastAsiaTheme="minorEastAsia"/>
          <w:color w:val="auto"/>
          <w:szCs w:val="21"/>
          <w:highlight w:val="none"/>
          <w:lang w:val="en-US" w:eastAsia="zh-CN"/>
        </w:rPr>
      </w:pPr>
      <w:r>
        <w:rPr>
          <w:rFonts w:hint="eastAsia" w:hAnsi="Cambria Math" w:eastAsia="宋体" w:cs="Times New Roman"/>
          <w:b w:val="0"/>
          <w:i w:val="0"/>
          <w:color w:val="auto"/>
          <w:szCs w:val="21"/>
          <w:highlight w:val="none"/>
          <w:lang w:val="en-US" w:eastAsia="zh-CN"/>
        </w:rPr>
        <w:t xml:space="preserve">                                    </w:t>
      </w:r>
      <m:oMath>
        <m:r>
          <m:rPr>
            <m:sty m:val="p"/>
          </m:rPr>
          <w:rPr>
            <w:rFonts w:hint="default" w:ascii="Cambria Math" w:hAnsi="Cambria Math" w:eastAsia="宋体" w:cs="Times New Roman"/>
            <w:color w:val="auto"/>
            <w:szCs w:val="21"/>
            <w:highlight w:val="none"/>
            <w:lang w:val="en-US" w:eastAsia="zh-CN"/>
          </w:rPr>
          <m:t xml:space="preserve"> </m:t>
        </m:r>
        <m:r>
          <m:rPr>
            <m:sty m:val="p"/>
          </m:rPr>
          <w:rPr>
            <w:rFonts w:ascii="Cambria Math" w:hAnsi="Cambria Math" w:eastAsia="宋体" w:cs="Times New Roman"/>
            <w:color w:val="auto"/>
            <w:szCs w:val="21"/>
            <w:highlight w:val="none"/>
          </w:rPr>
          <m:t>d=</m:t>
        </m:r>
        <m:r>
          <m:rPr>
            <m:sty m:val="p"/>
          </m:rPr>
          <w:rPr>
            <w:rFonts w:ascii="Cambria Math" w:hAnsi="Cambria Math" w:cs="Times New Roman"/>
            <w:color w:val="auto"/>
            <w:szCs w:val="21"/>
            <w:highlight w:val="none"/>
          </w:rPr>
          <m:t>α</m:t>
        </m:r>
        <m:rad>
          <m:radPr>
            <m:degHide m:val="1"/>
            <m:ctrlPr>
              <w:rPr>
                <w:rFonts w:ascii="Cambria Math" w:hAnsi="Cambria Math" w:cs="Times New Roman"/>
                <w:color w:val="auto"/>
                <w:szCs w:val="21"/>
                <w:highlight w:val="none"/>
              </w:rPr>
            </m:ctrlPr>
          </m:radPr>
          <m:deg>
            <m:ctrlPr>
              <w:rPr>
                <w:rFonts w:ascii="Cambria Math" w:hAnsi="Cambria Math" w:cs="Times New Roman"/>
                <w:color w:val="auto"/>
                <w:szCs w:val="21"/>
                <w:highlight w:val="none"/>
              </w:rPr>
            </m:ctrlPr>
          </m:deg>
          <m:e>
            <m:r>
              <m:rPr>
                <m:sty m:val="p"/>
              </m:rPr>
              <w:rPr>
                <w:rFonts w:hint="default" w:ascii="Cambria Math" w:hAnsi="Cambria Math" w:cs="Times New Roman"/>
                <w:color w:val="auto"/>
                <w:szCs w:val="21"/>
                <w:highlight w:val="none"/>
                <w:lang w:val="en-US" w:eastAsia="zh-CN"/>
              </w:rPr>
              <m:t>G</m:t>
            </m:r>
            <m:ctrlPr>
              <w:rPr>
                <w:rFonts w:ascii="Cambria Math" w:hAnsi="Cambria Math" w:cs="Times New Roman"/>
                <w:color w:val="auto"/>
                <w:szCs w:val="21"/>
                <w:highlight w:val="none"/>
              </w:rPr>
            </m:ctrlPr>
          </m:e>
        </m:rad>
      </m:oMath>
      <w:r>
        <w:rPr>
          <w:rFonts w:hint="eastAsia" w:hAnsi="Cambria Math" w:cs="Times New Roman"/>
          <w:i w:val="0"/>
          <w:color w:val="auto"/>
          <w:szCs w:val="21"/>
          <w:highlight w:val="none"/>
          <w:lang w:val="en-US" w:eastAsia="zh-CN"/>
        </w:rPr>
        <w:t xml:space="preserve"> ..............................................................（13）</w:t>
      </w:r>
    </w:p>
    <w:p w14:paraId="1FA9F65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42CEC20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G——夯击能（kN·m）；</w:t>
      </w:r>
    </w:p>
    <w:p w14:paraId="55AA4FC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d——加固深度（m）；</w:t>
      </w:r>
    </w:p>
    <w:p w14:paraId="1073423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w:t>
      </w:r>
      <w:r>
        <w:rPr>
          <w:rFonts w:hint="eastAsia" w:ascii="Times New Roman" w:hAnsi="Times New Roman" w:eastAsia="宋体" w:cs="Times New Roman"/>
          <w:color w:val="auto"/>
          <w:szCs w:val="21"/>
          <w:highlight w:val="none"/>
          <w:vertAlign w:val="subscript"/>
          <w:lang w:val="en-US" w:eastAsia="zh-CN"/>
        </w:rPr>
        <w:t>h</w:t>
      </w:r>
      <w:r>
        <w:rPr>
          <w:rFonts w:ascii="Times New Roman" w:hAnsi="Times New Roman" w:eastAsia="宋体" w:cs="Times New Roman"/>
          <w:color w:val="auto"/>
          <w:szCs w:val="21"/>
          <w:highlight w:val="none"/>
        </w:rPr>
        <w:t>——夯锤</w:t>
      </w:r>
      <w:r>
        <w:rPr>
          <w:rFonts w:hint="eastAsia" w:ascii="Times New Roman" w:hAnsi="Times New Roman" w:eastAsia="宋体" w:cs="Times New Roman"/>
          <w:color w:val="auto"/>
          <w:szCs w:val="21"/>
          <w:highlight w:val="none"/>
          <w:lang w:val="en-US" w:eastAsia="zh-CN"/>
        </w:rPr>
        <w:t>质</w:t>
      </w:r>
      <w:r>
        <w:rPr>
          <w:rFonts w:ascii="Times New Roman" w:hAnsi="Times New Roman" w:eastAsia="宋体" w:cs="Times New Roman"/>
          <w:color w:val="auto"/>
          <w:szCs w:val="21"/>
          <w:highlight w:val="none"/>
        </w:rPr>
        <w:t>量（t）；</w:t>
      </w:r>
    </w:p>
    <w:p w14:paraId="431711B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h——夯锤落距（m）；</w:t>
      </w:r>
    </w:p>
    <w:p w14:paraId="6CC9218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α——修正系数，取值范围为0.34～0.80，与土质条件、地下水位、夯击能大小、夯锤底面积等有关，根据现场试夯结果确实。</w:t>
      </w:r>
    </w:p>
    <w:p w14:paraId="467F351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当初步设计缺少试验资料和经验时，可参考表</w:t>
      </w:r>
      <w:r>
        <w:rPr>
          <w:rFonts w:hint="eastAsia" w:ascii="Times New Roman" w:hAnsi="Times New Roman" w:eastAsia="宋体" w:cs="Times New Roman"/>
          <w:color w:val="auto"/>
          <w:szCs w:val="21"/>
          <w:highlight w:val="none"/>
          <w:lang w:val="en-US" w:eastAsia="zh-CN"/>
        </w:rPr>
        <w:t>16</w:t>
      </w:r>
      <w:r>
        <w:rPr>
          <w:rFonts w:ascii="Times New Roman" w:hAnsi="Times New Roman" w:eastAsia="宋体" w:cs="Times New Roman"/>
          <w:color w:val="auto"/>
          <w:szCs w:val="21"/>
          <w:highlight w:val="none"/>
        </w:rPr>
        <w:t>确定相关参数：</w:t>
      </w:r>
    </w:p>
    <w:p w14:paraId="59581CBE">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16</w:t>
      </w:r>
      <w:r>
        <w:rPr>
          <w:rFonts w:ascii="Times New Roman" w:hAnsi="Times New Roman" w:eastAsia="宋体" w:cs="Times New Roman"/>
          <w:b/>
          <w:color w:val="auto"/>
          <w:szCs w:val="21"/>
          <w:highlight w:val="none"/>
        </w:rPr>
        <w:t xml:space="preserve">  强夯法有效加固深度</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75"/>
        <w:gridCol w:w="2775"/>
        <w:gridCol w:w="2776"/>
      </w:tblGrid>
      <w:tr w14:paraId="347D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3237E67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单击夯击能（kN·m）</w:t>
            </w:r>
          </w:p>
        </w:tc>
        <w:tc>
          <w:tcPr>
            <w:tcW w:w="2775" w:type="dxa"/>
            <w:vAlign w:val="center"/>
          </w:tcPr>
          <w:p w14:paraId="426FC54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碎石土、砂土等粗颗粒土</w:t>
            </w:r>
          </w:p>
        </w:tc>
        <w:tc>
          <w:tcPr>
            <w:tcW w:w="2776" w:type="dxa"/>
            <w:vAlign w:val="center"/>
          </w:tcPr>
          <w:p w14:paraId="1F54133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粉土、黏性土等细粒土</w:t>
            </w:r>
          </w:p>
        </w:tc>
      </w:tr>
      <w:tr w14:paraId="272E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7AF3098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1000</w:t>
            </w:r>
          </w:p>
        </w:tc>
        <w:tc>
          <w:tcPr>
            <w:tcW w:w="2775" w:type="dxa"/>
            <w:vAlign w:val="center"/>
          </w:tcPr>
          <w:p w14:paraId="31C0124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5.0m</w:t>
            </w:r>
          </w:p>
        </w:tc>
        <w:tc>
          <w:tcPr>
            <w:tcW w:w="2776" w:type="dxa"/>
            <w:vAlign w:val="center"/>
          </w:tcPr>
          <w:p w14:paraId="40C963B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4.0m</w:t>
            </w:r>
          </w:p>
        </w:tc>
      </w:tr>
      <w:tr w14:paraId="7C8F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38AE9FF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2000</w:t>
            </w:r>
          </w:p>
        </w:tc>
        <w:tc>
          <w:tcPr>
            <w:tcW w:w="2775" w:type="dxa"/>
            <w:vAlign w:val="center"/>
          </w:tcPr>
          <w:p w14:paraId="15B0832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6.0m</w:t>
            </w:r>
          </w:p>
        </w:tc>
        <w:tc>
          <w:tcPr>
            <w:tcW w:w="2776" w:type="dxa"/>
            <w:vAlign w:val="center"/>
          </w:tcPr>
          <w:p w14:paraId="4187A73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5.0m</w:t>
            </w:r>
          </w:p>
        </w:tc>
      </w:tr>
      <w:tr w14:paraId="718D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55E693B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3000</w:t>
            </w:r>
          </w:p>
        </w:tc>
        <w:tc>
          <w:tcPr>
            <w:tcW w:w="2775" w:type="dxa"/>
            <w:vAlign w:val="center"/>
          </w:tcPr>
          <w:p w14:paraId="16ACA71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7.0m</w:t>
            </w:r>
          </w:p>
        </w:tc>
        <w:tc>
          <w:tcPr>
            <w:tcW w:w="2776" w:type="dxa"/>
            <w:vAlign w:val="center"/>
          </w:tcPr>
          <w:p w14:paraId="0550795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6.0m</w:t>
            </w:r>
          </w:p>
        </w:tc>
      </w:tr>
      <w:tr w14:paraId="1899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42831C0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4000</w:t>
            </w:r>
          </w:p>
        </w:tc>
        <w:tc>
          <w:tcPr>
            <w:tcW w:w="2775" w:type="dxa"/>
            <w:vAlign w:val="center"/>
          </w:tcPr>
          <w:p w14:paraId="6512540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8.0m</w:t>
            </w:r>
          </w:p>
        </w:tc>
        <w:tc>
          <w:tcPr>
            <w:tcW w:w="2776" w:type="dxa"/>
            <w:vAlign w:val="center"/>
          </w:tcPr>
          <w:p w14:paraId="68AB3F3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7.0m</w:t>
            </w:r>
          </w:p>
        </w:tc>
      </w:tr>
      <w:tr w14:paraId="1797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7E09F87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5000</w:t>
            </w:r>
          </w:p>
        </w:tc>
        <w:tc>
          <w:tcPr>
            <w:tcW w:w="2775" w:type="dxa"/>
            <w:vAlign w:val="center"/>
          </w:tcPr>
          <w:p w14:paraId="7303511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8.5m</w:t>
            </w:r>
          </w:p>
        </w:tc>
        <w:tc>
          <w:tcPr>
            <w:tcW w:w="2776" w:type="dxa"/>
            <w:vAlign w:val="center"/>
          </w:tcPr>
          <w:p w14:paraId="39A4CE0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7.5m</w:t>
            </w:r>
          </w:p>
        </w:tc>
      </w:tr>
      <w:tr w14:paraId="3D64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348BA8D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6000</w:t>
            </w:r>
          </w:p>
        </w:tc>
        <w:tc>
          <w:tcPr>
            <w:tcW w:w="2775" w:type="dxa"/>
            <w:vAlign w:val="center"/>
          </w:tcPr>
          <w:p w14:paraId="0929B78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8.5m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9.0m</w:t>
            </w:r>
          </w:p>
        </w:tc>
        <w:tc>
          <w:tcPr>
            <w:tcW w:w="2776" w:type="dxa"/>
            <w:vAlign w:val="center"/>
          </w:tcPr>
          <w:p w14:paraId="3E8857D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7.5m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8.0m</w:t>
            </w:r>
          </w:p>
        </w:tc>
      </w:tr>
      <w:tr w14:paraId="6335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2C43304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8000</w:t>
            </w:r>
          </w:p>
        </w:tc>
        <w:tc>
          <w:tcPr>
            <w:tcW w:w="2775" w:type="dxa"/>
            <w:vAlign w:val="center"/>
          </w:tcPr>
          <w:p w14:paraId="39014EF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9.5m</w:t>
            </w:r>
          </w:p>
        </w:tc>
        <w:tc>
          <w:tcPr>
            <w:tcW w:w="2776" w:type="dxa"/>
            <w:vAlign w:val="center"/>
          </w:tcPr>
          <w:p w14:paraId="7555020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8.5m</w:t>
            </w:r>
          </w:p>
        </w:tc>
      </w:tr>
      <w:tr w14:paraId="2C97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07E8C9AA">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10000</w:t>
            </w:r>
          </w:p>
        </w:tc>
        <w:tc>
          <w:tcPr>
            <w:tcW w:w="2775" w:type="dxa"/>
            <w:vAlign w:val="center"/>
          </w:tcPr>
          <w:p w14:paraId="145677B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9.5m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10.0m</w:t>
            </w:r>
          </w:p>
        </w:tc>
        <w:tc>
          <w:tcPr>
            <w:tcW w:w="2776" w:type="dxa"/>
            <w:vAlign w:val="center"/>
          </w:tcPr>
          <w:p w14:paraId="105024F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8.5m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9.0m</w:t>
            </w:r>
          </w:p>
        </w:tc>
      </w:tr>
      <w:tr w14:paraId="0D22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2775" w:type="dxa"/>
            <w:vAlign w:val="center"/>
          </w:tcPr>
          <w:p w14:paraId="7A466A5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12000</w:t>
            </w:r>
          </w:p>
        </w:tc>
        <w:tc>
          <w:tcPr>
            <w:tcW w:w="2775" w:type="dxa"/>
            <w:vAlign w:val="center"/>
          </w:tcPr>
          <w:p w14:paraId="66E34F3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11.0m</w:t>
            </w:r>
          </w:p>
        </w:tc>
        <w:tc>
          <w:tcPr>
            <w:tcW w:w="2776" w:type="dxa"/>
            <w:vAlign w:val="center"/>
          </w:tcPr>
          <w:p w14:paraId="388CBBB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9.0m</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10.0m</w:t>
            </w:r>
          </w:p>
        </w:tc>
      </w:tr>
    </w:tbl>
    <w:p w14:paraId="7581280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color w:val="auto"/>
          <w:szCs w:val="21"/>
          <w:highlight w:val="none"/>
          <w:lang w:eastAsia="zh-CN"/>
        </w:rPr>
      </w:pPr>
      <w:r>
        <w:rPr>
          <w:rFonts w:hint="eastAsia" w:ascii="黑体" w:hAnsi="黑体" w:eastAsia="黑体" w:cs="黑体"/>
          <w:color w:val="auto"/>
          <w:szCs w:val="21"/>
          <w:highlight w:val="none"/>
          <w:lang w:val="en-US" w:eastAsia="zh-CN"/>
        </w:rPr>
        <w:t>6.3.8</w:t>
      </w:r>
      <w:r>
        <w:rPr>
          <w:rFonts w:ascii="Times New Roman" w:hAnsi="Times New Roman" w:eastAsia="宋体" w:cs="Times New Roman"/>
          <w:color w:val="auto"/>
          <w:szCs w:val="21"/>
          <w:highlight w:val="none"/>
        </w:rPr>
        <w:t xml:space="preserve"> 强夯置换墩法的夯锤宜选用圆柱状，锤重可选10t～60t，锤底静接地压力可取80kPa～300kPa；其余强夯法夯锤可选用圆饼状或短柱状，锤重宜采用10t～40t，锤底静接地压力可取25kPa～40kPa，锤底面积宜按土的性质确定，对砂性土宜为3㎡～4㎡，对黏性土不宜小于6㎡。夯锤落距宜为8m～25m</w:t>
      </w:r>
      <w:r>
        <w:rPr>
          <w:rFonts w:hint="eastAsia" w:ascii="Times New Roman" w:hAnsi="Times New Roman" w:eastAsia="宋体" w:cs="Times New Roman"/>
          <w:color w:val="auto"/>
          <w:szCs w:val="21"/>
          <w:highlight w:val="none"/>
          <w:lang w:eastAsia="zh-CN"/>
        </w:rPr>
        <w:t>。</w:t>
      </w:r>
    </w:p>
    <w:p w14:paraId="1434B6F9">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6.3.9 </w:t>
      </w:r>
      <w:r>
        <w:rPr>
          <w:rFonts w:ascii="Times New Roman" w:hAnsi="Times New Roman" w:eastAsia="宋体" w:cs="Times New Roman"/>
          <w:color w:val="auto"/>
          <w:szCs w:val="21"/>
          <w:highlight w:val="none"/>
        </w:rPr>
        <w:t>强夯</w:t>
      </w:r>
      <w:r>
        <w:rPr>
          <w:rFonts w:hint="eastAsia" w:ascii="Times New Roman" w:hAnsi="Times New Roman" w:eastAsia="宋体" w:cs="Times New Roman"/>
          <w:color w:val="auto"/>
          <w:szCs w:val="21"/>
          <w:highlight w:val="none"/>
          <w:lang w:val="en-US" w:eastAsia="zh-CN"/>
        </w:rPr>
        <w:t>置换</w:t>
      </w:r>
      <w:r>
        <w:rPr>
          <w:rFonts w:ascii="Times New Roman" w:hAnsi="Times New Roman" w:eastAsia="宋体" w:cs="Times New Roman"/>
          <w:color w:val="auto"/>
          <w:szCs w:val="21"/>
          <w:highlight w:val="none"/>
        </w:rPr>
        <w:t>的有效加固深度应根据现场试夯或当地经验确定，当初步设计缺少试验资料和经验时，一般强夯法可参考表</w:t>
      </w:r>
      <w:r>
        <w:rPr>
          <w:rFonts w:hint="eastAsia" w:ascii="Times New Roman" w:hAnsi="Times New Roman" w:eastAsia="宋体" w:cs="Times New Roman"/>
          <w:color w:val="auto"/>
          <w:szCs w:val="21"/>
          <w:highlight w:val="none"/>
          <w:lang w:val="en-US" w:eastAsia="zh-CN"/>
        </w:rPr>
        <w:t>17</w:t>
      </w:r>
      <w:r>
        <w:rPr>
          <w:rFonts w:ascii="Times New Roman" w:hAnsi="Times New Roman" w:eastAsia="宋体" w:cs="Times New Roman"/>
          <w:color w:val="auto"/>
          <w:szCs w:val="21"/>
          <w:highlight w:val="none"/>
        </w:rPr>
        <w:t>确定加固深度。</w:t>
      </w:r>
    </w:p>
    <w:p w14:paraId="0BC2D9DA">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17</w:t>
      </w:r>
      <w:r>
        <w:rPr>
          <w:rFonts w:ascii="Times New Roman" w:hAnsi="Times New Roman" w:eastAsia="宋体" w:cs="Times New Roman"/>
          <w:b/>
          <w:color w:val="auto"/>
          <w:szCs w:val="21"/>
          <w:highlight w:val="none"/>
        </w:rPr>
        <w:t xml:space="preserve">  强夯置换有效加固深度</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445"/>
        <w:gridCol w:w="3975"/>
      </w:tblGrid>
      <w:tr w14:paraId="1A60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5020" w:type="dxa"/>
            <w:vAlign w:val="center"/>
          </w:tcPr>
          <w:p w14:paraId="0A571B9E">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单击夯击能G（kN·m）</w:t>
            </w:r>
          </w:p>
        </w:tc>
        <w:tc>
          <w:tcPr>
            <w:tcW w:w="4520" w:type="dxa"/>
            <w:vAlign w:val="center"/>
          </w:tcPr>
          <w:p w14:paraId="22084C25">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有效</w:t>
            </w:r>
            <w:r>
              <w:rPr>
                <w:rFonts w:hint="eastAsia" w:ascii="Times New Roman" w:hAnsi="Times New Roman" w:eastAsia="宋体" w:cs="Times New Roman"/>
                <w:color w:val="auto"/>
                <w:sz w:val="18"/>
                <w:szCs w:val="18"/>
                <w:highlight w:val="none"/>
                <w:lang w:val="en-US" w:eastAsia="zh-CN"/>
              </w:rPr>
              <w:t>加固</w:t>
            </w:r>
            <w:r>
              <w:rPr>
                <w:rFonts w:ascii="Times New Roman" w:hAnsi="Times New Roman" w:eastAsia="宋体" w:cs="Times New Roman"/>
                <w:color w:val="auto"/>
                <w:sz w:val="18"/>
                <w:szCs w:val="18"/>
                <w:highlight w:val="none"/>
              </w:rPr>
              <w:t>深度（m）</w:t>
            </w:r>
          </w:p>
        </w:tc>
      </w:tr>
      <w:tr w14:paraId="48E6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5020" w:type="dxa"/>
            <w:vAlign w:val="center"/>
          </w:tcPr>
          <w:p w14:paraId="4DA9188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3000</w:t>
            </w:r>
          </w:p>
        </w:tc>
        <w:tc>
          <w:tcPr>
            <w:tcW w:w="4520" w:type="dxa"/>
            <w:vAlign w:val="center"/>
          </w:tcPr>
          <w:p w14:paraId="063B875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3.0</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4.0</w:t>
            </w:r>
          </w:p>
        </w:tc>
      </w:tr>
      <w:tr w14:paraId="2494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5020" w:type="dxa"/>
            <w:vAlign w:val="center"/>
          </w:tcPr>
          <w:p w14:paraId="2E84508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6000</w:t>
            </w:r>
          </w:p>
        </w:tc>
        <w:tc>
          <w:tcPr>
            <w:tcW w:w="4520" w:type="dxa"/>
            <w:vAlign w:val="center"/>
          </w:tcPr>
          <w:p w14:paraId="63EE595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5.0</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6.0</w:t>
            </w:r>
          </w:p>
        </w:tc>
      </w:tr>
      <w:tr w14:paraId="73DB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5020" w:type="dxa"/>
            <w:vAlign w:val="center"/>
          </w:tcPr>
          <w:p w14:paraId="3FB2DBC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8000</w:t>
            </w:r>
          </w:p>
        </w:tc>
        <w:tc>
          <w:tcPr>
            <w:tcW w:w="4520" w:type="dxa"/>
            <w:vAlign w:val="center"/>
          </w:tcPr>
          <w:p w14:paraId="0D49787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7.0</w:t>
            </w:r>
          </w:p>
        </w:tc>
      </w:tr>
      <w:tr w14:paraId="1540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trPr>
        <w:tc>
          <w:tcPr>
            <w:tcW w:w="5020" w:type="dxa"/>
            <w:vAlign w:val="center"/>
          </w:tcPr>
          <w:p w14:paraId="7B01002E">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12000</w:t>
            </w:r>
          </w:p>
        </w:tc>
        <w:tc>
          <w:tcPr>
            <w:tcW w:w="4520" w:type="dxa"/>
            <w:vAlign w:val="center"/>
          </w:tcPr>
          <w:p w14:paraId="7A38F7E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9.0</w:t>
            </w:r>
          </w:p>
        </w:tc>
      </w:tr>
    </w:tbl>
    <w:p w14:paraId="0E268C4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6.3.10</w:t>
      </w:r>
      <w:r>
        <w:rPr>
          <w:rFonts w:ascii="Times New Roman" w:hAnsi="Times New Roman" w:eastAsia="宋体" w:cs="Times New Roman"/>
          <w:color w:val="auto"/>
          <w:szCs w:val="21"/>
          <w:highlight w:val="none"/>
        </w:rPr>
        <w:t xml:space="preserve"> 夯击次数应通过现场试夯来确定，以夯坑的压缩量最大，夯坑周围地面隆起最小为原</w:t>
      </w:r>
      <w:r>
        <w:rPr>
          <w:rFonts w:hint="eastAsia" w:ascii="Times New Roman" w:hAnsi="Times New Roman" w:eastAsia="宋体" w:cs="Times New Roman"/>
          <w:color w:val="auto"/>
          <w:szCs w:val="21"/>
          <w:highlight w:val="none"/>
          <w:lang w:val="en-US" w:eastAsia="zh-CN"/>
        </w:rPr>
        <w:t>则</w:t>
      </w:r>
      <w:r>
        <w:rPr>
          <w:rFonts w:ascii="Times New Roman" w:hAnsi="Times New Roman" w:eastAsia="宋体" w:cs="Times New Roman"/>
          <w:color w:val="auto"/>
          <w:szCs w:val="21"/>
          <w:highlight w:val="none"/>
        </w:rPr>
        <w:t>，按现场试夯得到的夯击次数与沉降量的关系曲线确定，最后两击的平均夯沉量应满足表</w:t>
      </w:r>
      <w:r>
        <w:rPr>
          <w:rFonts w:hint="eastAsia" w:ascii="Times New Roman" w:hAnsi="Times New Roman" w:eastAsia="宋体" w:cs="Times New Roman"/>
          <w:color w:val="auto"/>
          <w:szCs w:val="21"/>
          <w:highlight w:val="none"/>
          <w:lang w:val="en-US" w:eastAsia="zh-CN"/>
        </w:rPr>
        <w:t>18</w:t>
      </w:r>
      <w:r>
        <w:rPr>
          <w:rFonts w:ascii="Times New Roman" w:hAnsi="Times New Roman" w:eastAsia="宋体" w:cs="Times New Roman"/>
          <w:color w:val="auto"/>
          <w:szCs w:val="21"/>
          <w:highlight w:val="none"/>
        </w:rPr>
        <w:t>的要求，且夯坑周围不应发生过大的隆起，不因夯坑过深而发生提锤困难。</w:t>
      </w:r>
    </w:p>
    <w:p w14:paraId="73AE1CBE">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18</w:t>
      </w:r>
      <w:r>
        <w:rPr>
          <w:rFonts w:ascii="Times New Roman" w:hAnsi="Times New Roman" w:eastAsia="宋体" w:cs="Times New Roman"/>
          <w:b/>
          <w:color w:val="auto"/>
          <w:szCs w:val="21"/>
          <w:highlight w:val="none"/>
        </w:rPr>
        <w:t xml:space="preserve">  最后两击的平均夯沉量</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435"/>
        <w:gridCol w:w="3985"/>
      </w:tblGrid>
      <w:tr w14:paraId="5794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5020" w:type="dxa"/>
            <w:vAlign w:val="center"/>
          </w:tcPr>
          <w:p w14:paraId="0EB108C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单击夯击能G（kN·m）</w:t>
            </w:r>
          </w:p>
        </w:tc>
        <w:tc>
          <w:tcPr>
            <w:tcW w:w="4520" w:type="dxa"/>
            <w:vAlign w:val="center"/>
          </w:tcPr>
          <w:p w14:paraId="20DA6A3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最后两击的平均夯沉量（mm）</w:t>
            </w:r>
          </w:p>
        </w:tc>
      </w:tr>
      <w:tr w14:paraId="2A1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5020" w:type="dxa"/>
            <w:vAlign w:val="center"/>
          </w:tcPr>
          <w:p w14:paraId="120742F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G&lt;2000</w:t>
            </w:r>
          </w:p>
        </w:tc>
        <w:tc>
          <w:tcPr>
            <w:tcW w:w="4520" w:type="dxa"/>
            <w:vAlign w:val="center"/>
          </w:tcPr>
          <w:p w14:paraId="6E66D68E">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50</w:t>
            </w:r>
          </w:p>
        </w:tc>
      </w:tr>
      <w:tr w14:paraId="605A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5020" w:type="dxa"/>
            <w:vAlign w:val="center"/>
          </w:tcPr>
          <w:p w14:paraId="13DE5E7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2000&lt;G</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4000</w:t>
            </w:r>
          </w:p>
        </w:tc>
        <w:tc>
          <w:tcPr>
            <w:tcW w:w="4520" w:type="dxa"/>
            <w:vAlign w:val="center"/>
          </w:tcPr>
          <w:p w14:paraId="7D9558A7">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100</w:t>
            </w:r>
          </w:p>
        </w:tc>
      </w:tr>
      <w:tr w14:paraId="6243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5020" w:type="dxa"/>
            <w:vAlign w:val="center"/>
          </w:tcPr>
          <w:p w14:paraId="235A3E8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4000&lt;G</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6000</w:t>
            </w:r>
          </w:p>
        </w:tc>
        <w:tc>
          <w:tcPr>
            <w:tcW w:w="4520" w:type="dxa"/>
            <w:vAlign w:val="center"/>
          </w:tcPr>
          <w:p w14:paraId="6262077B">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150</w:t>
            </w:r>
          </w:p>
        </w:tc>
      </w:tr>
      <w:tr w14:paraId="264C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trPr>
        <w:tc>
          <w:tcPr>
            <w:tcW w:w="5020" w:type="dxa"/>
            <w:vAlign w:val="center"/>
          </w:tcPr>
          <w:p w14:paraId="479F4CA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6000&lt;G</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8000</w:t>
            </w:r>
          </w:p>
        </w:tc>
        <w:tc>
          <w:tcPr>
            <w:tcW w:w="4520" w:type="dxa"/>
            <w:vAlign w:val="center"/>
          </w:tcPr>
          <w:p w14:paraId="115C493C">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180</w:t>
            </w:r>
          </w:p>
        </w:tc>
      </w:tr>
      <w:tr w14:paraId="1E00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atLeast"/>
        </w:trPr>
        <w:tc>
          <w:tcPr>
            <w:tcW w:w="5020" w:type="dxa"/>
            <w:vAlign w:val="center"/>
          </w:tcPr>
          <w:p w14:paraId="5D3FA2A6">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8000&lt;G</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12000</w:t>
            </w:r>
          </w:p>
        </w:tc>
        <w:tc>
          <w:tcPr>
            <w:tcW w:w="4520" w:type="dxa"/>
            <w:vAlign w:val="center"/>
          </w:tcPr>
          <w:p w14:paraId="5C304BB6">
            <w:pPr>
              <w:spacing w:line="360"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200</w:t>
            </w:r>
          </w:p>
        </w:tc>
      </w:tr>
    </w:tbl>
    <w:p w14:paraId="42CB9F77">
      <w:pPr>
        <w:rPr>
          <w:rFonts w:hint="eastAsia" w:ascii="黑体" w:hAnsi="黑体" w:eastAsia="黑体" w:cs="黑体"/>
          <w:color w:val="auto"/>
          <w:szCs w:val="21"/>
          <w:highlight w:val="none"/>
          <w:lang w:val="en-US" w:eastAsia="zh-CN"/>
        </w:rPr>
      </w:pPr>
    </w:p>
    <w:p w14:paraId="5053FEC4">
      <w:pPr>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6.3.11</w:t>
      </w:r>
      <w:r>
        <w:rPr>
          <w:rFonts w:ascii="Times New Roman" w:hAnsi="Times New Roman" w:eastAsia="宋体" w:cs="Times New Roman"/>
          <w:color w:val="auto"/>
          <w:szCs w:val="21"/>
          <w:highlight w:val="none"/>
        </w:rPr>
        <w:t xml:space="preserve"> 强夯点可采用正方形</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等边三角形</w:t>
      </w:r>
      <w:r>
        <w:rPr>
          <w:rFonts w:hint="eastAsia" w:ascii="Times New Roman" w:hAnsi="Times New Roman" w:eastAsia="宋体" w:cs="Times New Roman"/>
          <w:color w:val="auto"/>
          <w:szCs w:val="21"/>
          <w:highlight w:val="none"/>
          <w:lang w:val="en-US" w:eastAsia="zh-CN"/>
        </w:rPr>
        <w:t>或</w:t>
      </w:r>
      <w:r>
        <w:rPr>
          <w:rFonts w:hint="eastAsia" w:ascii="Times New Roman" w:hAnsi="Times New Roman" w:eastAsia="宋体" w:cs="Times New Roman"/>
          <w:color w:val="auto"/>
          <w:szCs w:val="21"/>
          <w:highlight w:val="none"/>
        </w:rPr>
        <w:t>梅花</w:t>
      </w:r>
      <w:r>
        <w:rPr>
          <w:rFonts w:hint="eastAsia" w:ascii="Times New Roman" w:hAnsi="Times New Roman" w:eastAsia="宋体" w:cs="Times New Roman"/>
          <w:color w:val="auto"/>
          <w:szCs w:val="21"/>
          <w:highlight w:val="none"/>
          <w:lang w:val="en-US" w:eastAsia="zh-CN"/>
        </w:rPr>
        <w:t>形</w:t>
      </w:r>
      <w:r>
        <w:rPr>
          <w:rFonts w:ascii="Times New Roman" w:hAnsi="Times New Roman" w:eastAsia="宋体" w:cs="Times New Roman"/>
          <w:color w:val="auto"/>
          <w:szCs w:val="21"/>
          <w:highlight w:val="none"/>
        </w:rPr>
        <w:t>布置</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夯击遍数应根据地基土性质确定，并应符合下列要求：</w:t>
      </w:r>
    </w:p>
    <w:p w14:paraId="2730B4E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粗颗粒、渗透性好的地基土夯击遍数可适当减少，细颗粒、渗透性差的地基土夯击遍数可适当增加；</w:t>
      </w:r>
    </w:p>
    <w:p w14:paraId="201A7EED">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一般第一遍夯击点间距可取夯锤直径的2.5～3.5倍，第二遍夯击点位于第一遍夯击点之间，第三遍夯击点位于第一遍与第二遍夯击点之间，每层第三遍全部夯击完成后，再改用小夯锤满夯，锤印搭接应满足0.25D（D为夯锤直径），以确保夯实效果；</w:t>
      </w:r>
    </w:p>
    <w:p w14:paraId="2BF49F1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强夯典型平面布置示意可参考图14执行。</w:t>
      </w:r>
      <w:r>
        <w:rPr>
          <w:rFonts w:ascii="Times New Roman" w:hAnsi="Times New Roman" w:eastAsia="宋体" w:cs="Times New Roman"/>
          <w:color w:val="auto"/>
          <w:szCs w:val="21"/>
          <w:highlight w:val="none"/>
        </w:rPr>
        <mc:AlternateContent>
          <mc:Choice Requires="wps">
            <w:drawing>
              <wp:anchor distT="0" distB="0" distL="114300" distR="114300" simplePos="0" relativeHeight="251659264" behindDoc="0" locked="0" layoutInCell="1" allowOverlap="1">
                <wp:simplePos x="0" y="0"/>
                <wp:positionH relativeFrom="page">
                  <wp:posOffset>6553200</wp:posOffset>
                </wp:positionH>
                <wp:positionV relativeFrom="page">
                  <wp:posOffset>9779000</wp:posOffset>
                </wp:positionV>
                <wp:extent cx="317500" cy="241300"/>
                <wp:effectExtent l="0" t="0" r="0" b="0"/>
                <wp:wrapSquare wrapText="bothSides"/>
                <wp:docPr id="41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A9616"/>
                        </w:txbxContent>
                      </wps:txbx>
                      <wps:bodyPr lIns="25400" tIns="0" rIns="25400" bIns="0">
                        <a:noAutofit/>
                      </wps:bodyPr>
                    </wps:wsp>
                  </a:graphicData>
                </a:graphic>
              </wp:anchor>
            </w:drawing>
          </mc:Choice>
          <mc:Fallback>
            <w:pict>
              <v:shape id="文本框 2" o:spid="_x0000_s1026" o:spt="202" type="#_x0000_t202" style="position:absolute;left:0pt;margin-left:516pt;margin-top:770pt;height:19pt;width:25pt;mso-position-horizontal-relative:page;mso-position-vertical-relative:page;mso-wrap-distance-bottom:0pt;mso-wrap-distance-left:9pt;mso-wrap-distance-right:9pt;mso-wrap-distance-top:0pt;z-index:251659264;mso-width-relative:page;mso-height-relative:page;" filled="f" stroked="f" coordsize="21600,21600" o:gfxdata="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17LbTZAAAADwEAAA8AAAAA&#10;AAAAAQAgAAAAIgAAAGRycy9kb3ducmV2LnhtbFBLAQIUABQAAAAIAIdO4kCGrJml2gEAAKADAAAO&#10;AAAAAAAAAAEAIAAAACgBAABkcnMvZTJvRG9jLnhtbFBLBQYAAAAABgAGAFkBAAB0BQAAAAA=&#10;">
                <v:fill on="f" focussize="0,0"/>
                <v:stroke on="f" weight="0.5pt"/>
                <v:imagedata o:title=""/>
                <o:lock v:ext="edit" aspectratio="f"/>
                <v:textbox inset="2pt,0mm,2pt,0mm">
                  <w:txbxContent>
                    <w:p w14:paraId="4EEA9616"/>
                  </w:txbxContent>
                </v:textbox>
                <w10:wrap type="square"/>
              </v:shape>
            </w:pict>
          </mc:Fallback>
        </mc:AlternateContent>
      </w:r>
    </w:p>
    <w:p w14:paraId="5423510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3148965" cy="1914525"/>
            <wp:effectExtent l="0" t="0" r="635" b="3175"/>
            <wp:docPr id="24" name="图片 24" descr="C:/Users/22308/Desktop/5da567b97f5b1700517bf122573627b.jpg5da567b97f5b1700517bf1225736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22308/Desktop/5da567b97f5b1700517bf122573627b.jpg5da567b97f5b1700517bf122573627b"/>
                    <pic:cNvPicPr>
                      <a:picLocks noChangeAspect="1"/>
                    </pic:cNvPicPr>
                  </pic:nvPicPr>
                  <pic:blipFill>
                    <a:blip r:embed="rId53"/>
                    <a:srcRect t="10" b="10"/>
                    <a:stretch>
                      <a:fillRect/>
                    </a:stretch>
                  </pic:blipFill>
                  <pic:spPr>
                    <a:xfrm>
                      <a:off x="0" y="0"/>
                      <a:ext cx="3148965" cy="1914525"/>
                    </a:xfrm>
                    <a:prstGeom prst="rect">
                      <a:avLst/>
                    </a:prstGeom>
                  </pic:spPr>
                </pic:pic>
              </a:graphicData>
            </a:graphic>
          </wp:inline>
        </w:drawing>
      </w:r>
      <w:r>
        <w:rPr>
          <w:rFonts w:ascii="Times New Roman" w:hAnsi="Times New Roman" w:eastAsia="宋体" w:cs="Times New Roman"/>
          <w:color w:val="auto"/>
          <w:szCs w:val="21"/>
          <w:highlight w:val="none"/>
        </w:rPr>
        <w:drawing>
          <wp:inline distT="0" distB="0" distL="114300" distR="114300">
            <wp:extent cx="1819275" cy="2180590"/>
            <wp:effectExtent l="0" t="0" r="9525" b="3810"/>
            <wp:docPr id="25" name="图片 25" descr="C:/Users/22308/Desktop/微信图片_20240806110211.jpg微信图片_202408061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22308/Desktop/微信图片_20240806110211.jpg微信图片_20240806110211"/>
                    <pic:cNvPicPr>
                      <a:picLocks noChangeAspect="1"/>
                    </pic:cNvPicPr>
                  </pic:nvPicPr>
                  <pic:blipFill>
                    <a:blip r:embed="rId54"/>
                    <a:srcRect t="17" b="17"/>
                    <a:stretch>
                      <a:fillRect/>
                    </a:stretch>
                  </pic:blipFill>
                  <pic:spPr>
                    <a:xfrm>
                      <a:off x="0" y="0"/>
                      <a:ext cx="1819275" cy="2180590"/>
                    </a:xfrm>
                    <a:prstGeom prst="rect">
                      <a:avLst/>
                    </a:prstGeom>
                  </pic:spPr>
                </pic:pic>
              </a:graphicData>
            </a:graphic>
          </wp:inline>
        </w:drawing>
      </w:r>
    </w:p>
    <w:p w14:paraId="380E1789">
      <w:pPr>
        <w:numPr>
          <w:ilvl w:val="0"/>
          <w:numId w:val="0"/>
        </w:numPr>
        <w:spacing w:line="360" w:lineRule="auto"/>
        <w:ind w:firstLine="1054" w:firstLineChars="500"/>
        <w:rPr>
          <w:rFonts w:ascii="Times New Roman" w:hAnsi="Times New Roman" w:eastAsia="宋体" w:cs="Times New Roman"/>
          <w:b/>
          <w:color w:val="auto"/>
          <w:szCs w:val="21"/>
          <w:highlight w:val="none"/>
        </w:rPr>
      </w:pPr>
      <w:r>
        <w:rPr>
          <w:rFonts w:ascii="Times New Roman" w:hAnsi="Times New Roman" w:eastAsia="宋体" w:cs="Times New Roman"/>
          <w:b/>
          <w:color w:val="auto"/>
          <w:kern w:val="2"/>
          <w:sz w:val="21"/>
          <w:szCs w:val="21"/>
          <w:highlight w:val="none"/>
          <w:lang w:val="en-US" w:eastAsia="zh-CN" w:bidi="ar-SA"/>
        </w:rPr>
        <w:t>a）</w:t>
      </w:r>
      <w:r>
        <w:rPr>
          <w:rFonts w:ascii="Times New Roman" w:hAnsi="Times New Roman" w:eastAsia="宋体" w:cs="Times New Roman"/>
          <w:color w:val="auto"/>
          <w:szCs w:val="21"/>
          <w:highlight w:val="none"/>
        </w:rPr>
        <w:t>夯点平面布置示意图               b）满夯平面示意图</w:t>
      </w:r>
    </w:p>
    <w:p w14:paraId="05454064">
      <w:pPr>
        <w:numPr>
          <w:ilvl w:val="0"/>
          <w:numId w:val="0"/>
        </w:numPr>
        <w:spacing w:line="360" w:lineRule="auto"/>
        <w:ind w:firstLine="2530" w:firstLineChars="1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图14  强夯法典型平面布置示意图</w:t>
      </w:r>
    </w:p>
    <w:p w14:paraId="36BC35DA">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6.3.12</w:t>
      </w:r>
      <w:r>
        <w:rPr>
          <w:rFonts w:ascii="Times New Roman" w:hAnsi="Times New Roman" w:eastAsia="宋体" w:cs="Times New Roman"/>
          <w:color w:val="auto"/>
          <w:szCs w:val="21"/>
          <w:highlight w:val="none"/>
        </w:rPr>
        <w:t xml:space="preserve"> 两遍夯击之间的间隔时间应根据土中超静孔隙水压力的消散时间确定，并应符合下列要求：</w:t>
      </w:r>
    </w:p>
    <w:p w14:paraId="4540B38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当缺少实测资料时，可根据地基土的渗透性确定，对于渗透性较差的黏性土地基，间隔时间不应少于3周～4周，粉土地基的间隔时间不宜小于2周；</w:t>
      </w:r>
    </w:p>
    <w:p w14:paraId="7D47D9F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对于渗透性好的碎石土及砂土地基可连续夯击；</w:t>
      </w:r>
    </w:p>
    <w:p w14:paraId="38CC441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若夯击过程中观察到弹簧情况，或周</w:t>
      </w:r>
      <w:r>
        <w:rPr>
          <w:rFonts w:hint="eastAsia" w:ascii="Times New Roman" w:hAnsi="Times New Roman" w:eastAsia="宋体" w:cs="Times New Roman"/>
          <w:color w:val="auto"/>
          <w:szCs w:val="21"/>
          <w:highlight w:val="none"/>
          <w:lang w:val="en-US" w:eastAsia="zh-CN"/>
        </w:rPr>
        <w:t>边</w:t>
      </w:r>
      <w:r>
        <w:rPr>
          <w:rFonts w:ascii="Times New Roman" w:hAnsi="Times New Roman" w:eastAsia="宋体" w:cs="Times New Roman"/>
          <w:color w:val="auto"/>
          <w:szCs w:val="21"/>
          <w:highlight w:val="none"/>
        </w:rPr>
        <w:t>地表隆起鼓包、翻浆等现象，需增大夯击时间间隔。</w:t>
      </w:r>
    </w:p>
    <w:p w14:paraId="4F928682">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6.3.13</w:t>
      </w:r>
      <w:r>
        <w:rPr>
          <w:rFonts w:ascii="Times New Roman" w:hAnsi="Times New Roman" w:eastAsia="宋体" w:cs="Times New Roman"/>
          <w:color w:val="auto"/>
          <w:szCs w:val="21"/>
          <w:highlight w:val="none"/>
        </w:rPr>
        <w:t xml:space="preserve"> 强夯置换法的强夯置换材料可采用硬质开山</w:t>
      </w:r>
      <w:r>
        <w:rPr>
          <w:rFonts w:hint="eastAsia" w:ascii="Times New Roman" w:hAnsi="Times New Roman" w:eastAsia="宋体" w:cs="Times New Roman"/>
          <w:color w:val="auto"/>
          <w:szCs w:val="21"/>
          <w:highlight w:val="none"/>
        </w:rPr>
        <w:t>石碴‌</w:t>
      </w:r>
      <w:r>
        <w:rPr>
          <w:rFonts w:ascii="Times New Roman" w:hAnsi="Times New Roman" w:eastAsia="宋体" w:cs="Times New Roman"/>
          <w:color w:val="auto"/>
          <w:szCs w:val="21"/>
          <w:highlight w:val="none"/>
        </w:rPr>
        <w:t>、片石、碎石等材料，粒径不宜大于0.5m；强夯片石墩置换材料宜选用粒径较小的硬质片石或碎石，粒径大于0.3m的颗粒含量不宜超过30％，含泥量不宜超过总质量的5％。</w:t>
      </w:r>
    </w:p>
    <w:p w14:paraId="1FAD5E83">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6.3.14</w:t>
      </w:r>
      <w:r>
        <w:rPr>
          <w:rFonts w:ascii="Times New Roman" w:hAnsi="Times New Roman" w:eastAsia="宋体" w:cs="Times New Roman"/>
          <w:color w:val="auto"/>
          <w:szCs w:val="21"/>
          <w:highlight w:val="none"/>
        </w:rPr>
        <w:t xml:space="preserve"> 强夯法施工应符合下列要求：</w:t>
      </w:r>
    </w:p>
    <w:p w14:paraId="7587213C">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当强夯施工振动对临近建筑物、设备、地下管线等设施会产生有害影响时，应采取防震、隔振或其他必要措施，宜设置监测点；</w:t>
      </w:r>
    </w:p>
    <w:p w14:paraId="5465297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当场地地下水位较高，夯坑内积水影响施工时，宜采用挖沟排水、人工降低地下水位或铺填一定厚度的透水材料，及时将场地或夯坑内积水排出；</w:t>
      </w:r>
    </w:p>
    <w:p w14:paraId="0555AA9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强夯施工顺序可按平面“由内而外，先中间后四周”或“单向前进”的原则；处治深度按“先深后浅”的原则，即先加固深层土，再加固中层土，最后加固浅层土。当周边有需要保护的建筑设施时，应从建筑设施侧向远处移动。</w:t>
      </w:r>
    </w:p>
    <w:p w14:paraId="4D7B09BC">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6.3.15</w:t>
      </w:r>
      <w:r>
        <w:rPr>
          <w:rFonts w:ascii="Times New Roman" w:hAnsi="Times New Roman" w:eastAsia="宋体" w:cs="Times New Roman"/>
          <w:color w:val="auto"/>
          <w:szCs w:val="21"/>
          <w:highlight w:val="none"/>
        </w:rPr>
        <w:t xml:space="preserve"> 强夯与强夯置换法质量检测应符合以下要求：</w:t>
      </w:r>
    </w:p>
    <w:p w14:paraId="0FDF25A9">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检测时间间隔应根据地基土性质不同而异，碎石和砂土地基土宜取7d～14d，低饱和度的粉土和黏性土地基土宜取14d～28d，其它高饱和度地基土间隔时间应适当延长；</w:t>
      </w:r>
    </w:p>
    <w:p w14:paraId="50181E61">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检测方法应根据软弱土性质及设计要求选择采用原位测试、室内土工试验及物探等方法；</w:t>
      </w:r>
    </w:p>
    <w:p w14:paraId="09DD11B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对于简单场地上的一般强夯法，可选用平板载荷、标贯、动探等原位测试方法；</w:t>
      </w:r>
    </w:p>
    <w:p w14:paraId="5EF1068C">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对于抛石挤淤强夯置换法，应采用面积较大的平板进行载荷试验，同时宜选用钻探、动探、物探面波等方法进行置换厚度检测；</w:t>
      </w:r>
    </w:p>
    <w:p w14:paraId="25913AB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对于强夯置换墩法，除需了解强夯墩间土的性状外，还需了解墩的直径和深度，强夯置换处理后的复合地基承载力可采用复合地基载荷试验确定。</w:t>
      </w:r>
    </w:p>
    <w:p w14:paraId="074E3994">
      <w:pPr>
        <w:spacing w:line="360" w:lineRule="auto"/>
        <w:ind w:left="840" w:leftChars="200" w:hanging="420" w:hangingChars="200"/>
        <w:rPr>
          <w:rFonts w:ascii="Times New Roman" w:hAnsi="Times New Roman" w:eastAsia="宋体" w:cs="Times New Roman"/>
          <w:color w:val="auto"/>
          <w:szCs w:val="21"/>
          <w:highlight w:val="none"/>
        </w:rPr>
      </w:pPr>
    </w:p>
    <w:p w14:paraId="0CE1AB60">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ascii="黑体" w:hAnsi="黑体" w:eastAsia="黑体" w:cs="黑体"/>
          <w:color w:val="auto"/>
          <w:szCs w:val="21"/>
          <w:highlight w:val="none"/>
          <w:lang w:val="en-US" w:eastAsia="zh-CN"/>
        </w:rPr>
      </w:pPr>
      <w:bookmarkStart w:id="34" w:name="_Toc170244946"/>
      <w:r>
        <w:rPr>
          <w:rFonts w:hint="eastAsia" w:ascii="黑体" w:hAnsi="黑体" w:eastAsia="黑体" w:cs="黑体"/>
          <w:color w:val="auto"/>
          <w:szCs w:val="21"/>
          <w:highlight w:val="none"/>
          <w:lang w:val="en-US" w:eastAsia="zh-CN"/>
        </w:rPr>
        <w:t>6.4 加固桩处治法</w:t>
      </w:r>
      <w:bookmarkEnd w:id="34"/>
    </w:p>
    <w:p w14:paraId="564D31B5">
      <w:pPr>
        <w:adjustRightInd w:val="0"/>
        <w:snapToGrid w:val="0"/>
        <w:spacing w:line="360" w:lineRule="auto"/>
        <w:outlineLvl w:val="2"/>
        <w:rPr>
          <w:rFonts w:ascii="Times New Roman" w:hAnsi="Times New Roman" w:eastAsia="宋体" w:cs="Times New Roman"/>
          <w:bCs/>
          <w:color w:val="auto"/>
          <w:szCs w:val="21"/>
          <w:highlight w:val="none"/>
        </w:rPr>
      </w:pPr>
      <w:r>
        <w:rPr>
          <w:rFonts w:hint="eastAsia" w:ascii="黑体" w:hAnsi="黑体" w:eastAsia="黑体" w:cs="黑体"/>
          <w:color w:val="auto"/>
          <w:szCs w:val="21"/>
          <w:highlight w:val="none"/>
          <w:lang w:val="en-US" w:eastAsia="zh-CN"/>
        </w:rPr>
        <w:t>6.4.1</w:t>
      </w:r>
      <w:r>
        <w:rPr>
          <w:rFonts w:ascii="Times New Roman" w:hAnsi="Times New Roman" w:eastAsia="宋体" w:cs="Times New Roman"/>
          <w:bCs/>
          <w:color w:val="auto"/>
          <w:szCs w:val="21"/>
          <w:highlight w:val="none"/>
        </w:rPr>
        <w:t xml:space="preserve"> </w:t>
      </w:r>
      <w:r>
        <w:rPr>
          <w:rFonts w:hint="eastAsia" w:ascii="黑体" w:hAnsi="黑体" w:eastAsia="黑体" w:cs="黑体"/>
          <w:color w:val="auto"/>
          <w:szCs w:val="21"/>
          <w:highlight w:val="none"/>
          <w:lang w:val="en-US" w:eastAsia="zh-CN"/>
        </w:rPr>
        <w:t>粒料桩法</w:t>
      </w:r>
    </w:p>
    <w:p w14:paraId="579E4334">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6.4.1.1</w:t>
      </w:r>
      <w:r>
        <w:rPr>
          <w:rFonts w:ascii="Times New Roman" w:hAnsi="Times New Roman" w:eastAsia="宋体" w:cs="Times New Roman"/>
          <w:color w:val="auto"/>
          <w:szCs w:val="21"/>
          <w:highlight w:val="none"/>
        </w:rPr>
        <w:t xml:space="preserve"> 粒料桩分为振冲粒料桩和沉管粒料桩，粒料桩复合地基处治应符合下列要求：</w:t>
      </w:r>
    </w:p>
    <w:p w14:paraId="4178F4E1">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粒料桩适用于处治松散砂土、粉土、黏性土、填土等厚度较大的软弱地基土；对砂土、粉土和碎石土主要起置换和挤密作用；对黏性土和填土，以置换作用为主，兼有不同程度的挤密和排水固结的作用，也可用于液化地基处理；</w:t>
      </w:r>
    </w:p>
    <w:p w14:paraId="48578A11">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粒料桩适用于粒料来源丰富的灰岩、白云岩、花岗岩地区及砂砾丰富的大型河流沿线地段；</w:t>
      </w:r>
    </w:p>
    <w:p w14:paraId="143FF5F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粒料桩可采用振冲置换法或振动沉管法成桩，振冲粒料桩可用于十字板抗剪强度大于15kPa的地基土，振动沉管粒料桩可用于加固十字板抗剪强度大于20kPa的地基土或标准贯入试验击数大于3击的黏性土地基；</w:t>
      </w:r>
    </w:p>
    <w:p w14:paraId="6311D29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黏性土路段应</w:t>
      </w:r>
      <w:r>
        <w:rPr>
          <w:rFonts w:hint="eastAsia" w:ascii="Times New Roman" w:hAnsi="Times New Roman" w:eastAsia="宋体" w:cs="Times New Roman"/>
          <w:color w:val="auto"/>
          <w:szCs w:val="21"/>
          <w:highlight w:val="none"/>
          <w:lang w:val="en-US" w:eastAsia="zh-CN"/>
        </w:rPr>
        <w:t>实测</w:t>
      </w:r>
      <w:r>
        <w:rPr>
          <w:rFonts w:ascii="Times New Roman" w:hAnsi="Times New Roman" w:eastAsia="宋体" w:cs="Times New Roman"/>
          <w:color w:val="auto"/>
          <w:szCs w:val="21"/>
          <w:highlight w:val="none"/>
        </w:rPr>
        <w:t>地基土的抗剪强度和标准贯入试验锤击数，砂土、素填土等应获取地基土的孔隙比、密实程度和标准贯入试验锤击数等相关参数，作为处治方案设计与计算的依据。</w:t>
      </w:r>
    </w:p>
    <w:p w14:paraId="125C8F84">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6.4.1.2</w:t>
      </w:r>
      <w:r>
        <w:rPr>
          <w:rFonts w:ascii="Times New Roman" w:hAnsi="Times New Roman" w:eastAsia="宋体" w:cs="Times New Roman"/>
          <w:color w:val="auto"/>
          <w:szCs w:val="21"/>
          <w:highlight w:val="none"/>
        </w:rPr>
        <w:t xml:space="preserve"> 粒料桩的长度应根据稳定</w:t>
      </w:r>
      <w:r>
        <w:rPr>
          <w:rFonts w:hint="eastAsia" w:ascii="Times New Roman" w:hAnsi="Times New Roman" w:eastAsia="宋体" w:cs="Times New Roman"/>
          <w:color w:val="auto"/>
          <w:szCs w:val="21"/>
          <w:highlight w:val="none"/>
          <w:lang w:val="en-US" w:eastAsia="zh-CN"/>
        </w:rPr>
        <w:t>性</w:t>
      </w:r>
      <w:r>
        <w:rPr>
          <w:rFonts w:ascii="Times New Roman" w:hAnsi="Times New Roman" w:eastAsia="宋体" w:cs="Times New Roman"/>
          <w:color w:val="auto"/>
          <w:szCs w:val="21"/>
          <w:highlight w:val="none"/>
        </w:rPr>
        <w:t>与沉降计算确定，应符合下列技术要求：</w:t>
      </w:r>
    </w:p>
    <w:p w14:paraId="74FF5CE0">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桩长宜采用4m～12m，最长不宜大于15m。当软弱土层较薄时，桩长应穿过软弱土层至相对</w:t>
      </w:r>
      <w:r>
        <w:rPr>
          <w:rFonts w:hint="eastAsia" w:ascii="Times New Roman" w:hAnsi="Times New Roman" w:eastAsia="宋体" w:cs="Times New Roman"/>
          <w:color w:val="auto"/>
          <w:szCs w:val="21"/>
          <w:highlight w:val="none"/>
          <w:lang w:val="en-US" w:eastAsia="zh-CN"/>
        </w:rPr>
        <w:t>坚</w:t>
      </w:r>
      <w:r>
        <w:rPr>
          <w:rFonts w:ascii="Times New Roman" w:hAnsi="Times New Roman" w:eastAsia="宋体" w:cs="Times New Roman"/>
          <w:color w:val="auto"/>
          <w:szCs w:val="21"/>
          <w:highlight w:val="none"/>
        </w:rPr>
        <w:t>硬层；当软弱土层</w:t>
      </w:r>
      <w:r>
        <w:rPr>
          <w:rFonts w:hint="eastAsia" w:ascii="Times New Roman" w:hAnsi="Times New Roman" w:eastAsia="宋体" w:cs="Times New Roman"/>
          <w:color w:val="auto"/>
          <w:szCs w:val="21"/>
          <w:highlight w:val="none"/>
          <w:lang w:val="en-US" w:eastAsia="zh-CN"/>
        </w:rPr>
        <w:t>较</w:t>
      </w:r>
      <w:r>
        <w:rPr>
          <w:rFonts w:ascii="Times New Roman" w:hAnsi="Times New Roman" w:eastAsia="宋体" w:cs="Times New Roman"/>
          <w:color w:val="auto"/>
          <w:szCs w:val="21"/>
          <w:highlight w:val="none"/>
        </w:rPr>
        <w:t>深时，应按沉降与稳定计算确定；以稳定性控制的桩长应穿过潜在危险面以下至少2m；</w:t>
      </w:r>
    </w:p>
    <w:p w14:paraId="48FFE971">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对于软弱土地基为软塑～可塑～硬塑渐变型结构，当桩端持力层</w:t>
      </w:r>
      <w:r>
        <w:rPr>
          <w:rFonts w:hint="eastAsia" w:ascii="Times New Roman" w:hAnsi="Times New Roman" w:eastAsia="宋体" w:cs="Times New Roman"/>
          <w:color w:val="auto"/>
          <w:szCs w:val="21"/>
          <w:highlight w:val="none"/>
          <w:lang w:val="en-US" w:eastAsia="zh-CN"/>
        </w:rPr>
        <w:t>为</w:t>
      </w:r>
      <w:r>
        <w:rPr>
          <w:rFonts w:ascii="Times New Roman" w:hAnsi="Times New Roman" w:eastAsia="宋体" w:cs="Times New Roman"/>
          <w:color w:val="auto"/>
          <w:szCs w:val="21"/>
          <w:highlight w:val="none"/>
        </w:rPr>
        <w:t>厚度较大的可塑状土层时，</w:t>
      </w:r>
      <w:r>
        <w:rPr>
          <w:rFonts w:ascii="Times New Roman" w:hAnsi="Times New Roman" w:eastAsia="宋体" w:cs="Times New Roman"/>
          <w:color w:val="auto"/>
          <w:szCs w:val="21"/>
          <w:highlight w:val="none"/>
        </w:rPr>
        <w:t>应充分论证桩长进</w:t>
      </w:r>
      <w:r>
        <w:rPr>
          <w:rFonts w:hint="eastAsia" w:ascii="Times New Roman" w:hAnsi="Times New Roman" w:eastAsia="宋体" w:cs="Times New Roman"/>
          <w:color w:val="auto"/>
          <w:szCs w:val="21"/>
          <w:highlight w:val="none"/>
          <w:lang w:val="en-US" w:eastAsia="zh-CN"/>
        </w:rPr>
        <w:t>入</w:t>
      </w:r>
      <w:r>
        <w:rPr>
          <w:rFonts w:ascii="Times New Roman" w:hAnsi="Times New Roman" w:eastAsia="宋体" w:cs="Times New Roman"/>
          <w:color w:val="auto"/>
          <w:szCs w:val="21"/>
          <w:highlight w:val="none"/>
        </w:rPr>
        <w:t>持力层</w:t>
      </w:r>
      <w:r>
        <w:rPr>
          <w:rFonts w:hint="eastAsia" w:ascii="Times New Roman" w:hAnsi="Times New Roman" w:eastAsia="宋体" w:cs="Times New Roman"/>
          <w:color w:val="auto"/>
          <w:szCs w:val="21"/>
          <w:highlight w:val="none"/>
          <w:lang w:val="en-US" w:eastAsia="zh-CN"/>
        </w:rPr>
        <w:t>的</w:t>
      </w:r>
      <w:r>
        <w:rPr>
          <w:rFonts w:ascii="Times New Roman" w:hAnsi="Times New Roman" w:eastAsia="宋体" w:cs="Times New Roman"/>
          <w:color w:val="auto"/>
          <w:szCs w:val="21"/>
          <w:highlight w:val="none"/>
        </w:rPr>
        <w:t>长度。</w:t>
      </w:r>
    </w:p>
    <w:p w14:paraId="177A06C0">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6.4.1.3 </w:t>
      </w:r>
      <w:r>
        <w:rPr>
          <w:rFonts w:ascii="Times New Roman" w:hAnsi="Times New Roman" w:eastAsia="宋体" w:cs="Times New Roman"/>
          <w:color w:val="auto"/>
          <w:szCs w:val="21"/>
          <w:highlight w:val="none"/>
        </w:rPr>
        <w:t>粒料桩桩径可根据地基土性质、成桩方式及设备等因素确定，沉管粒料桩的桩径宜为0.5m，振冲粒料桩的桩径宜为0.8m～1.2m。</w:t>
      </w:r>
    </w:p>
    <w:p w14:paraId="0D8655B9">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6.4.1.4 </w:t>
      </w:r>
      <w:r>
        <w:rPr>
          <w:rFonts w:ascii="Times New Roman" w:hAnsi="Times New Roman" w:eastAsia="宋体" w:cs="Times New Roman"/>
          <w:color w:val="auto"/>
          <w:szCs w:val="21"/>
          <w:highlight w:val="none"/>
        </w:rPr>
        <w:t>粒料桩间距应根据稳定</w:t>
      </w:r>
      <w:r>
        <w:rPr>
          <w:rFonts w:hint="eastAsia" w:ascii="Times New Roman" w:hAnsi="Times New Roman" w:eastAsia="宋体" w:cs="Times New Roman"/>
          <w:color w:val="auto"/>
          <w:szCs w:val="21"/>
          <w:highlight w:val="none"/>
          <w:lang w:val="en-US" w:eastAsia="zh-CN"/>
        </w:rPr>
        <w:t>性</w:t>
      </w:r>
      <w:r>
        <w:rPr>
          <w:rFonts w:ascii="Times New Roman" w:hAnsi="Times New Roman" w:eastAsia="宋体" w:cs="Times New Roman"/>
          <w:color w:val="auto"/>
          <w:szCs w:val="21"/>
          <w:highlight w:val="none"/>
        </w:rPr>
        <w:t>与沉降计算、现场试验等确定，并应符合下列规定：</w:t>
      </w:r>
    </w:p>
    <w:p w14:paraId="38A268A6">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振冲粒料桩间距宜根据地质条件和振冲器功率大小确定，30kW振冲器布桩间距宜为1.3m～2.0m；55kW振冲器布桩间距宜为1.4m～2.5m；75kW振冲器布桩间距宜为1.5m～3.0m；</w:t>
      </w:r>
    </w:p>
    <w:p w14:paraId="6313DF0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沉管粒料桩间距宜为1.0m～1.5m，不宜大于4倍桩直径；</w:t>
      </w:r>
    </w:p>
    <w:p w14:paraId="0103AB0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初步设计时，可按下列情况确定：</w:t>
      </w:r>
    </w:p>
    <w:p w14:paraId="7F60E5F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对松散粉土、砂土地基，按等边三角形布桩的桩间距可</w:t>
      </w:r>
      <w:r>
        <w:rPr>
          <w:rFonts w:hint="eastAsia" w:ascii="Times New Roman" w:hAnsi="Times New Roman" w:eastAsia="宋体" w:cs="Times New Roman"/>
          <w:color w:val="auto"/>
          <w:szCs w:val="21"/>
          <w:highlight w:val="none"/>
          <w:lang w:val="en-US" w:eastAsia="zh-CN"/>
        </w:rPr>
        <w:t>按</w:t>
      </w:r>
      <w:r>
        <w:rPr>
          <w:rFonts w:ascii="Times New Roman" w:hAnsi="Times New Roman" w:eastAsia="宋体" w:cs="Times New Roman"/>
          <w:color w:val="auto"/>
          <w:szCs w:val="21"/>
          <w:highlight w:val="none"/>
        </w:rPr>
        <w:t>公式</w:t>
      </w:r>
      <w:r>
        <w:rPr>
          <w:rFonts w:hint="eastAsia" w:ascii="Times New Roman" w:hAnsi="Times New Roman" w:eastAsia="宋体" w:cs="Times New Roman"/>
          <w:color w:val="auto"/>
          <w:szCs w:val="21"/>
          <w:highlight w:val="none"/>
          <w:lang w:val="en-US" w:eastAsia="zh-CN"/>
        </w:rPr>
        <w:t>(14)</w:t>
      </w:r>
      <w:r>
        <w:rPr>
          <w:rFonts w:ascii="Times New Roman" w:hAnsi="Times New Roman" w:eastAsia="宋体" w:cs="Times New Roman"/>
          <w:color w:val="auto"/>
          <w:szCs w:val="21"/>
          <w:highlight w:val="none"/>
        </w:rPr>
        <w:t>估算：</w:t>
      </w:r>
    </w:p>
    <w:p w14:paraId="10AF96CD">
      <w:pPr>
        <w:spacing w:line="360" w:lineRule="auto"/>
        <w:ind w:firstLine="3570" w:firstLineChars="1700"/>
        <w:rPr>
          <w:rFonts w:hint="default" w:ascii="Times New Roman" w:hAnsi="Times New Roman" w:cs="Times New Roman" w:eastAsiaTheme="minorEastAsia"/>
          <w:color w:val="auto"/>
          <w:szCs w:val="21"/>
          <w:highlight w:val="none"/>
          <w:lang w:val="en-US" w:eastAsia="zh-CN"/>
        </w:rPr>
      </w:pPr>
      <m:oMath>
        <m:r>
          <m:rPr>
            <m:sty m:val="p"/>
          </m:rPr>
          <w:rPr>
            <w:rFonts w:ascii="Cambria Math" w:hAnsi="Cambria Math" w:eastAsia="宋体" w:cs="Times New Roman"/>
            <w:color w:val="auto"/>
            <w:szCs w:val="21"/>
            <w:highlight w:val="none"/>
          </w:rPr>
          <m:t>s=0.95</m:t>
        </m:r>
        <m:r>
          <m:rPr>
            <m:sty m:val="p"/>
          </m:rPr>
          <w:rPr>
            <w:rFonts w:ascii="Cambria Math" w:hAnsi="Cambria Math" w:cs="Times New Roman"/>
            <w:color w:val="auto"/>
            <w:szCs w:val="21"/>
            <w:highlight w:val="none"/>
          </w:rPr>
          <m:t>ξd</m:t>
        </m:r>
        <m:rad>
          <m:radPr>
            <m:degHide m:val="1"/>
            <m:ctrlPr>
              <w:rPr>
                <w:rFonts w:ascii="Cambria Math" w:hAnsi="Cambria Math" w:cs="Times New Roman"/>
                <w:color w:val="auto"/>
                <w:szCs w:val="21"/>
                <w:highlight w:val="none"/>
              </w:rPr>
            </m:ctrlPr>
          </m:radPr>
          <m:deg>
            <m:ctrlPr>
              <w:rPr>
                <w:rFonts w:ascii="Cambria Math" w:hAnsi="Cambria Math" w:cs="Times New Roman"/>
                <w:color w:val="auto"/>
                <w:szCs w:val="21"/>
                <w:highlight w:val="none"/>
              </w:rPr>
            </m:ctrlPr>
          </m:deg>
          <m:e>
            <m:f>
              <m:fPr>
                <m:ctrlPr>
                  <w:rPr>
                    <w:rFonts w:ascii="Cambria Math" w:hAnsi="Cambria Math" w:cs="Times New Roman"/>
                    <w:color w:val="auto"/>
                    <w:szCs w:val="21"/>
                    <w:highlight w:val="none"/>
                  </w:rPr>
                </m:ctrlPr>
              </m:fPr>
              <m:num>
                <m:r>
                  <m:rPr>
                    <m:sty m:val="p"/>
                  </m:rPr>
                  <w:rPr>
                    <w:rFonts w:ascii="Cambria Math" w:hAnsi="Cambria Math" w:cs="Times New Roman"/>
                    <w:color w:val="auto"/>
                    <w:szCs w:val="21"/>
                    <w:highlight w:val="none"/>
                  </w:rPr>
                  <m:t>1+</m:t>
                </m:r>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e</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0</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num>
              <m:den>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e</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0</m:t>
                    </m:r>
                    <m:ctrlPr>
                      <w:rPr>
                        <w:rFonts w:ascii="Cambria Math" w:hAnsi="Cambria Math" w:cs="Times New Roman"/>
                        <w:color w:val="auto"/>
                        <w:szCs w:val="21"/>
                        <w:highlight w:val="none"/>
                      </w:rPr>
                    </m:ctrlPr>
                  </m:sub>
                </m:sSub>
                <m:r>
                  <m:rPr>
                    <m:sty m:val="p"/>
                  </m:rPr>
                  <w:rPr>
                    <w:rFonts w:ascii="Cambria Math" w:hAnsi="Cambria Math" w:cs="Times New Roman"/>
                    <w:color w:val="auto"/>
                    <w:szCs w:val="21"/>
                    <w:highlight w:val="none"/>
                  </w:rPr>
                  <m:t>−</m:t>
                </m:r>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e</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1</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den>
            </m:f>
            <m:ctrlPr>
              <w:rPr>
                <w:rFonts w:ascii="Cambria Math" w:hAnsi="Cambria Math" w:cs="Times New Roman"/>
                <w:color w:val="auto"/>
                <w:szCs w:val="21"/>
                <w:highlight w:val="none"/>
              </w:rPr>
            </m:ctrlPr>
          </m:e>
        </m:rad>
      </m:oMath>
      <w:r>
        <w:rPr>
          <w:rFonts w:hint="eastAsia" w:hAnsi="Cambria Math" w:cs="Times New Roman"/>
          <w:i w:val="0"/>
          <w:color w:val="auto"/>
          <w:szCs w:val="21"/>
          <w:highlight w:val="none"/>
          <w:lang w:val="en-US" w:eastAsia="zh-CN"/>
        </w:rPr>
        <w:t xml:space="preserve"> ..................................................... </w:t>
      </w:r>
      <w:r>
        <w:rPr>
          <w:rFonts w:hint="eastAsia" w:ascii="Times New Roman" w:hAnsi="Times New Roman" w:eastAsia="宋体" w:cs="Times New Roman"/>
          <w:color w:val="auto"/>
          <w:szCs w:val="21"/>
          <w:highlight w:val="none"/>
          <w:lang w:val="en-US" w:eastAsia="zh-CN"/>
        </w:rPr>
        <w:t>(14)</w:t>
      </w:r>
    </w:p>
    <w:p w14:paraId="2BB546B6">
      <w:pPr>
        <w:spacing w:line="360" w:lineRule="auto"/>
        <w:ind w:firstLine="840" w:firstLineChars="4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按正方形布桩的桩间距可按</w:t>
      </w:r>
      <w:r>
        <w:rPr>
          <w:rFonts w:hint="eastAsia" w:ascii="Times New Roman" w:hAnsi="Times New Roman" w:eastAsia="宋体" w:cs="Times New Roman"/>
          <w:color w:val="auto"/>
          <w:szCs w:val="21"/>
          <w:highlight w:val="none"/>
          <w:lang w:val="en-US" w:eastAsia="zh-CN"/>
        </w:rPr>
        <w:t>公式(15)</w:t>
      </w:r>
      <w:r>
        <w:rPr>
          <w:rFonts w:ascii="Times New Roman" w:hAnsi="Times New Roman" w:eastAsia="宋体" w:cs="Times New Roman"/>
          <w:color w:val="auto"/>
          <w:szCs w:val="21"/>
          <w:highlight w:val="none"/>
        </w:rPr>
        <w:t>估算：</w:t>
      </w:r>
    </w:p>
    <w:p w14:paraId="235EA1AA">
      <w:pPr>
        <w:spacing w:line="360" w:lineRule="auto"/>
        <w:ind w:firstLine="3570" w:firstLineChars="1700"/>
        <w:rPr>
          <w:rFonts w:hint="eastAsia" w:ascii="Times New Roman" w:hAnsi="Times New Roman" w:cs="Times New Roman" w:eastAsiaTheme="minorEastAsia"/>
          <w:color w:val="auto"/>
          <w:szCs w:val="21"/>
          <w:highlight w:val="none"/>
          <w:lang w:val="en-US" w:eastAsia="zh-CN"/>
        </w:rPr>
      </w:pPr>
      <m:oMath>
        <m:r>
          <m:rPr>
            <m:sty m:val="p"/>
          </m:rPr>
          <w:rPr>
            <w:rFonts w:ascii="Cambria Math" w:hAnsi="Cambria Math" w:eastAsia="宋体" w:cs="Times New Roman"/>
            <w:color w:val="auto"/>
            <w:szCs w:val="21"/>
            <w:highlight w:val="none"/>
          </w:rPr>
          <m:t>s=0.89</m:t>
        </m:r>
        <m:r>
          <m:rPr>
            <m:sty m:val="p"/>
          </m:rPr>
          <w:rPr>
            <w:rFonts w:ascii="Cambria Math" w:hAnsi="Cambria Math" w:cs="Times New Roman"/>
            <w:color w:val="auto"/>
            <w:szCs w:val="21"/>
            <w:highlight w:val="none"/>
          </w:rPr>
          <m:t>ξd</m:t>
        </m:r>
        <m:rad>
          <m:radPr>
            <m:degHide m:val="1"/>
            <m:ctrlPr>
              <w:rPr>
                <w:rFonts w:ascii="Cambria Math" w:hAnsi="Cambria Math" w:cs="Times New Roman"/>
                <w:color w:val="auto"/>
                <w:szCs w:val="21"/>
                <w:highlight w:val="none"/>
              </w:rPr>
            </m:ctrlPr>
          </m:radPr>
          <m:deg>
            <m:ctrlPr>
              <w:rPr>
                <w:rFonts w:ascii="Cambria Math" w:hAnsi="Cambria Math" w:cs="Times New Roman"/>
                <w:color w:val="auto"/>
                <w:szCs w:val="21"/>
                <w:highlight w:val="none"/>
              </w:rPr>
            </m:ctrlPr>
          </m:deg>
          <m:e>
            <m:f>
              <m:fPr>
                <m:ctrlPr>
                  <w:rPr>
                    <w:rFonts w:ascii="Cambria Math" w:hAnsi="Cambria Math" w:cs="Times New Roman"/>
                    <w:color w:val="auto"/>
                    <w:szCs w:val="21"/>
                    <w:highlight w:val="none"/>
                  </w:rPr>
                </m:ctrlPr>
              </m:fPr>
              <m:num>
                <m:r>
                  <m:rPr>
                    <m:sty m:val="p"/>
                  </m:rPr>
                  <w:rPr>
                    <w:rFonts w:ascii="Cambria Math" w:hAnsi="Cambria Math" w:cs="Times New Roman"/>
                    <w:color w:val="auto"/>
                    <w:szCs w:val="21"/>
                    <w:highlight w:val="none"/>
                  </w:rPr>
                  <m:t>1+</m:t>
                </m:r>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e</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0</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num>
              <m:den>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e</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0</m:t>
                    </m:r>
                    <m:ctrlPr>
                      <w:rPr>
                        <w:rFonts w:ascii="Cambria Math" w:hAnsi="Cambria Math" w:cs="Times New Roman"/>
                        <w:color w:val="auto"/>
                        <w:szCs w:val="21"/>
                        <w:highlight w:val="none"/>
                      </w:rPr>
                    </m:ctrlPr>
                  </m:sub>
                </m:sSub>
                <m:r>
                  <m:rPr>
                    <m:sty m:val="p"/>
                  </m:rPr>
                  <w:rPr>
                    <w:rFonts w:ascii="Cambria Math" w:hAnsi="Cambria Math" w:cs="Times New Roman"/>
                    <w:color w:val="auto"/>
                    <w:szCs w:val="21"/>
                    <w:highlight w:val="none"/>
                  </w:rPr>
                  <m:t>−</m:t>
                </m:r>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e</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1</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den>
            </m:f>
            <m:ctrlPr>
              <w:rPr>
                <w:rFonts w:ascii="Cambria Math" w:hAnsi="Cambria Math" w:cs="Times New Roman"/>
                <w:color w:val="auto"/>
                <w:szCs w:val="21"/>
                <w:highlight w:val="none"/>
              </w:rPr>
            </m:ctrlPr>
          </m:e>
        </m:rad>
      </m:oMath>
      <w:r>
        <w:rPr>
          <w:rFonts w:hint="eastAsia" w:hAnsi="Cambria Math" w:cs="Times New Roman"/>
          <w:i w:val="0"/>
          <w:color w:val="auto"/>
          <w:szCs w:val="21"/>
          <w:highlight w:val="none"/>
          <w:lang w:val="en-US" w:eastAsia="zh-CN"/>
        </w:rPr>
        <w:t xml:space="preserve"> ..................................................... </w:t>
      </w:r>
      <w:r>
        <w:rPr>
          <w:rFonts w:hint="eastAsia" w:ascii="Times New Roman" w:hAnsi="Times New Roman" w:eastAsia="宋体" w:cs="Times New Roman"/>
          <w:color w:val="auto"/>
          <w:szCs w:val="21"/>
          <w:highlight w:val="none"/>
          <w:lang w:val="en-US" w:eastAsia="zh-CN"/>
        </w:rPr>
        <w:t>(15)</w:t>
      </w:r>
    </w:p>
    <w:p w14:paraId="7391680B">
      <w:pPr>
        <w:spacing w:line="360" w:lineRule="auto"/>
        <w:rPr>
          <w:rFonts w:ascii="Times New Roman" w:hAnsi="Times New Roman" w:eastAsia="宋体" w:cs="Times New Roman"/>
          <w:color w:val="auto"/>
          <w:szCs w:val="21"/>
          <w:highlight w:val="none"/>
        </w:rPr>
      </w:pPr>
    </w:p>
    <w:p w14:paraId="344B96E2">
      <w:pPr>
        <w:spacing w:line="360" w:lineRule="auto"/>
        <w:ind w:firstLine="2940" w:firstLineChars="1400"/>
        <w:rPr>
          <w:rFonts w:hint="default" w:ascii="Times New Roman" w:hAnsi="Times New Roman" w:eastAsia="宋体" w:cs="Times New Roman"/>
          <w:color w:val="auto"/>
          <w:szCs w:val="21"/>
          <w:highlight w:val="none"/>
          <w:lang w:val="en-US" w:eastAsia="zh-CN"/>
        </w:rPr>
      </w:pPr>
      <m:oMath>
        <m:sSub>
          <m:sSubPr>
            <m:ctrlPr>
              <w:rPr>
                <w:rFonts w:hint="eastAsia" w:ascii="Cambria Math" w:hAnsi="Cambria Math" w:eastAsia="宋体" w:cs="宋体"/>
                <w:i w:val="0"/>
                <w:color w:val="auto"/>
                <w:sz w:val="21"/>
                <w:szCs w:val="21"/>
                <w:highlight w:val="none"/>
              </w:rPr>
            </m:ctrlPr>
          </m:sSubPr>
          <m:e>
            <m:r>
              <m:rPr>
                <m:sty m:val="p"/>
              </m:rPr>
              <w:rPr>
                <w:rFonts w:hint="default" w:ascii="Cambria Math" w:hAnsi="Cambria Math" w:eastAsia="宋体" w:cs="宋体"/>
                <w:color w:val="auto"/>
                <w:sz w:val="21"/>
                <w:szCs w:val="21"/>
                <w:highlight w:val="none"/>
              </w:rPr>
              <m:t>e</m:t>
            </m:r>
            <m:ctrlPr>
              <w:rPr>
                <w:rFonts w:hint="eastAsia" w:ascii="Cambria Math" w:hAnsi="Cambria Math" w:eastAsia="宋体" w:cs="宋体"/>
                <w:i w:val="0"/>
                <w:color w:val="auto"/>
                <w:sz w:val="21"/>
                <w:szCs w:val="21"/>
                <w:highlight w:val="none"/>
              </w:rPr>
            </m:ctrlPr>
          </m:e>
          <m:sub>
            <m:r>
              <m:rPr>
                <m:sty m:val="p"/>
              </m:rPr>
              <w:rPr>
                <w:rFonts w:hint="eastAsia" w:ascii="Cambria Math" w:hAnsi="Cambria Math" w:eastAsia="宋体" w:cs="宋体"/>
                <w:color w:val="auto"/>
                <w:sz w:val="21"/>
                <w:szCs w:val="21"/>
                <w:highlight w:val="none"/>
              </w:rPr>
              <m:t>1</m:t>
            </m:r>
            <m:ctrlPr>
              <w:rPr>
                <w:rFonts w:hint="eastAsia" w:ascii="Cambria Math" w:hAnsi="Cambria Math" w:eastAsia="宋体" w:cs="宋体"/>
                <w:i w:val="0"/>
                <w:color w:val="auto"/>
                <w:sz w:val="21"/>
                <w:szCs w:val="21"/>
                <w:highlight w:val="none"/>
              </w:rPr>
            </m:ctrlPr>
          </m:sub>
        </m:sSub>
        <m:r>
          <m:rPr>
            <m:sty m:val="p"/>
          </m:rPr>
          <w:rPr>
            <w:rFonts w:hint="eastAsia" w:ascii="Cambria Math" w:hAnsi="Cambria Math" w:eastAsia="宋体" w:cs="宋体"/>
            <w:color w:val="auto"/>
            <w:sz w:val="21"/>
            <w:szCs w:val="21"/>
            <w:highlight w:val="none"/>
          </w:rPr>
          <m:t>=</m:t>
        </m:r>
        <m:sSub>
          <m:sSubPr>
            <m:ctrlPr>
              <w:rPr>
                <w:rFonts w:hint="eastAsia" w:ascii="Cambria Math" w:hAnsi="Cambria Math" w:eastAsia="宋体" w:cs="宋体"/>
                <w:i w:val="0"/>
                <w:color w:val="auto"/>
                <w:sz w:val="21"/>
                <w:szCs w:val="21"/>
                <w:highlight w:val="none"/>
              </w:rPr>
            </m:ctrlPr>
          </m:sSubPr>
          <m:e>
            <m:r>
              <m:rPr>
                <m:sty m:val="p"/>
              </m:rPr>
              <w:rPr>
                <w:rFonts w:hint="default" w:ascii="Cambria Math" w:hAnsi="Cambria Math" w:eastAsia="宋体" w:cs="宋体"/>
                <w:color w:val="auto"/>
                <w:sz w:val="21"/>
                <w:szCs w:val="21"/>
                <w:highlight w:val="none"/>
              </w:rPr>
              <m:t>e</m:t>
            </m:r>
            <m:ctrlPr>
              <w:rPr>
                <w:rFonts w:hint="eastAsia" w:ascii="Cambria Math" w:hAnsi="Cambria Math" w:eastAsia="宋体" w:cs="宋体"/>
                <w:i w:val="0"/>
                <w:color w:val="auto"/>
                <w:sz w:val="21"/>
                <w:szCs w:val="21"/>
                <w:highlight w:val="none"/>
              </w:rPr>
            </m:ctrlPr>
          </m:e>
          <m:sub>
            <m:r>
              <m:rPr>
                <m:sty m:val="p"/>
              </m:rPr>
              <w:rPr>
                <w:rFonts w:hint="default" w:ascii="Cambria Math" w:hAnsi="Cambria Math" w:eastAsia="宋体" w:cs="宋体"/>
                <w:color w:val="auto"/>
                <w:sz w:val="21"/>
                <w:szCs w:val="21"/>
                <w:highlight w:val="none"/>
              </w:rPr>
              <m:t>max</m:t>
            </m:r>
            <m:ctrlPr>
              <w:rPr>
                <w:rFonts w:hint="eastAsia" w:ascii="Cambria Math" w:hAnsi="Cambria Math" w:eastAsia="宋体" w:cs="宋体"/>
                <w:i w:val="0"/>
                <w:color w:val="auto"/>
                <w:sz w:val="21"/>
                <w:szCs w:val="21"/>
                <w:highlight w:val="none"/>
              </w:rPr>
            </m:ctrlPr>
          </m:sub>
        </m:sSub>
        <m:r>
          <m:rPr>
            <m:sty m:val="p"/>
          </m:rPr>
          <w:rPr>
            <w:rFonts w:hint="eastAsia" w:ascii="Cambria Math" w:hAnsi="Cambria Math" w:eastAsia="宋体" w:cs="宋体"/>
            <w:color w:val="auto"/>
            <w:sz w:val="21"/>
            <w:szCs w:val="21"/>
            <w:highlight w:val="none"/>
          </w:rPr>
          <m:t>−</m:t>
        </m:r>
        <m:sSub>
          <m:sSubPr>
            <m:ctrlPr>
              <w:rPr>
                <w:rFonts w:hint="eastAsia" w:ascii="Cambria Math" w:hAnsi="Cambria Math" w:eastAsia="宋体" w:cs="宋体"/>
                <w:i w:val="0"/>
                <w:color w:val="auto"/>
                <w:sz w:val="21"/>
                <w:szCs w:val="21"/>
                <w:highlight w:val="none"/>
              </w:rPr>
            </m:ctrlPr>
          </m:sSubPr>
          <m:e>
            <m:r>
              <m:rPr>
                <m:sty m:val="p"/>
              </m:rPr>
              <w:rPr>
                <w:rFonts w:hint="default" w:ascii="Cambria Math" w:hAnsi="Cambria Math" w:eastAsia="宋体" w:cs="宋体"/>
                <w:color w:val="auto"/>
                <w:sz w:val="21"/>
                <w:szCs w:val="21"/>
                <w:highlight w:val="none"/>
              </w:rPr>
              <m:t>D</m:t>
            </m:r>
            <m:ctrlPr>
              <w:rPr>
                <w:rFonts w:hint="eastAsia" w:ascii="Cambria Math" w:hAnsi="Cambria Math" w:eastAsia="宋体" w:cs="宋体"/>
                <w:i w:val="0"/>
                <w:color w:val="auto"/>
                <w:sz w:val="21"/>
                <w:szCs w:val="21"/>
                <w:highlight w:val="none"/>
              </w:rPr>
            </m:ctrlPr>
          </m:e>
          <m:sub>
            <m:r>
              <m:rPr>
                <m:sty m:val="p"/>
              </m:rPr>
              <w:rPr>
                <w:rFonts w:hint="default" w:ascii="Cambria Math" w:hAnsi="Cambria Math" w:eastAsia="宋体" w:cs="宋体"/>
                <w:color w:val="auto"/>
                <w:sz w:val="21"/>
                <w:szCs w:val="21"/>
                <w:highlight w:val="none"/>
              </w:rPr>
              <m:t>r1</m:t>
            </m:r>
            <m:ctrlPr>
              <w:rPr>
                <w:rFonts w:hint="eastAsia" w:ascii="Cambria Math" w:hAnsi="Cambria Math" w:eastAsia="宋体" w:cs="宋体"/>
                <w:i w:val="0"/>
                <w:color w:val="auto"/>
                <w:sz w:val="21"/>
                <w:szCs w:val="21"/>
                <w:highlight w:val="none"/>
              </w:rPr>
            </m:ctrlPr>
          </m:sub>
        </m:sSub>
        <m:r>
          <m:rPr>
            <m:sty m:val="p"/>
          </m:rPr>
          <w:rPr>
            <w:rFonts w:hint="eastAsia" w:ascii="Cambria Math" w:hAnsi="Cambria Math" w:eastAsia="宋体" w:cs="宋体"/>
            <w:color w:val="auto"/>
            <w:sz w:val="21"/>
            <w:szCs w:val="21"/>
            <w:highlight w:val="none"/>
          </w:rPr>
          <m:t>(</m:t>
        </m:r>
        <m:sSub>
          <m:sSubPr>
            <m:ctrlPr>
              <w:rPr>
                <w:rFonts w:hint="eastAsia" w:ascii="Cambria Math" w:hAnsi="Cambria Math" w:eastAsia="宋体" w:cs="宋体"/>
                <w:i w:val="0"/>
                <w:color w:val="auto"/>
                <w:sz w:val="21"/>
                <w:szCs w:val="21"/>
                <w:highlight w:val="none"/>
              </w:rPr>
            </m:ctrlPr>
          </m:sSubPr>
          <m:e>
            <m:r>
              <m:rPr>
                <m:sty m:val="p"/>
              </m:rPr>
              <w:rPr>
                <w:rFonts w:hint="default" w:ascii="Cambria Math" w:hAnsi="Cambria Math" w:eastAsia="宋体" w:cs="宋体"/>
                <w:color w:val="auto"/>
                <w:sz w:val="21"/>
                <w:szCs w:val="21"/>
                <w:highlight w:val="none"/>
              </w:rPr>
              <m:t>e</m:t>
            </m:r>
            <m:ctrlPr>
              <w:rPr>
                <w:rFonts w:hint="eastAsia" w:ascii="Cambria Math" w:hAnsi="Cambria Math" w:eastAsia="宋体" w:cs="宋体"/>
                <w:i w:val="0"/>
                <w:color w:val="auto"/>
                <w:sz w:val="21"/>
                <w:szCs w:val="21"/>
                <w:highlight w:val="none"/>
              </w:rPr>
            </m:ctrlPr>
          </m:e>
          <m:sub>
            <m:r>
              <m:rPr>
                <m:sty m:val="p"/>
              </m:rPr>
              <w:rPr>
                <w:rFonts w:hint="default" w:ascii="Cambria Math" w:hAnsi="Cambria Math" w:eastAsia="宋体" w:cs="宋体"/>
                <w:color w:val="auto"/>
                <w:sz w:val="21"/>
                <w:szCs w:val="21"/>
                <w:highlight w:val="none"/>
              </w:rPr>
              <m:t>max</m:t>
            </m:r>
            <m:ctrlPr>
              <w:rPr>
                <w:rFonts w:hint="eastAsia" w:ascii="Cambria Math" w:hAnsi="Cambria Math" w:eastAsia="宋体" w:cs="宋体"/>
                <w:i w:val="0"/>
                <w:color w:val="auto"/>
                <w:sz w:val="21"/>
                <w:szCs w:val="21"/>
                <w:highlight w:val="none"/>
              </w:rPr>
            </m:ctrlPr>
          </m:sub>
        </m:sSub>
        <m:r>
          <m:rPr>
            <m:sty m:val="p"/>
          </m:rPr>
          <w:rPr>
            <w:rFonts w:hint="eastAsia" w:ascii="Cambria Math" w:hAnsi="Cambria Math" w:eastAsia="宋体" w:cs="宋体"/>
            <w:color w:val="auto"/>
            <w:sz w:val="21"/>
            <w:szCs w:val="21"/>
            <w:highlight w:val="none"/>
          </w:rPr>
          <m:t>−</m:t>
        </m:r>
        <m:sSub>
          <m:sSubPr>
            <m:ctrlPr>
              <w:rPr>
                <w:rFonts w:hint="eastAsia" w:ascii="Cambria Math" w:hAnsi="Cambria Math" w:eastAsia="宋体" w:cs="宋体"/>
                <w:i w:val="0"/>
                <w:color w:val="auto"/>
                <w:sz w:val="21"/>
                <w:szCs w:val="21"/>
                <w:highlight w:val="none"/>
              </w:rPr>
            </m:ctrlPr>
          </m:sSubPr>
          <m:e>
            <m:r>
              <m:rPr>
                <m:sty m:val="p"/>
              </m:rPr>
              <w:rPr>
                <w:rFonts w:hint="default" w:ascii="Cambria Math" w:hAnsi="Cambria Math" w:eastAsia="宋体" w:cs="宋体"/>
                <w:color w:val="auto"/>
                <w:sz w:val="21"/>
                <w:szCs w:val="21"/>
                <w:highlight w:val="none"/>
              </w:rPr>
              <m:t>e</m:t>
            </m:r>
            <m:ctrlPr>
              <w:rPr>
                <w:rFonts w:hint="eastAsia" w:ascii="Cambria Math" w:hAnsi="Cambria Math" w:eastAsia="宋体" w:cs="宋体"/>
                <w:i w:val="0"/>
                <w:color w:val="auto"/>
                <w:sz w:val="21"/>
                <w:szCs w:val="21"/>
                <w:highlight w:val="none"/>
              </w:rPr>
            </m:ctrlPr>
          </m:e>
          <m:sub>
            <m:r>
              <m:rPr>
                <m:sty m:val="p"/>
              </m:rPr>
              <w:rPr>
                <w:rFonts w:hint="default" w:ascii="Cambria Math" w:hAnsi="Cambria Math" w:eastAsia="宋体" w:cs="宋体"/>
                <w:color w:val="auto"/>
                <w:sz w:val="21"/>
                <w:szCs w:val="21"/>
                <w:highlight w:val="none"/>
              </w:rPr>
              <m:t>min</m:t>
            </m:r>
            <m:ctrlPr>
              <w:rPr>
                <w:rFonts w:hint="eastAsia" w:ascii="Cambria Math" w:hAnsi="Cambria Math" w:eastAsia="宋体" w:cs="宋体"/>
                <w:i w:val="0"/>
                <w:color w:val="auto"/>
                <w:sz w:val="21"/>
                <w:szCs w:val="21"/>
                <w:highlight w:val="none"/>
              </w:rPr>
            </m:ctrlPr>
          </m:sub>
        </m:sSub>
        <m:r>
          <m:rPr>
            <m:sty m:val="p"/>
          </m:rPr>
          <w:rPr>
            <w:rFonts w:hint="eastAsia" w:ascii="Cambria Math" w:hAnsi="Cambria Math" w:eastAsia="宋体" w:cs="宋体"/>
            <w:color w:val="auto"/>
            <w:sz w:val="21"/>
            <w:szCs w:val="21"/>
            <w:highlight w:val="none"/>
          </w:rPr>
          <m:t>)</m:t>
        </m:r>
      </m:oMath>
      <w:r>
        <w:rPr>
          <w:rFonts w:hint="eastAsia" w:hAnsi="Cambria Math" w:eastAsia="宋体" w:cs="宋体"/>
          <w:b w:val="0"/>
          <w:i w:val="0"/>
          <w:color w:val="auto"/>
          <w:sz w:val="21"/>
          <w:szCs w:val="21"/>
          <w:highlight w:val="none"/>
          <w:lang w:val="en-US" w:eastAsia="zh-CN"/>
        </w:rPr>
        <w:t xml:space="preserve"> ............................................（16）</w:t>
      </w:r>
    </w:p>
    <w:p w14:paraId="0BA9390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7A3699B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s——粒料桩间距（m）；</w:t>
      </w:r>
    </w:p>
    <w:p w14:paraId="3AF5836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d——粒料桩直径（m）；</w:t>
      </w:r>
    </w:p>
    <w:p w14:paraId="76B06E7A">
      <w:pPr>
        <w:spacing w:line="360" w:lineRule="auto"/>
        <w:ind w:firstLine="420" w:firstLineChars="200"/>
        <w:rPr>
          <w:rFonts w:ascii="Times New Roman" w:hAnsi="Times New Roman" w:eastAsia="宋体" w:cs="Times New Roman"/>
          <w:color w:val="auto"/>
          <w:szCs w:val="21"/>
          <w:highlight w:val="none"/>
        </w:rPr>
      </w:pPr>
      <m:oMath>
        <m:r>
          <m:rPr>
            <m:sty m:val="p"/>
          </m:rPr>
          <w:rPr>
            <w:rFonts w:ascii="Cambria Math" w:hAnsi="Cambria Math" w:cs="Times New Roman"/>
            <w:color w:val="auto"/>
            <w:szCs w:val="21"/>
            <w:highlight w:val="none"/>
          </w:rPr>
          <m:t>ξ</m:t>
        </m:r>
      </m:oMath>
      <w:r>
        <w:rPr>
          <w:rFonts w:ascii="Times New Roman" w:hAnsi="Times New Roman" w:eastAsia="宋体" w:cs="Times New Roman"/>
          <w:color w:val="auto"/>
          <w:szCs w:val="21"/>
          <w:highlight w:val="none"/>
        </w:rPr>
        <w:t>——修正系数，考虑振动密实作用时，可取1.1～1.2；不考虑振动密实作用时，可取1.0；</w:t>
      </w:r>
    </w:p>
    <w:p w14:paraId="435710A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0</w:t>
      </w:r>
      <w:r>
        <w:rPr>
          <w:rFonts w:ascii="Times New Roman" w:hAnsi="Times New Roman" w:eastAsia="宋体" w:cs="Times New Roman"/>
          <w:color w:val="auto"/>
          <w:szCs w:val="21"/>
          <w:highlight w:val="none"/>
        </w:rPr>
        <w:t>——地基处理前砂土的孔隙比，根据原状土样和原位测试试验确定；</w:t>
      </w:r>
    </w:p>
    <w:p w14:paraId="6C43C25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——地基处理后砂土的孔隙比，根据原状土样和原位测试试验确定；</w:t>
      </w:r>
    </w:p>
    <w:p w14:paraId="4BC1E4E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max</w:t>
      </w: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min</w:t>
      </w:r>
      <w:r>
        <w:rPr>
          <w:rFonts w:ascii="Times New Roman" w:hAnsi="Times New Roman" w:eastAsia="宋体" w:cs="Times New Roman"/>
          <w:color w:val="auto"/>
          <w:szCs w:val="21"/>
          <w:highlight w:val="none"/>
        </w:rPr>
        <w:t>——砂土的最大、最小孔隙比；</w:t>
      </w:r>
    </w:p>
    <w:p w14:paraId="4888322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r</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——地基挤密后要求砂土达到的相对密实度，可取0.70～0.85。</w:t>
      </w:r>
    </w:p>
    <w:p w14:paraId="6669EAEB">
      <w:pPr>
        <w:spacing w:line="360" w:lineRule="auto"/>
        <w:ind w:firstLine="840" w:firstLineChars="4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面积置换率可按</w:t>
      </w:r>
      <w:r>
        <w:rPr>
          <w:rFonts w:hint="eastAsia" w:ascii="Times New Roman" w:hAnsi="Times New Roman" w:eastAsia="宋体" w:cs="Times New Roman"/>
          <w:color w:val="auto"/>
          <w:szCs w:val="21"/>
          <w:highlight w:val="none"/>
          <w:lang w:val="en-US" w:eastAsia="zh-CN"/>
        </w:rPr>
        <w:t>公式（17）</w:t>
      </w:r>
      <w:r>
        <w:rPr>
          <w:rFonts w:ascii="Times New Roman" w:hAnsi="Times New Roman" w:eastAsia="宋体" w:cs="Times New Roman"/>
          <w:color w:val="auto"/>
          <w:szCs w:val="21"/>
          <w:highlight w:val="none"/>
        </w:rPr>
        <w:t>确定：</w:t>
      </w:r>
    </w:p>
    <w:p w14:paraId="07FB21E9">
      <w:pPr>
        <w:spacing w:line="360" w:lineRule="auto"/>
        <w:ind w:firstLine="3780" w:firstLineChars="1800"/>
        <w:rPr>
          <w:rFonts w:hint="default" w:ascii="Times New Roman" w:hAnsi="Times New Roman" w:eastAsia="宋体" w:cs="Times New Roman"/>
          <w:color w:val="auto"/>
          <w:szCs w:val="21"/>
          <w:highlight w:val="none"/>
          <w:lang w:val="en-US" w:eastAsia="zh-CN"/>
        </w:rPr>
      </w:pPr>
      <m:oMath>
        <m:r>
          <m:rPr>
            <m:sty m:val="p"/>
          </m:rPr>
          <w:rPr>
            <w:rFonts w:ascii="Cambria Math" w:hAnsi="Cambria Math" w:eastAsia="宋体" w:cs="Times New Roman"/>
            <w:color w:val="auto"/>
            <w:szCs w:val="21"/>
            <w:highlight w:val="none"/>
          </w:rPr>
          <m:t>m=</m:t>
        </m:r>
        <m:f>
          <m:fPr>
            <m:ctrlPr>
              <w:rPr>
                <w:rFonts w:ascii="Cambria Math" w:hAnsi="Cambria Math" w:eastAsia="宋体" w:cs="Times New Roman"/>
                <w:color w:val="auto"/>
                <w:szCs w:val="21"/>
                <w:highlight w:val="none"/>
              </w:rPr>
            </m:ctrlPr>
          </m:fPr>
          <m:num>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0</m:t>
                </m:r>
                <m:ctrlPr>
                  <w:rPr>
                    <w:rFonts w:ascii="Cambria Math" w:hAnsi="Cambria Math" w:eastAsia="宋体" w:cs="Times New Roman"/>
                    <w:color w:val="auto"/>
                    <w:szCs w:val="21"/>
                    <w:highlight w:val="none"/>
                  </w:rPr>
                </m:ctrlPr>
              </m:sub>
            </m:sSub>
            <m:r>
              <m:rPr>
                <m:sty m:val="p"/>
              </m:rPr>
              <w:rPr>
                <w:rFonts w:ascii="Cambria Math" w:hAnsi="Cambria Math" w:eastAsia="宋体" w:cs="Times New Roman"/>
                <w:color w:val="auto"/>
                <w:szCs w:val="21"/>
                <w:highlight w:val="none"/>
              </w:rPr>
              <m:t>−</m:t>
            </m:r>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1</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num>
          <m:den>
            <m:r>
              <m:rPr>
                <m:sty m:val="p"/>
              </m:rPr>
              <w:rPr>
                <w:rFonts w:ascii="Cambria Math" w:hAnsi="Cambria Math" w:eastAsia="宋体" w:cs="Times New Roman"/>
                <w:color w:val="auto"/>
                <w:szCs w:val="21"/>
                <w:highlight w:val="none"/>
              </w:rPr>
              <m:t>1+</m:t>
            </m:r>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0</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den>
        </m:f>
      </m:oMath>
      <w:r>
        <w:rPr>
          <w:rFonts w:hint="eastAsia" w:hAnsi="Cambria Math" w:eastAsia="宋体" w:cs="Times New Roman"/>
          <w:i w:val="0"/>
          <w:color w:val="auto"/>
          <w:szCs w:val="21"/>
          <w:highlight w:val="none"/>
          <w:lang w:val="en-US" w:eastAsia="zh-CN"/>
        </w:rPr>
        <w:t xml:space="preserve"> ............................................................（17）</w:t>
      </w:r>
    </w:p>
    <w:p w14:paraId="0ED6587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3A2F5FF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m——面积置换率。</w:t>
      </w:r>
    </w:p>
    <w:p w14:paraId="5BB3663C">
      <w:pPr>
        <w:numPr>
          <w:ilvl w:val="0"/>
          <w:numId w:val="3"/>
        </w:num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黏性土地基，按等边三角形布桩的桩间距可</w:t>
      </w:r>
      <w:r>
        <w:rPr>
          <w:rFonts w:hint="eastAsia" w:ascii="Times New Roman" w:hAnsi="Times New Roman" w:eastAsia="宋体" w:cs="Times New Roman"/>
          <w:color w:val="auto"/>
          <w:szCs w:val="21"/>
          <w:highlight w:val="none"/>
          <w:lang w:val="en-US" w:eastAsia="zh-CN"/>
        </w:rPr>
        <w:t>按公式（18）</w:t>
      </w:r>
      <w:r>
        <w:rPr>
          <w:rFonts w:ascii="Times New Roman" w:hAnsi="Times New Roman" w:eastAsia="宋体" w:cs="Times New Roman"/>
          <w:color w:val="auto"/>
          <w:szCs w:val="21"/>
          <w:highlight w:val="none"/>
        </w:rPr>
        <w:t>估算：</w:t>
      </w:r>
    </w:p>
    <w:p w14:paraId="5AD6B655">
      <w:pPr>
        <w:spacing w:line="360" w:lineRule="auto"/>
        <w:ind w:firstLine="3360" w:firstLineChars="1600"/>
        <w:rPr>
          <w:rFonts w:hint="default" w:ascii="Times New Roman" w:hAnsi="Times New Roman" w:eastAsia="宋体" w:cs="Times New Roman"/>
          <w:color w:val="auto"/>
          <w:szCs w:val="21"/>
          <w:highlight w:val="none"/>
          <w:lang w:val="en-US" w:eastAsia="zh-CN"/>
        </w:rPr>
      </w:pPr>
      <m:oMath>
        <m:r>
          <m:rPr>
            <m:sty m:val="p"/>
          </m:rPr>
          <w:rPr>
            <w:rFonts w:ascii="Cambria Math" w:hAnsi="Cambria Math" w:eastAsia="宋体" w:cs="Times New Roman"/>
            <w:color w:val="auto"/>
            <w:szCs w:val="21"/>
            <w:highlight w:val="none"/>
          </w:rPr>
          <m:t>s=1.08</m:t>
        </m:r>
        <m:rad>
          <m:radPr>
            <m:degHide m:val="1"/>
            <m:ctrlPr>
              <w:rPr>
                <w:rFonts w:ascii="Cambria Math" w:hAnsi="Cambria Math" w:eastAsia="宋体" w:cs="Times New Roman"/>
                <w:color w:val="auto"/>
                <w:szCs w:val="21"/>
                <w:highlight w:val="none"/>
              </w:rPr>
            </m:ctrlPr>
          </m:radPr>
          <m:deg>
            <m:ctrlPr>
              <w:rPr>
                <w:rFonts w:ascii="Cambria Math" w:hAnsi="Cambria Math" w:eastAsia="宋体" w:cs="Times New Roman"/>
                <w:color w:val="auto"/>
                <w:szCs w:val="21"/>
                <w:highlight w:val="none"/>
              </w:rPr>
            </m:ctrlPr>
          </m:deg>
          <m:e>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A</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e>
        </m:rad>
        <m:r>
          <m:rPr>
            <m:sty m:val="p"/>
          </m:rPr>
          <w:rPr>
            <w:rFonts w:ascii="Cambria Math" w:hAnsi="Cambria Math" w:eastAsia="宋体" w:cs="Times New Roman"/>
            <w:color w:val="auto"/>
            <w:szCs w:val="21"/>
            <w:highlight w:val="none"/>
          </w:rPr>
          <m:t>=</m:t>
        </m:r>
        <m:rad>
          <m:radPr>
            <m:degHide m:val="1"/>
            <m:ctrlPr>
              <w:rPr>
                <w:rFonts w:ascii="Cambria Math" w:hAnsi="Cambria Math" w:eastAsia="宋体" w:cs="Times New Roman"/>
                <w:color w:val="auto"/>
                <w:szCs w:val="21"/>
                <w:highlight w:val="none"/>
              </w:rPr>
            </m:ctrlPr>
          </m:radPr>
          <m:deg>
            <m:ctrlPr>
              <w:rPr>
                <w:rFonts w:ascii="Cambria Math" w:hAnsi="Cambria Math" w:eastAsia="宋体" w:cs="Times New Roman"/>
                <w:color w:val="auto"/>
                <w:szCs w:val="21"/>
                <w:highlight w:val="none"/>
              </w:rPr>
            </m:ctrlPr>
          </m:deg>
          <m:e>
            <m:f>
              <m:fPr>
                <m:ctrlPr>
                  <w:rPr>
                    <w:rFonts w:ascii="Cambria Math" w:hAnsi="Cambria Math" w:eastAsia="宋体" w:cs="Times New Roman"/>
                    <w:color w:val="auto"/>
                    <w:szCs w:val="21"/>
                    <w:highlight w:val="none"/>
                  </w:rPr>
                </m:ctrlPr>
              </m:fPr>
              <m:num>
                <m:sSup>
                  <m:sSupPr>
                    <m:ctrlPr>
                      <w:rPr>
                        <w:rFonts w:ascii="Cambria Math" w:hAnsi="Cambria Math" w:eastAsia="宋体" w:cs="Times New Roman"/>
                        <w:color w:val="auto"/>
                        <w:szCs w:val="21"/>
                        <w:highlight w:val="none"/>
                      </w:rPr>
                    </m:ctrlPr>
                  </m:sSupPr>
                  <m:e>
                    <m:r>
                      <m:rPr>
                        <m:sty m:val="p"/>
                      </m:rPr>
                      <w:rPr>
                        <w:rFonts w:ascii="Cambria Math" w:hAnsi="Cambria Math" w:eastAsia="宋体" w:cs="Times New Roman"/>
                        <w:color w:val="auto"/>
                        <w:szCs w:val="21"/>
                        <w:highlight w:val="none"/>
                      </w:rPr>
                      <m:t>d</m:t>
                    </m:r>
                    <m:ctrlPr>
                      <w:rPr>
                        <w:rFonts w:ascii="Cambria Math" w:hAnsi="Cambria Math" w:eastAsia="宋体" w:cs="Times New Roman"/>
                        <w:color w:val="auto"/>
                        <w:szCs w:val="21"/>
                        <w:highlight w:val="none"/>
                      </w:rPr>
                    </m:ctrlPr>
                  </m:e>
                  <m:sup>
                    <m:r>
                      <m:rPr>
                        <m:sty m:val="p"/>
                      </m:rPr>
                      <w:rPr>
                        <w:rFonts w:ascii="Cambria Math" w:hAnsi="Cambria Math" w:eastAsia="宋体" w:cs="Times New Roman"/>
                        <w:color w:val="auto"/>
                        <w:szCs w:val="21"/>
                        <w:highlight w:val="none"/>
                      </w:rPr>
                      <m:t>2</m:t>
                    </m:r>
                    <m:ctrlPr>
                      <w:rPr>
                        <w:rFonts w:ascii="Cambria Math" w:hAnsi="Cambria Math" w:eastAsia="宋体" w:cs="Times New Roman"/>
                        <w:color w:val="auto"/>
                        <w:szCs w:val="21"/>
                        <w:highlight w:val="none"/>
                      </w:rPr>
                    </m:ctrlPr>
                  </m:sup>
                </m:sSup>
                <m:ctrlPr>
                  <w:rPr>
                    <w:rFonts w:ascii="Cambria Math" w:hAnsi="Cambria Math" w:eastAsia="宋体" w:cs="Times New Roman"/>
                    <w:color w:val="auto"/>
                    <w:szCs w:val="21"/>
                    <w:highlight w:val="none"/>
                  </w:rPr>
                </m:ctrlPr>
              </m:num>
              <m:den>
                <m:sSup>
                  <m:sSupPr>
                    <m:ctrlPr>
                      <w:rPr>
                        <w:rFonts w:ascii="Cambria Math" w:hAnsi="Cambria Math" w:eastAsia="宋体" w:cs="Times New Roman"/>
                        <w:color w:val="auto"/>
                        <w:szCs w:val="21"/>
                        <w:highlight w:val="none"/>
                      </w:rPr>
                    </m:ctrlPr>
                  </m:sSupPr>
                  <m:e>
                    <m:r>
                      <m:rPr>
                        <m:sty m:val="p"/>
                      </m:rPr>
                      <w:rPr>
                        <w:rFonts w:ascii="Cambria Math" w:hAnsi="Cambria Math" w:eastAsia="宋体" w:cs="Times New Roman"/>
                        <w:color w:val="auto"/>
                        <w:szCs w:val="21"/>
                        <w:highlight w:val="none"/>
                      </w:rPr>
                      <m:t>1.05</m:t>
                    </m:r>
                    <m:ctrlPr>
                      <w:rPr>
                        <w:rFonts w:ascii="Cambria Math" w:hAnsi="Cambria Math" w:eastAsia="宋体" w:cs="Times New Roman"/>
                        <w:color w:val="auto"/>
                        <w:szCs w:val="21"/>
                        <w:highlight w:val="none"/>
                      </w:rPr>
                    </m:ctrlPr>
                  </m:e>
                  <m:sup>
                    <m:r>
                      <m:rPr>
                        <m:sty m:val="p"/>
                      </m:rPr>
                      <w:rPr>
                        <w:rFonts w:ascii="Cambria Math" w:hAnsi="Cambria Math" w:eastAsia="宋体" w:cs="Times New Roman"/>
                        <w:color w:val="auto"/>
                        <w:szCs w:val="21"/>
                        <w:highlight w:val="none"/>
                      </w:rPr>
                      <m:t>2</m:t>
                    </m:r>
                    <m:ctrlPr>
                      <w:rPr>
                        <w:rFonts w:ascii="Cambria Math" w:hAnsi="Cambria Math" w:eastAsia="宋体" w:cs="Times New Roman"/>
                        <w:color w:val="auto"/>
                        <w:szCs w:val="21"/>
                        <w:highlight w:val="none"/>
                      </w:rPr>
                    </m:ctrlPr>
                  </m:sup>
                </m:sSup>
                <m:r>
                  <m:rPr>
                    <m:sty m:val="p"/>
                  </m:rPr>
                  <w:rPr>
                    <w:rFonts w:ascii="Cambria Math" w:hAnsi="Cambria Math" w:eastAsia="宋体" w:cs="Times New Roman"/>
                    <w:color w:val="auto"/>
                    <w:szCs w:val="21"/>
                    <w:highlight w:val="none"/>
                  </w:rPr>
                  <m:t>m</m:t>
                </m:r>
                <m:ctrlPr>
                  <w:rPr>
                    <w:rFonts w:ascii="Cambria Math" w:hAnsi="Cambria Math" w:eastAsia="宋体" w:cs="Times New Roman"/>
                    <w:color w:val="auto"/>
                    <w:szCs w:val="21"/>
                    <w:highlight w:val="none"/>
                  </w:rPr>
                </m:ctrlPr>
              </m:den>
            </m:f>
            <m:ctrlPr>
              <w:rPr>
                <w:rFonts w:ascii="Cambria Math" w:hAnsi="Cambria Math" w:eastAsia="宋体" w:cs="Times New Roman"/>
                <w:color w:val="auto"/>
                <w:szCs w:val="21"/>
                <w:highlight w:val="none"/>
              </w:rPr>
            </m:ctrlPr>
          </m:e>
        </m:rad>
      </m:oMath>
      <w:r>
        <w:rPr>
          <w:rFonts w:hint="eastAsia" w:hAnsi="Cambria Math" w:eastAsia="宋体"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（18）</w:t>
      </w:r>
    </w:p>
    <w:p w14:paraId="4902F8C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按正方形布桩的桩间距可按</w:t>
      </w:r>
      <w:r>
        <w:rPr>
          <w:rFonts w:hint="eastAsia" w:ascii="Times New Roman" w:hAnsi="Times New Roman" w:eastAsia="宋体" w:cs="Times New Roman"/>
          <w:color w:val="auto"/>
          <w:szCs w:val="21"/>
          <w:highlight w:val="none"/>
          <w:lang w:val="en-US" w:eastAsia="zh-CN"/>
        </w:rPr>
        <w:t>公式（19）（20）</w:t>
      </w:r>
      <w:r>
        <w:rPr>
          <w:rFonts w:ascii="Times New Roman" w:hAnsi="Times New Roman" w:eastAsia="宋体" w:cs="Times New Roman"/>
          <w:color w:val="auto"/>
          <w:szCs w:val="21"/>
          <w:highlight w:val="none"/>
        </w:rPr>
        <w:t>估算：</w:t>
      </w:r>
    </w:p>
    <w:p w14:paraId="65253193">
      <w:pPr>
        <w:spacing w:line="360" w:lineRule="auto"/>
        <w:ind w:firstLine="3360" w:firstLineChars="1600"/>
        <w:rPr>
          <w:rFonts w:hint="default" w:ascii="Times New Roman" w:hAnsi="Times New Roman" w:eastAsia="宋体" w:cs="Times New Roman"/>
          <w:color w:val="auto"/>
          <w:szCs w:val="21"/>
          <w:highlight w:val="none"/>
          <w:lang w:val="en-US" w:eastAsia="zh-CN"/>
        </w:rPr>
      </w:pPr>
      <m:oMath>
        <m:r>
          <m:rPr>
            <m:sty m:val="p"/>
          </m:rPr>
          <w:rPr>
            <w:rFonts w:ascii="Cambria Math" w:hAnsi="Cambria Math" w:eastAsia="宋体" w:cs="Times New Roman"/>
            <w:color w:val="auto"/>
            <w:szCs w:val="21"/>
            <w:highlight w:val="none"/>
          </w:rPr>
          <m:t>s=</m:t>
        </m:r>
        <m:rad>
          <m:radPr>
            <m:degHide m:val="1"/>
            <m:ctrlPr>
              <w:rPr>
                <w:rFonts w:ascii="Cambria Math" w:hAnsi="Cambria Math" w:eastAsia="宋体" w:cs="Times New Roman"/>
                <w:color w:val="auto"/>
                <w:szCs w:val="21"/>
                <w:highlight w:val="none"/>
              </w:rPr>
            </m:ctrlPr>
          </m:radPr>
          <m:deg>
            <m:ctrlPr>
              <w:rPr>
                <w:rFonts w:ascii="Cambria Math" w:hAnsi="Cambria Math" w:eastAsia="宋体" w:cs="Times New Roman"/>
                <w:color w:val="auto"/>
                <w:szCs w:val="21"/>
                <w:highlight w:val="none"/>
              </w:rPr>
            </m:ctrlPr>
          </m:deg>
          <m:e>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A</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e>
        </m:rad>
        <m:r>
          <m:rPr>
            <m:sty m:val="p"/>
          </m:rPr>
          <w:rPr>
            <w:rFonts w:ascii="Cambria Math" w:hAnsi="Cambria Math" w:eastAsia="宋体" w:cs="Times New Roman"/>
            <w:color w:val="auto"/>
            <w:szCs w:val="21"/>
            <w:highlight w:val="none"/>
          </w:rPr>
          <m:t>=</m:t>
        </m:r>
        <m:rad>
          <m:radPr>
            <m:degHide m:val="1"/>
            <m:ctrlPr>
              <w:rPr>
                <w:rFonts w:ascii="Cambria Math" w:hAnsi="Cambria Math" w:eastAsia="宋体" w:cs="Times New Roman"/>
                <w:color w:val="auto"/>
                <w:szCs w:val="21"/>
                <w:highlight w:val="none"/>
              </w:rPr>
            </m:ctrlPr>
          </m:radPr>
          <m:deg>
            <m:ctrlPr>
              <w:rPr>
                <w:rFonts w:ascii="Cambria Math" w:hAnsi="Cambria Math" w:eastAsia="宋体" w:cs="Times New Roman"/>
                <w:color w:val="auto"/>
                <w:szCs w:val="21"/>
                <w:highlight w:val="none"/>
              </w:rPr>
            </m:ctrlPr>
          </m:deg>
          <m:e>
            <m:f>
              <m:fPr>
                <m:ctrlPr>
                  <w:rPr>
                    <w:rFonts w:ascii="Cambria Math" w:hAnsi="Cambria Math" w:eastAsia="宋体" w:cs="Times New Roman"/>
                    <w:color w:val="auto"/>
                    <w:szCs w:val="21"/>
                    <w:highlight w:val="none"/>
                  </w:rPr>
                </m:ctrlPr>
              </m:fPr>
              <m:num>
                <m:sSup>
                  <m:sSupPr>
                    <m:ctrlPr>
                      <w:rPr>
                        <w:rFonts w:ascii="Cambria Math" w:hAnsi="Cambria Math" w:eastAsia="宋体" w:cs="Times New Roman"/>
                        <w:color w:val="auto"/>
                        <w:szCs w:val="21"/>
                        <w:highlight w:val="none"/>
                      </w:rPr>
                    </m:ctrlPr>
                  </m:sSupPr>
                  <m:e>
                    <m:r>
                      <m:rPr>
                        <m:sty m:val="p"/>
                      </m:rPr>
                      <w:rPr>
                        <w:rFonts w:ascii="Cambria Math" w:hAnsi="Cambria Math" w:eastAsia="宋体" w:cs="Times New Roman"/>
                        <w:color w:val="auto"/>
                        <w:szCs w:val="21"/>
                        <w:highlight w:val="none"/>
                      </w:rPr>
                      <m:t>d</m:t>
                    </m:r>
                    <m:ctrlPr>
                      <w:rPr>
                        <w:rFonts w:ascii="Cambria Math" w:hAnsi="Cambria Math" w:eastAsia="宋体" w:cs="Times New Roman"/>
                        <w:color w:val="auto"/>
                        <w:szCs w:val="21"/>
                        <w:highlight w:val="none"/>
                      </w:rPr>
                    </m:ctrlPr>
                  </m:e>
                  <m:sup>
                    <m:r>
                      <m:rPr>
                        <m:sty m:val="p"/>
                      </m:rPr>
                      <w:rPr>
                        <w:rFonts w:ascii="Cambria Math" w:hAnsi="Cambria Math" w:eastAsia="宋体" w:cs="Times New Roman"/>
                        <w:color w:val="auto"/>
                        <w:szCs w:val="21"/>
                        <w:highlight w:val="none"/>
                      </w:rPr>
                      <m:t>2</m:t>
                    </m:r>
                    <m:ctrlPr>
                      <w:rPr>
                        <w:rFonts w:ascii="Cambria Math" w:hAnsi="Cambria Math" w:eastAsia="宋体" w:cs="Times New Roman"/>
                        <w:color w:val="auto"/>
                        <w:szCs w:val="21"/>
                        <w:highlight w:val="none"/>
                      </w:rPr>
                    </m:ctrlPr>
                  </m:sup>
                </m:sSup>
                <m:ctrlPr>
                  <w:rPr>
                    <w:rFonts w:ascii="Cambria Math" w:hAnsi="Cambria Math" w:eastAsia="宋体" w:cs="Times New Roman"/>
                    <w:color w:val="auto"/>
                    <w:szCs w:val="21"/>
                    <w:highlight w:val="none"/>
                  </w:rPr>
                </m:ctrlPr>
              </m:num>
              <m:den>
                <m:sSup>
                  <m:sSupPr>
                    <m:ctrlPr>
                      <w:rPr>
                        <w:rFonts w:ascii="Cambria Math" w:hAnsi="Cambria Math" w:eastAsia="宋体" w:cs="Times New Roman"/>
                        <w:color w:val="auto"/>
                        <w:szCs w:val="21"/>
                        <w:highlight w:val="none"/>
                      </w:rPr>
                    </m:ctrlPr>
                  </m:sSupPr>
                  <m:e>
                    <m:r>
                      <m:rPr>
                        <m:sty m:val="p"/>
                      </m:rPr>
                      <w:rPr>
                        <w:rFonts w:ascii="Cambria Math" w:hAnsi="Cambria Math" w:eastAsia="宋体" w:cs="Times New Roman"/>
                        <w:color w:val="auto"/>
                        <w:szCs w:val="21"/>
                        <w:highlight w:val="none"/>
                      </w:rPr>
                      <m:t>1.13</m:t>
                    </m:r>
                    <m:ctrlPr>
                      <w:rPr>
                        <w:rFonts w:ascii="Cambria Math" w:hAnsi="Cambria Math" w:eastAsia="宋体" w:cs="Times New Roman"/>
                        <w:color w:val="auto"/>
                        <w:szCs w:val="21"/>
                        <w:highlight w:val="none"/>
                      </w:rPr>
                    </m:ctrlPr>
                  </m:e>
                  <m:sup>
                    <m:r>
                      <m:rPr>
                        <m:sty m:val="p"/>
                      </m:rPr>
                      <w:rPr>
                        <w:rFonts w:ascii="Cambria Math" w:hAnsi="Cambria Math" w:eastAsia="宋体" w:cs="Times New Roman"/>
                        <w:color w:val="auto"/>
                        <w:szCs w:val="21"/>
                        <w:highlight w:val="none"/>
                      </w:rPr>
                      <m:t>2</m:t>
                    </m:r>
                    <m:ctrlPr>
                      <w:rPr>
                        <w:rFonts w:ascii="Cambria Math" w:hAnsi="Cambria Math" w:eastAsia="宋体" w:cs="Times New Roman"/>
                        <w:color w:val="auto"/>
                        <w:szCs w:val="21"/>
                        <w:highlight w:val="none"/>
                      </w:rPr>
                    </m:ctrlPr>
                  </m:sup>
                </m:sSup>
                <m:r>
                  <m:rPr>
                    <m:sty m:val="p"/>
                  </m:rPr>
                  <w:rPr>
                    <w:rFonts w:ascii="Cambria Math" w:hAnsi="Cambria Math" w:eastAsia="宋体" w:cs="Times New Roman"/>
                    <w:color w:val="auto"/>
                    <w:szCs w:val="21"/>
                    <w:highlight w:val="none"/>
                  </w:rPr>
                  <m:t>m</m:t>
                </m:r>
                <m:ctrlPr>
                  <w:rPr>
                    <w:rFonts w:ascii="Cambria Math" w:hAnsi="Cambria Math" w:eastAsia="宋体" w:cs="Times New Roman"/>
                    <w:color w:val="auto"/>
                    <w:szCs w:val="21"/>
                    <w:highlight w:val="none"/>
                  </w:rPr>
                </m:ctrlPr>
              </m:den>
            </m:f>
            <m:ctrlPr>
              <w:rPr>
                <w:rFonts w:ascii="Cambria Math" w:hAnsi="Cambria Math" w:eastAsia="宋体" w:cs="Times New Roman"/>
                <w:color w:val="auto"/>
                <w:szCs w:val="21"/>
                <w:highlight w:val="none"/>
              </w:rPr>
            </m:ctrlPr>
          </m:e>
        </m:rad>
      </m:oMath>
      <w:r>
        <w:rPr>
          <w:rFonts w:hint="eastAsia" w:hAnsi="Cambria Math" w:eastAsia="宋体" w:cs="Times New Roman"/>
          <w:i w:val="0"/>
          <w:color w:val="auto"/>
          <w:szCs w:val="21"/>
          <w:highlight w:val="none"/>
          <w:lang w:val="en-US" w:eastAsia="zh-CN"/>
        </w:rPr>
        <w:t xml:space="preserve">  ................................................ </w:t>
      </w:r>
      <w:r>
        <w:rPr>
          <w:rFonts w:hint="eastAsia" w:ascii="Times New Roman" w:hAnsi="Times New Roman" w:eastAsia="宋体" w:cs="Times New Roman"/>
          <w:color w:val="auto"/>
          <w:szCs w:val="21"/>
          <w:highlight w:val="none"/>
          <w:lang w:val="en-US" w:eastAsia="zh-CN"/>
        </w:rPr>
        <w:t>（19）</w:t>
      </w:r>
    </w:p>
    <w:p w14:paraId="14FEA4EF">
      <w:pPr>
        <w:spacing w:line="360" w:lineRule="auto"/>
        <w:ind w:firstLine="3570" w:firstLineChars="1700"/>
        <w:rPr>
          <w:rFonts w:hint="default" w:ascii="Times New Roman" w:hAnsi="Times New Roman" w:eastAsia="宋体" w:cs="Times New Roman"/>
          <w:color w:val="auto"/>
          <w:szCs w:val="21"/>
          <w:highlight w:val="none"/>
          <w:lang w:val="en-US" w:eastAsia="zh-CN"/>
        </w:rPr>
      </w:pPr>
      <m:oMath>
        <m:r>
          <m:rPr>
            <m:sty m:val="p"/>
          </m:rPr>
          <w:rPr>
            <w:rFonts w:ascii="Cambria Math" w:hAnsi="Cambria Math" w:eastAsia="宋体" w:cs="Times New Roman"/>
            <w:color w:val="auto"/>
            <w:szCs w:val="21"/>
            <w:highlight w:val="none"/>
          </w:rPr>
          <m:t>m=</m:t>
        </m:r>
        <m:f>
          <m:fPr>
            <m:ctrlPr>
              <w:rPr>
                <w:rFonts w:ascii="Cambria Math" w:hAnsi="Cambria Math" w:eastAsia="宋体" w:cs="Times New Roman"/>
                <w:color w:val="auto"/>
                <w:szCs w:val="21"/>
                <w:highlight w:val="none"/>
              </w:rPr>
            </m:ctrlPr>
          </m:fPr>
          <m:num>
            <m:sSup>
              <m:sSupPr>
                <m:ctrlPr>
                  <w:rPr>
                    <w:rFonts w:ascii="Cambria Math" w:hAnsi="Cambria Math" w:eastAsia="宋体" w:cs="Times New Roman"/>
                    <w:color w:val="auto"/>
                    <w:szCs w:val="21"/>
                    <w:highlight w:val="none"/>
                  </w:rPr>
                </m:ctrlPr>
              </m:sSupPr>
              <m:e>
                <m:r>
                  <m:rPr>
                    <m:sty m:val="p"/>
                  </m:rPr>
                  <w:rPr>
                    <w:rFonts w:ascii="Cambria Math" w:hAnsi="Cambria Math" w:eastAsia="宋体" w:cs="Times New Roman"/>
                    <w:color w:val="auto"/>
                    <w:szCs w:val="21"/>
                    <w:highlight w:val="none"/>
                  </w:rPr>
                  <m:t>d</m:t>
                </m:r>
                <m:ctrlPr>
                  <w:rPr>
                    <w:rFonts w:ascii="Cambria Math" w:hAnsi="Cambria Math" w:eastAsia="宋体" w:cs="Times New Roman"/>
                    <w:color w:val="auto"/>
                    <w:szCs w:val="21"/>
                    <w:highlight w:val="none"/>
                  </w:rPr>
                </m:ctrlPr>
              </m:e>
              <m:sup>
                <m:r>
                  <m:rPr>
                    <m:sty m:val="p"/>
                  </m:rPr>
                  <w:rPr>
                    <w:rFonts w:ascii="Cambria Math" w:hAnsi="Cambria Math" w:eastAsia="宋体" w:cs="Times New Roman"/>
                    <w:color w:val="auto"/>
                    <w:szCs w:val="21"/>
                    <w:highlight w:val="none"/>
                  </w:rPr>
                  <m:t>2</m:t>
                </m:r>
                <m:ctrlPr>
                  <w:rPr>
                    <w:rFonts w:ascii="Cambria Math" w:hAnsi="Cambria Math" w:eastAsia="宋体" w:cs="Times New Roman"/>
                    <w:color w:val="auto"/>
                    <w:szCs w:val="21"/>
                    <w:highlight w:val="none"/>
                  </w:rPr>
                </m:ctrlPr>
              </m:sup>
            </m:sSup>
            <m:ctrlPr>
              <w:rPr>
                <w:rFonts w:ascii="Cambria Math" w:hAnsi="Cambria Math" w:eastAsia="宋体" w:cs="Times New Roman"/>
                <w:color w:val="auto"/>
                <w:szCs w:val="21"/>
                <w:highlight w:val="none"/>
              </w:rPr>
            </m:ctrlPr>
          </m:num>
          <m:den>
            <m:sSubSup>
              <m:sSubSupPr>
                <m:ctrlPr>
                  <w:rPr>
                    <w:rFonts w:ascii="Cambria Math" w:hAnsi="Cambria Math" w:eastAsia="宋体" w:cs="Times New Roman"/>
                    <w:color w:val="auto"/>
                    <w:szCs w:val="21"/>
                    <w:highlight w:val="none"/>
                  </w:rPr>
                </m:ctrlPr>
              </m:sSubSupPr>
              <m:e>
                <m:r>
                  <m:rPr>
                    <m:sty m:val="p"/>
                  </m:rPr>
                  <w:rPr>
                    <w:rFonts w:ascii="Cambria Math" w:hAnsi="Cambria Math" w:eastAsia="宋体" w:cs="Times New Roman"/>
                    <w:color w:val="auto"/>
                    <w:szCs w:val="21"/>
                    <w:highlight w:val="none"/>
                  </w:rPr>
                  <m:t>d</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sub>
              <m:sup>
                <m:r>
                  <m:rPr>
                    <m:sty m:val="p"/>
                  </m:rPr>
                  <w:rPr>
                    <w:rFonts w:ascii="Cambria Math" w:hAnsi="Cambria Math" w:eastAsia="宋体" w:cs="Times New Roman"/>
                    <w:color w:val="auto"/>
                    <w:szCs w:val="21"/>
                    <w:highlight w:val="none"/>
                  </w:rPr>
                  <m:t>2</m:t>
                </m:r>
                <m:ctrlPr>
                  <w:rPr>
                    <w:rFonts w:ascii="Cambria Math" w:hAnsi="Cambria Math" w:eastAsia="宋体" w:cs="Times New Roman"/>
                    <w:color w:val="auto"/>
                    <w:szCs w:val="21"/>
                    <w:highlight w:val="none"/>
                  </w:rPr>
                </m:ctrlPr>
              </m:sup>
            </m:sSubSup>
            <m:ctrlPr>
              <w:rPr>
                <w:rFonts w:ascii="Cambria Math" w:hAnsi="Cambria Math" w:eastAsia="宋体" w:cs="Times New Roman"/>
                <w:color w:val="auto"/>
                <w:szCs w:val="21"/>
                <w:highlight w:val="none"/>
              </w:rPr>
            </m:ctrlPr>
          </m:den>
        </m:f>
        <m:r>
          <m:rPr>
            <m:sty m:val="p"/>
          </m:rPr>
          <w:rPr>
            <w:rFonts w:ascii="Cambria Math" w:hAnsi="Cambria Math" w:eastAsia="宋体" w:cs="Times New Roman"/>
            <w:color w:val="auto"/>
            <w:szCs w:val="21"/>
            <w:highlight w:val="none"/>
          </w:rPr>
          <m:t>=</m:t>
        </m:r>
        <m:f>
          <m:fPr>
            <m:ctrlPr>
              <w:rPr>
                <w:rFonts w:ascii="Cambria Math" w:hAnsi="Cambria Math" w:eastAsia="宋体" w:cs="Times New Roman"/>
                <w:color w:val="auto"/>
                <w:szCs w:val="21"/>
                <w:highlight w:val="none"/>
              </w:rPr>
            </m:ctrlPr>
          </m:fPr>
          <m:num>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A</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p</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num>
          <m:den>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A</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den>
        </m:f>
      </m:oMath>
      <w:r>
        <w:rPr>
          <w:rFonts w:hint="eastAsia" w:hAnsi="Cambria Math" w:eastAsia="宋体"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（20）</w:t>
      </w:r>
    </w:p>
    <w:p w14:paraId="3C7DDD7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436D3F8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e</w:t>
      </w:r>
      <w:r>
        <w:rPr>
          <w:rFonts w:ascii="Times New Roman" w:hAnsi="Times New Roman" w:eastAsia="宋体" w:cs="Times New Roman"/>
          <w:color w:val="auto"/>
          <w:szCs w:val="21"/>
          <w:highlight w:val="none"/>
        </w:rPr>
        <w:t>——单桩有效处理面积（m）；</w:t>
      </w:r>
    </w:p>
    <w:p w14:paraId="5BEBDE23">
      <w:pPr>
        <w:spacing w:line="360" w:lineRule="auto"/>
        <w:ind w:left="1050" w:leftChars="200" w:hanging="630" w:hangingChars="3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d</w:t>
      </w:r>
      <w:r>
        <w:rPr>
          <w:rFonts w:ascii="Times New Roman" w:hAnsi="Times New Roman" w:eastAsia="宋体" w:cs="Times New Roman"/>
          <w:color w:val="auto"/>
          <w:szCs w:val="21"/>
          <w:highlight w:val="none"/>
          <w:vertAlign w:val="subscript"/>
        </w:rPr>
        <w:t>e</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单桩有效直径（m），等边三角形布桩</w:t>
      </w:r>
      <w:r>
        <w:rPr>
          <w:rFonts w:hint="eastAsia" w:ascii="Times New Roman" w:hAnsi="Times New Roman" w:eastAsia="宋体" w:cs="Times New Roman"/>
          <w:color w:val="auto"/>
          <w:szCs w:val="21"/>
          <w:highlight w:val="none"/>
          <w:lang w:val="en-US" w:eastAsia="zh-CN"/>
        </w:rPr>
        <w:t>d</w:t>
      </w:r>
      <w:r>
        <w:rPr>
          <w:rFonts w:ascii="Times New Roman" w:hAnsi="Times New Roman" w:eastAsia="宋体" w:cs="Times New Roman"/>
          <w:color w:val="auto"/>
          <w:szCs w:val="21"/>
          <w:highlight w:val="none"/>
          <w:vertAlign w:val="subscript"/>
        </w:rPr>
        <w:t>e</w:t>
      </w:r>
      <w:r>
        <w:rPr>
          <w:rFonts w:ascii="Times New Roman" w:hAnsi="Times New Roman" w:eastAsia="宋体" w:cs="Times New Roman"/>
          <w:color w:val="auto"/>
          <w:szCs w:val="21"/>
          <w:highlight w:val="none"/>
        </w:rPr>
        <w:t>＝1.05</w:t>
      </w:r>
      <w:r>
        <w:rPr>
          <w:rFonts w:hint="eastAsia" w:ascii="Times New Roman" w:hAnsi="Times New Roman" w:eastAsia="宋体" w:cs="Times New Roman"/>
          <w:color w:val="auto"/>
          <w:szCs w:val="21"/>
          <w:highlight w:val="none"/>
          <w:lang w:val="en-US" w:eastAsia="zh-CN"/>
        </w:rPr>
        <w:t>S</w:t>
      </w:r>
      <w:r>
        <w:rPr>
          <w:rFonts w:ascii="Times New Roman" w:hAnsi="Times New Roman" w:eastAsia="宋体" w:cs="Times New Roman"/>
          <w:color w:val="auto"/>
          <w:szCs w:val="21"/>
          <w:highlight w:val="none"/>
        </w:rPr>
        <w:t>，正方形布桩</w:t>
      </w:r>
      <w:r>
        <w:rPr>
          <w:rFonts w:hint="eastAsia" w:ascii="Times New Roman" w:hAnsi="Times New Roman" w:eastAsia="宋体" w:cs="Times New Roman"/>
          <w:color w:val="auto"/>
          <w:szCs w:val="21"/>
          <w:highlight w:val="none"/>
          <w:lang w:val="en-US" w:eastAsia="zh-CN"/>
        </w:rPr>
        <w:t>d</w:t>
      </w:r>
      <w:r>
        <w:rPr>
          <w:rFonts w:ascii="Times New Roman" w:hAnsi="Times New Roman" w:eastAsia="宋体" w:cs="Times New Roman"/>
          <w:color w:val="auto"/>
          <w:szCs w:val="21"/>
          <w:highlight w:val="none"/>
          <w:vertAlign w:val="subscript"/>
        </w:rPr>
        <w:t>e</w:t>
      </w:r>
      <w:r>
        <w:rPr>
          <w:rFonts w:ascii="Times New Roman" w:hAnsi="Times New Roman" w:eastAsia="宋体" w:cs="Times New Roman"/>
          <w:color w:val="auto"/>
          <w:szCs w:val="21"/>
          <w:highlight w:val="none"/>
        </w:rPr>
        <w:t>＝1.13</w:t>
      </w:r>
      <w:r>
        <w:rPr>
          <w:rFonts w:hint="eastAsia" w:ascii="Times New Roman" w:hAnsi="Times New Roman" w:eastAsia="宋体" w:cs="Times New Roman"/>
          <w:color w:val="auto"/>
          <w:szCs w:val="21"/>
          <w:highlight w:val="none"/>
          <w:lang w:val="en-US" w:eastAsia="zh-CN"/>
        </w:rPr>
        <w:t>S</w:t>
      </w:r>
      <w:r>
        <w:rPr>
          <w:rFonts w:ascii="Times New Roman" w:hAnsi="Times New Roman" w:eastAsia="宋体" w:cs="Times New Roman"/>
          <w:color w:val="auto"/>
          <w:szCs w:val="21"/>
          <w:highlight w:val="none"/>
        </w:rPr>
        <w:t>，矩形布桩</w:t>
      </w:r>
      <w:r>
        <w:rPr>
          <w:rFonts w:hint="eastAsia" w:ascii="Times New Roman" w:hAnsi="Times New Roman" w:eastAsia="宋体" w:cs="Times New Roman"/>
          <w:color w:val="auto"/>
          <w:szCs w:val="21"/>
          <w:highlight w:val="none"/>
          <w:lang w:val="en-US" w:eastAsia="zh-CN"/>
        </w:rPr>
        <w:t>d</w:t>
      </w:r>
      <w:r>
        <w:rPr>
          <w:rFonts w:ascii="Times New Roman" w:hAnsi="Times New Roman" w:eastAsia="宋体" w:cs="Times New Roman"/>
          <w:color w:val="auto"/>
          <w:szCs w:val="21"/>
          <w:highlight w:val="none"/>
          <w:vertAlign w:val="subscript"/>
        </w:rPr>
        <w:t>e</w:t>
      </w:r>
      <w:r>
        <w:rPr>
          <w:rFonts w:ascii="Times New Roman" w:hAnsi="Times New Roman" w:eastAsia="宋体" w:cs="Times New Roman"/>
          <w:color w:val="auto"/>
          <w:szCs w:val="21"/>
          <w:highlight w:val="none"/>
        </w:rPr>
        <w:t>＝1.13</w:t>
      </w:r>
      <w:r>
        <w:rPr>
          <w:rFonts w:hint="eastAsia" w:ascii="Times New Roman" w:hAnsi="Times New Roman" w:eastAsia="宋体" w:cs="Times New Roman"/>
          <w:color w:val="auto"/>
          <w:szCs w:val="21"/>
          <w:highlight w:val="none"/>
          <w:lang w:val="en-US" w:eastAsia="zh-CN"/>
        </w:rPr>
        <w:t>S</w:t>
      </w:r>
      <w:r>
        <w:rPr>
          <w:rFonts w:ascii="Times New Roman" w:hAnsi="Times New Roman" w:eastAsia="宋体" w:cs="Times New Roman"/>
          <w:color w:val="auto"/>
          <w:szCs w:val="21"/>
          <w:highlight w:val="none"/>
          <w:vertAlign w:val="subscript"/>
        </w:rPr>
        <w:t>1</w:t>
      </w:r>
      <w:r>
        <w:rPr>
          <w:rFonts w:hint="eastAsia" w:ascii="Times New Roman" w:hAnsi="Times New Roman" w:eastAsia="宋体" w:cs="Times New Roman"/>
          <w:color w:val="auto"/>
          <w:szCs w:val="21"/>
          <w:highlight w:val="none"/>
          <w:lang w:val="en-US" w:eastAsia="zh-CN"/>
        </w:rPr>
        <w:t>S</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S</w:t>
      </w: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分别为桩间距、纵向桩间距和横向桩间距；</w:t>
      </w:r>
    </w:p>
    <w:p w14:paraId="7265B1B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——单桩截面积（㎡）。</w:t>
      </w:r>
    </w:p>
    <w:p w14:paraId="0A3294CB">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6.4.1.5 </w:t>
      </w:r>
      <w:r>
        <w:rPr>
          <w:rFonts w:ascii="Times New Roman" w:hAnsi="Times New Roman" w:eastAsia="宋体" w:cs="Times New Roman"/>
          <w:color w:val="auto"/>
          <w:szCs w:val="21"/>
          <w:highlight w:val="none"/>
        </w:rPr>
        <w:t>粒料桩处治后的地基承载力特征值应符合下列规定：</w:t>
      </w:r>
    </w:p>
    <w:p w14:paraId="5F6D1E8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粒料桩复合地基承载力特征值宜通过现场单桩复合地基或多桩复合地基</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确定；</w:t>
      </w:r>
    </w:p>
    <w:p w14:paraId="5710CDE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若进行了单桩</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和桩间土</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，可按</w:t>
      </w:r>
      <w:r>
        <w:rPr>
          <w:rFonts w:hint="eastAsia" w:ascii="Times New Roman" w:hAnsi="Times New Roman" w:eastAsia="宋体" w:cs="Times New Roman"/>
          <w:color w:val="auto"/>
          <w:szCs w:val="21"/>
          <w:highlight w:val="none"/>
          <w:lang w:val="en-US" w:eastAsia="zh-CN"/>
        </w:rPr>
        <w:t>公式（21）</w:t>
      </w:r>
      <w:r>
        <w:rPr>
          <w:rFonts w:ascii="Times New Roman" w:hAnsi="Times New Roman" w:eastAsia="宋体" w:cs="Times New Roman"/>
          <w:color w:val="auto"/>
          <w:szCs w:val="21"/>
          <w:highlight w:val="none"/>
        </w:rPr>
        <w:t>计算复合地基承载力：</w:t>
      </w:r>
    </w:p>
    <w:p w14:paraId="78D95DC4">
      <w:pPr>
        <w:spacing w:line="360" w:lineRule="auto"/>
        <w:ind w:firstLine="420" w:firstLineChars="200"/>
        <w:jc w:val="center"/>
        <w:rPr>
          <w:rFonts w:hint="default" w:ascii="Times New Roman" w:hAnsi="Times New Roman" w:cs="Times New Roman" w:eastAsiaTheme="minorEastAsia"/>
          <w:color w:val="auto"/>
          <w:szCs w:val="21"/>
          <w:highlight w:val="none"/>
          <w:lang w:val="en-US" w:eastAsia="zh-CN"/>
        </w:rPr>
      </w:pPr>
      <w:r>
        <w:rPr>
          <w:rFonts w:hint="eastAsia" w:hAnsi="Cambria Math" w:cs="Times New Roman"/>
          <w:i w:val="0"/>
          <w:color w:val="auto"/>
          <w:sz w:val="21"/>
          <w:szCs w:val="21"/>
          <w:highlight w:val="none"/>
          <w:lang w:val="en-US" w:eastAsia="zh-CN"/>
        </w:rPr>
        <w:t xml:space="preserve">                        </w:t>
      </w:r>
      <m:oMath>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spk</m:t>
            </m:r>
            <m:ctrlPr>
              <w:rPr>
                <w:rFonts w:ascii="Cambria Math" w:hAnsi="Cambria Math" w:cs="Times New Roman" w:eastAsiaTheme="minorEastAsia"/>
                <w:i w:val="0"/>
                <w:color w:val="auto"/>
                <w:sz w:val="21"/>
                <w:szCs w:val="21"/>
                <w:highlight w:val="none"/>
              </w:rPr>
            </m:ctrlPr>
          </m:sub>
        </m:sSub>
        <m:r>
          <m:rPr>
            <m:sty m:val="p"/>
          </m:rPr>
          <w:rPr>
            <w:rFonts w:hint="default" w:ascii="Cambria Math" w:hAnsi="Cambria Math" w:cs="Times New Roman" w:eastAsiaTheme="minorEastAsia"/>
            <w:color w:val="auto"/>
            <w:sz w:val="21"/>
            <w:szCs w:val="21"/>
            <w:highlight w:val="none"/>
          </w:rPr>
          <m:t>=m</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pk</m:t>
            </m:r>
            <m:ctrlPr>
              <w:rPr>
                <w:rFonts w:ascii="Cambria Math" w:hAnsi="Cambria Math" w:cs="Times New Roman" w:eastAsiaTheme="minorEastAsia"/>
                <w:i w:val="0"/>
                <w:color w:val="auto"/>
                <w:sz w:val="21"/>
                <w:szCs w:val="21"/>
                <w:highlight w:val="none"/>
              </w:rPr>
            </m:ctrlPr>
          </m:sub>
        </m:sSub>
        <m:r>
          <m:rPr>
            <m:sty m:val="p"/>
          </m:rPr>
          <w:rPr>
            <w:rFonts w:hint="default" w:ascii="Cambria Math" w:hAnsi="Cambria Math" w:cs="Times New Roman" w:eastAsiaTheme="minorEastAsia"/>
            <w:color w:val="auto"/>
            <w:sz w:val="21"/>
            <w:szCs w:val="21"/>
            <w:highlight w:val="none"/>
          </w:rPr>
          <m:t>+(1−m)</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sk</m:t>
            </m:r>
            <m:ctrlPr>
              <w:rPr>
                <w:rFonts w:ascii="Cambria Math" w:hAnsi="Cambria Math" w:cs="Times New Roman" w:eastAsiaTheme="minorEastAsia"/>
                <w:i w:val="0"/>
                <w:color w:val="auto"/>
                <w:sz w:val="21"/>
                <w:szCs w:val="21"/>
                <w:highlight w:val="none"/>
              </w:rPr>
            </m:ctrlPr>
          </m:sub>
        </m:sSub>
      </m:oMath>
      <w:r>
        <w:rPr>
          <w:rFonts w:hint="eastAsia" w:hAnsi="Cambria Math" w:cs="Times New Roman"/>
          <w:i w:val="0"/>
          <w:color w:val="auto"/>
          <w:sz w:val="21"/>
          <w:szCs w:val="21"/>
          <w:highlight w:val="none"/>
          <w:lang w:val="en-US" w:eastAsia="zh-CN"/>
        </w:rPr>
        <w:t xml:space="preserve">  .............................................. </w:t>
      </w:r>
      <w:r>
        <w:rPr>
          <w:rFonts w:hint="eastAsia" w:ascii="Times New Roman" w:hAnsi="Times New Roman" w:eastAsia="宋体" w:cs="Times New Roman"/>
          <w:color w:val="auto"/>
          <w:szCs w:val="21"/>
          <w:highlight w:val="none"/>
          <w:lang w:val="en-US" w:eastAsia="zh-CN"/>
        </w:rPr>
        <w:t>（21）</w:t>
      </w:r>
    </w:p>
    <w:p w14:paraId="1CE1D06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03EC822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spk</w:t>
      </w:r>
      <w:r>
        <w:rPr>
          <w:rFonts w:ascii="Times New Roman" w:hAnsi="Times New Roman" w:eastAsia="宋体" w:cs="Times New Roman"/>
          <w:color w:val="auto"/>
          <w:szCs w:val="21"/>
          <w:highlight w:val="none"/>
        </w:rPr>
        <w:t>——复合地基承载力特征值（kPa）：</w:t>
      </w:r>
    </w:p>
    <w:p w14:paraId="2AB344A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pk</w:t>
      </w:r>
      <w:r>
        <w:rPr>
          <w:rFonts w:ascii="Times New Roman" w:hAnsi="Times New Roman" w:eastAsia="宋体" w:cs="Times New Roman"/>
          <w:color w:val="auto"/>
          <w:szCs w:val="21"/>
          <w:highlight w:val="none"/>
        </w:rPr>
        <w:t>——桩体承载力特征值（kPa），宜通过单桩</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确定；</w:t>
      </w:r>
    </w:p>
    <w:p w14:paraId="58CDDB20">
      <w:pPr>
        <w:spacing w:line="360" w:lineRule="auto"/>
        <w:ind w:left="1050" w:leftChars="200" w:hanging="630" w:hangingChars="300"/>
        <w:rPr>
          <w:rFonts w:ascii="Times New Roman" w:hAnsi="Times New Roman"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sk</w:t>
      </w:r>
      <w:r>
        <w:rPr>
          <w:rFonts w:ascii="Times New Roman" w:hAnsi="Times New Roman" w:eastAsia="宋体" w:cs="Times New Roman"/>
          <w:color w:val="auto"/>
          <w:szCs w:val="21"/>
          <w:highlight w:val="none"/>
        </w:rPr>
        <w:t>——处理后桩间土承载力特征值（kPa），宜按当地经验取值，当无经验时，一般黏性土可取天然地基承载力特征值，松散砂土、粉土可取1.2～1.5倍天然地基承载力特征值；</w:t>
      </w:r>
    </w:p>
    <w:p w14:paraId="46D6678D">
      <w:pPr>
        <w:numPr>
          <w:ilvl w:val="0"/>
          <w:numId w:val="2"/>
        </w:numPr>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受工程条件所限，难以通过载荷试验获得复合地基或桩体与桩间土的承载力时，重大工程初步设计阶段及中小型工程可根据地基天然土质的勘察资料，结合工程实践经验数据，按</w:t>
      </w:r>
      <w:r>
        <w:rPr>
          <w:rFonts w:hint="eastAsia" w:ascii="Times New Roman" w:hAnsi="Times New Roman" w:eastAsia="宋体" w:cs="Times New Roman"/>
          <w:color w:val="auto"/>
          <w:szCs w:val="21"/>
          <w:highlight w:val="none"/>
          <w:lang w:val="en-US" w:eastAsia="zh-CN"/>
        </w:rPr>
        <w:t>公式（22）（23）</w:t>
      </w:r>
      <w:r>
        <w:rPr>
          <w:rFonts w:ascii="Times New Roman" w:hAnsi="Times New Roman" w:eastAsia="宋体" w:cs="Times New Roman"/>
          <w:color w:val="auto"/>
          <w:szCs w:val="21"/>
          <w:highlight w:val="none"/>
        </w:rPr>
        <w:t>计算复合地基承载力。</w:t>
      </w:r>
    </w:p>
    <w:p w14:paraId="7721ECA4">
      <w:pPr>
        <w:spacing w:line="360" w:lineRule="auto"/>
        <w:ind w:firstLine="2940" w:firstLineChars="14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spk</m:t>
            </m:r>
            <m:ctrlPr>
              <w:rPr>
                <w:rFonts w:ascii="Cambria Math" w:hAnsi="Cambria Math" w:cs="Times New Roman" w:eastAsiaTheme="minorEastAsia"/>
                <w:i w:val="0"/>
                <w:color w:val="auto"/>
                <w:sz w:val="21"/>
                <w:szCs w:val="21"/>
                <w:highlight w:val="none"/>
              </w:rPr>
            </m:ctrlPr>
          </m:sub>
        </m:sSub>
        <m:r>
          <m:rPr>
            <m:sty m:val="p"/>
          </m:rPr>
          <w:rPr>
            <w:rFonts w:hint="default" w:ascii="Cambria Math" w:hAnsi="Cambria Math" w:cs="Times New Roman" w:eastAsiaTheme="minorEastAsia"/>
            <w:color w:val="auto"/>
            <w:sz w:val="21"/>
            <w:szCs w:val="21"/>
            <w:highlight w:val="none"/>
          </w:rPr>
          <m:t>=[1+m(n−1)]</m:t>
        </m:r>
        <m:sSub>
          <m:sSubPr>
            <m:ctrlPr>
              <w:rPr>
                <w:rFonts w:ascii="Cambria Math" w:hAnsi="Cambria Math" w:cs="Times New Roman" w:eastAsiaTheme="minorEastAsia"/>
                <w:i w:val="0"/>
                <w:color w:val="auto"/>
                <w:sz w:val="21"/>
                <w:szCs w:val="21"/>
                <w:highlight w:val="none"/>
              </w:rPr>
            </m:ctrlPr>
          </m:sSubPr>
          <m:e>
            <m:r>
              <m:rPr>
                <m:sty m:val="p"/>
              </m:rPr>
              <w:rPr>
                <w:rFonts w:hint="default" w:ascii="Cambria Math" w:hAnsi="Cambria Math" w:cs="Times New Roman" w:eastAsiaTheme="minorEastAsia"/>
                <w:color w:val="auto"/>
                <w:sz w:val="21"/>
                <w:szCs w:val="21"/>
                <w:highlight w:val="none"/>
              </w:rPr>
              <m:t>f</m:t>
            </m:r>
            <m:ctrlPr>
              <w:rPr>
                <w:rFonts w:ascii="Cambria Math" w:hAnsi="Cambria Math" w:cs="Times New Roman" w:eastAsiaTheme="minorEastAsia"/>
                <w:i w:val="0"/>
                <w:color w:val="auto"/>
                <w:sz w:val="21"/>
                <w:szCs w:val="21"/>
                <w:highlight w:val="none"/>
              </w:rPr>
            </m:ctrlPr>
          </m:e>
          <m:sub>
            <m:r>
              <m:rPr>
                <m:sty m:val="p"/>
              </m:rPr>
              <w:rPr>
                <w:rFonts w:hint="default" w:ascii="Cambria Math" w:hAnsi="Cambria Math" w:cs="Times New Roman" w:eastAsiaTheme="minorEastAsia"/>
                <w:color w:val="auto"/>
                <w:sz w:val="21"/>
                <w:szCs w:val="21"/>
                <w:highlight w:val="none"/>
              </w:rPr>
              <m:t>sk</m:t>
            </m:r>
            <m:ctrlPr>
              <w:rPr>
                <w:rFonts w:ascii="Cambria Math" w:hAnsi="Cambria Math" w:cs="Times New Roman" w:eastAsiaTheme="minorEastAsia"/>
                <w:i w:val="0"/>
                <w:color w:val="auto"/>
                <w:sz w:val="21"/>
                <w:szCs w:val="21"/>
                <w:highlight w:val="none"/>
              </w:rPr>
            </m:ctrlPr>
          </m:sub>
        </m:sSub>
      </m:oMath>
      <w:r>
        <w:rPr>
          <w:rFonts w:hint="eastAsia" w:hAnsi="Cambria Math" w:cs="Times New Roman"/>
          <w:i w:val="0"/>
          <w:color w:val="auto"/>
          <w:sz w:val="21"/>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（22）</w:t>
      </w:r>
    </w:p>
    <w:p w14:paraId="68FC42CD">
      <w:pPr>
        <w:spacing w:line="360" w:lineRule="auto"/>
        <w:ind w:firstLine="2940" w:firstLineChars="1400"/>
        <w:rPr>
          <w:rFonts w:hint="default" w:ascii="Times New Roman" w:hAnsi="Times New Roman" w:cs="Times New Roman" w:eastAsiaTheme="minorEastAsia"/>
          <w:color w:val="auto"/>
          <w:szCs w:val="21"/>
          <w:highlight w:val="none"/>
          <w:lang w:val="en-US" w:eastAsia="zh-CN"/>
        </w:rPr>
      </w:pPr>
      <m:oMath>
        <m:r>
          <m:rPr>
            <m:sty m:val="p"/>
          </m:rPr>
          <w:rPr>
            <w:rFonts w:ascii="Cambria Math" w:hAnsi="Cambria Math" w:cs="Times New Roman"/>
            <w:color w:val="auto"/>
            <w:szCs w:val="21"/>
            <w:highlight w:val="none"/>
          </w:rPr>
          <m:t>n=</m:t>
        </m:r>
        <m:f>
          <m:fPr>
            <m:ctrlPr>
              <w:rPr>
                <w:rFonts w:ascii="Cambria Math" w:hAnsi="Cambria Math" w:cs="Times New Roman"/>
                <w:color w:val="auto"/>
                <w:szCs w:val="21"/>
                <w:highlight w:val="none"/>
              </w:rPr>
            </m:ctrlPr>
          </m:fPr>
          <m:num>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f</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pk</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num>
          <m:den>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f</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sk</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den>
        </m:f>
        <m:r>
          <m:rPr>
            <m:sty m:val="p"/>
          </m:rPr>
          <w:rPr>
            <w:rFonts w:ascii="Cambria Math" w:hAnsi="Cambria Math" w:cs="Times New Roman"/>
            <w:color w:val="auto"/>
            <w:szCs w:val="21"/>
            <w:highlight w:val="none"/>
          </w:rPr>
          <m:t>=</m:t>
        </m:r>
        <m:f>
          <m:fPr>
            <m:ctrlPr>
              <w:rPr>
                <w:rFonts w:ascii="Cambria Math" w:hAnsi="Cambria Math" w:cs="Times New Roman"/>
                <w:color w:val="auto"/>
                <w:szCs w:val="21"/>
                <w:highlight w:val="none"/>
              </w:rPr>
            </m:ctrlPr>
          </m:fPr>
          <m:num>
            <m:r>
              <m:rPr>
                <m:sty m:val="p"/>
              </m:rPr>
              <w:rPr>
                <w:rFonts w:ascii="Cambria Math" w:hAnsi="Cambria Math" w:cs="Times New Roman"/>
                <w:color w:val="auto"/>
                <w:szCs w:val="21"/>
                <w:highlight w:val="none"/>
              </w:rPr>
              <m:t>1</m:t>
            </m:r>
            <m:ctrlPr>
              <w:rPr>
                <w:rFonts w:ascii="Cambria Math" w:hAnsi="Cambria Math" w:cs="Times New Roman"/>
                <w:color w:val="auto"/>
                <w:szCs w:val="21"/>
                <w:highlight w:val="none"/>
              </w:rPr>
            </m:ctrlPr>
          </m:num>
          <m:den>
            <m:r>
              <m:rPr>
                <m:sty m:val="p"/>
              </m:rPr>
              <w:rPr>
                <w:rFonts w:ascii="Cambria Math" w:hAnsi="Cambria Math" w:cs="Times New Roman"/>
                <w:color w:val="auto"/>
                <w:szCs w:val="21"/>
                <w:highlight w:val="none"/>
              </w:rPr>
              <m:t>m</m:t>
            </m:r>
            <m:ctrlPr>
              <w:rPr>
                <w:rFonts w:ascii="Cambria Math" w:hAnsi="Cambria Math" w:cs="Times New Roman"/>
                <w:color w:val="auto"/>
                <w:szCs w:val="21"/>
                <w:highlight w:val="none"/>
              </w:rPr>
            </m:ctrlPr>
          </m:den>
        </m:f>
        <m:r>
          <m:rPr>
            <m:sty m:val="p"/>
          </m:rPr>
          <w:rPr>
            <w:rFonts w:ascii="Cambria Math" w:hAnsi="Cambria Math" w:cs="Times New Roman"/>
            <w:color w:val="auto"/>
            <w:szCs w:val="21"/>
            <w:highlight w:val="none"/>
          </w:rPr>
          <m:t>(</m:t>
        </m:r>
        <m:f>
          <m:fPr>
            <m:ctrlPr>
              <w:rPr>
                <w:rFonts w:ascii="Cambria Math" w:hAnsi="Cambria Math" w:cs="Times New Roman"/>
                <w:color w:val="auto"/>
                <w:szCs w:val="21"/>
                <w:highlight w:val="none"/>
              </w:rPr>
            </m:ctrlPr>
          </m:fPr>
          <m:num>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f</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spk</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num>
          <m:den>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f</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sk</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den>
        </m:f>
        <m:r>
          <m:rPr>
            <m:sty m:val="p"/>
          </m:rPr>
          <w:rPr>
            <w:rFonts w:ascii="Cambria Math" w:hAnsi="Cambria Math" w:cs="Times New Roman"/>
            <w:color w:val="auto"/>
            <w:szCs w:val="21"/>
            <w:highlight w:val="none"/>
          </w:rPr>
          <m:t>−1）+1</m:t>
        </m:r>
      </m:oMath>
      <w:r>
        <w:rPr>
          <w:rFonts w:hint="eastAsia" w:hAnsi="Cambria Math" w:cs="Times New Roman"/>
          <w:b w:val="0"/>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（23）</w:t>
      </w:r>
    </w:p>
    <w:p w14:paraId="1CDC9A9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48AE7AEF">
      <w:pPr>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n</w:t>
      </w:r>
      <w:r>
        <w:rPr>
          <w:rFonts w:ascii="Times New Roman" w:hAnsi="Times New Roman" w:eastAsia="宋体" w:cs="Times New Roman"/>
          <w:color w:val="auto"/>
          <w:szCs w:val="21"/>
          <w:highlight w:val="none"/>
        </w:rPr>
        <w:t>——复合地基桩土应力比，黏性土可取2～5，砂土和粉土可取1.5～3；当桩底土质好，桩间土质差时可取高值，相反可取低值。</w:t>
      </w:r>
    </w:p>
    <w:p w14:paraId="167511A9">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6.4.1.6</w:t>
      </w:r>
      <w:r>
        <w:rPr>
          <w:rFonts w:ascii="Times New Roman" w:hAnsi="Times New Roman" w:eastAsia="宋体" w:cs="Times New Roman"/>
          <w:color w:val="auto"/>
          <w:szCs w:val="21"/>
          <w:highlight w:val="none"/>
        </w:rPr>
        <w:t xml:space="preserve"> 粒料桩复合地基的路堤整体抗剪稳定系数计算时，复合地基内滑动面上的抗剪强度可按</w:t>
      </w:r>
      <w:r>
        <w:rPr>
          <w:rFonts w:hint="eastAsia" w:ascii="Times New Roman" w:hAnsi="Times New Roman" w:eastAsia="宋体" w:cs="Times New Roman"/>
          <w:color w:val="auto"/>
          <w:szCs w:val="21"/>
          <w:highlight w:val="none"/>
          <w:lang w:val="en-US" w:eastAsia="zh-CN"/>
        </w:rPr>
        <w:t>公式（24）（25）</w:t>
      </w:r>
      <w:r>
        <w:rPr>
          <w:rFonts w:ascii="Times New Roman" w:hAnsi="Times New Roman" w:eastAsia="宋体" w:cs="Times New Roman"/>
          <w:color w:val="auto"/>
          <w:szCs w:val="21"/>
          <w:highlight w:val="none"/>
        </w:rPr>
        <w:t>计算。</w:t>
      </w:r>
    </w:p>
    <w:p w14:paraId="40FF47D4">
      <w:pPr>
        <w:spacing w:line="360" w:lineRule="auto"/>
        <w:ind w:firstLine="2940" w:firstLineChars="1400"/>
        <w:rPr>
          <w:rFonts w:ascii="Times New Roman" w:hAnsi="Times New Roman"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ps</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+(1−m)</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（24）</w:t>
      </w:r>
    </w:p>
    <w:p w14:paraId="0346F3E3">
      <w:pPr>
        <w:spacing w:line="360" w:lineRule="auto"/>
        <w:ind w:firstLine="3150" w:firstLineChars="15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=σcosαtan</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φ</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（25）</w:t>
      </w:r>
    </w:p>
    <w:p w14:paraId="4B77C71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13792600">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ps</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——粒料桩复合地基的抗剪强度（kPa）；</w:t>
      </w:r>
    </w:p>
    <w:p w14:paraId="267E5782">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——桩体部分的抗剪强度（kPa）；</w:t>
      </w:r>
    </w:p>
    <w:p w14:paraId="0C34E393">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——地基土的抗剪强度（kPa）；</w:t>
      </w:r>
    </w:p>
    <w:p w14:paraId="206735A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σ——滑动面处桩体的竖向应力（kPa）；</w:t>
      </w:r>
    </w:p>
    <w:p w14:paraId="71A6F5D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α——滑动面切面与水平面夹角（°）；</w:t>
      </w:r>
    </w:p>
    <w:p w14:paraId="1D62E680">
      <w:pPr>
        <w:spacing w:line="360" w:lineRule="auto"/>
        <w:ind w:left="1050" w:leftChars="200" w:hanging="630" w:hangingChars="3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φ</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——碎石桩的内摩擦角，桩料为碎石时可取38°，桩料为卵石、圆砾、砂砾时可取35°，桩料为砂时可取28°。</w:t>
      </w:r>
    </w:p>
    <w:p w14:paraId="075F07EB">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6.4.1.7</w:t>
      </w:r>
      <w:r>
        <w:rPr>
          <w:rFonts w:ascii="Times New Roman" w:hAnsi="Times New Roman" w:eastAsia="宋体" w:cs="Times New Roman"/>
          <w:color w:val="auto"/>
          <w:szCs w:val="21"/>
          <w:highlight w:val="none"/>
        </w:rPr>
        <w:t xml:space="preserve"> 粒料桩复合地基变形计算可采用分层总和法按</w:t>
      </w:r>
      <w:r>
        <w:rPr>
          <w:rFonts w:hint="eastAsia" w:ascii="Times New Roman" w:hAnsi="Times New Roman" w:eastAsia="宋体" w:cs="Times New Roman"/>
          <w:color w:val="auto"/>
          <w:szCs w:val="21"/>
          <w:highlight w:val="none"/>
          <w:lang w:val="en-US" w:eastAsia="zh-CN"/>
        </w:rPr>
        <w:t>公式（26）</w:t>
      </w:r>
      <w:r>
        <w:rPr>
          <w:rFonts w:ascii="Times New Roman" w:hAnsi="Times New Roman" w:eastAsia="宋体" w:cs="Times New Roman"/>
          <w:color w:val="auto"/>
          <w:szCs w:val="21"/>
          <w:highlight w:val="none"/>
        </w:rPr>
        <w:t>计算，地基变形计算深度应大于复合土层的深度：</w:t>
      </w:r>
    </w:p>
    <w:p w14:paraId="2BE21CB2">
      <w:pPr>
        <w:spacing w:line="360" w:lineRule="auto"/>
        <w:ind w:firstLine="2940" w:firstLineChars="1400"/>
        <w:rPr>
          <w:rFonts w:hint="default" w:ascii="Times New Roman" w:hAnsi="Times New Roman" w:eastAsia="宋体" w:cs="Times New Roman"/>
          <w:color w:val="auto"/>
          <w:szCs w:val="21"/>
          <w:highlight w:val="none"/>
          <w:lang w:val="en-US" w:eastAsia="zh-CN"/>
        </w:rPr>
      </w:pPr>
      <m:oMath>
        <m:r>
          <m:rPr>
            <m:sty m:val="p"/>
          </m:rPr>
          <w:rPr>
            <w:rFonts w:ascii="Cambria Math" w:hAnsi="Cambria Math" w:eastAsia="宋体" w:cs="Times New Roman"/>
            <w:color w:val="auto"/>
            <w:szCs w:val="21"/>
            <w:highlight w:val="none"/>
          </w:rPr>
          <m:t>S=</m:t>
        </m:r>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ψ</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s</m:t>
            </m:r>
            <m:ctrlPr>
              <w:rPr>
                <w:rFonts w:ascii="Cambria Math" w:hAnsi="Cambria Math" w:eastAsia="宋体" w:cs="Times New Roman"/>
                <w:color w:val="auto"/>
                <w:szCs w:val="21"/>
                <w:highlight w:val="none"/>
              </w:rPr>
            </m:ctrlPr>
          </m:sub>
        </m:sSub>
        <m:sSup>
          <m:sSupPr>
            <m:ctrlPr>
              <w:rPr>
                <w:rFonts w:ascii="Cambria Math" w:hAnsi="Cambria Math" w:eastAsia="宋体" w:cs="Times New Roman"/>
                <w:color w:val="auto"/>
                <w:szCs w:val="21"/>
                <w:highlight w:val="none"/>
              </w:rPr>
            </m:ctrlPr>
          </m:sSupPr>
          <m:e>
            <m:r>
              <m:rPr>
                <m:sty m:val="p"/>
              </m:rPr>
              <w:rPr>
                <w:rFonts w:ascii="Cambria Math" w:hAnsi="Cambria Math" w:eastAsia="宋体" w:cs="Times New Roman"/>
                <w:color w:val="auto"/>
                <w:szCs w:val="21"/>
                <w:highlight w:val="none"/>
              </w:rPr>
              <m:t>S</m:t>
            </m:r>
            <m:ctrlPr>
              <w:rPr>
                <w:rFonts w:ascii="Cambria Math" w:hAnsi="Cambria Math" w:eastAsia="宋体" w:cs="Times New Roman"/>
                <w:color w:val="auto"/>
                <w:szCs w:val="21"/>
                <w:highlight w:val="none"/>
              </w:rPr>
            </m:ctrlPr>
          </m:e>
          <m:sup>
            <m:r>
              <m:rPr>
                <m:sty m:val="p"/>
              </m:rPr>
              <w:rPr>
                <w:rFonts w:ascii="Cambria Math" w:hAnsi="Cambria Math" w:eastAsia="宋体" w:cs="Times New Roman"/>
                <w:color w:val="auto"/>
                <w:szCs w:val="21"/>
                <w:highlight w:val="none"/>
              </w:rPr>
              <m:t>'</m:t>
            </m:r>
            <m:ctrlPr>
              <w:rPr>
                <w:rFonts w:ascii="Cambria Math" w:hAnsi="Cambria Math" w:eastAsia="宋体" w:cs="Times New Roman"/>
                <w:color w:val="auto"/>
                <w:szCs w:val="21"/>
                <w:highlight w:val="none"/>
              </w:rPr>
            </m:ctrlPr>
          </m:sup>
        </m:sSup>
        <m:r>
          <m:rPr>
            <m:sty m:val="p"/>
          </m:rPr>
          <w:rPr>
            <w:rFonts w:ascii="Cambria Math" w:hAnsi="Cambria Math" w:eastAsia="宋体" w:cs="Times New Roman"/>
            <w:color w:val="auto"/>
            <w:szCs w:val="21"/>
            <w:highlight w:val="none"/>
          </w:rPr>
          <m:t>=</m:t>
        </m:r>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ψ</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s</m:t>
            </m:r>
            <m:ctrlPr>
              <w:rPr>
                <w:rFonts w:ascii="Cambria Math" w:hAnsi="Cambria Math" w:eastAsia="宋体" w:cs="Times New Roman"/>
                <w:color w:val="auto"/>
                <w:szCs w:val="21"/>
                <w:highlight w:val="none"/>
              </w:rPr>
            </m:ctrlPr>
          </m:sub>
        </m:sSub>
        <m:nary>
          <m:naryPr>
            <m:chr m:val="∑"/>
            <m:limLoc m:val="undOvr"/>
            <m:ctrlPr>
              <w:rPr>
                <w:rFonts w:ascii="Cambria Math" w:hAnsi="Cambria Math" w:eastAsia="宋体" w:cs="Times New Roman"/>
                <w:color w:val="auto"/>
                <w:szCs w:val="21"/>
                <w:highlight w:val="none"/>
              </w:rPr>
            </m:ctrlPr>
          </m:naryPr>
          <m:sub>
            <m:r>
              <m:rPr>
                <m:sty m:val="p"/>
              </m:rPr>
              <w:rPr>
                <w:rFonts w:ascii="Cambria Math" w:hAnsi="Cambria Math" w:eastAsia="宋体" w:cs="Times New Roman"/>
                <w:color w:val="auto"/>
                <w:szCs w:val="21"/>
                <w:highlight w:val="none"/>
              </w:rPr>
              <m:t>1</m:t>
            </m:r>
            <m:ctrlPr>
              <w:rPr>
                <w:rFonts w:ascii="Cambria Math" w:hAnsi="Cambria Math" w:eastAsia="宋体" w:cs="Times New Roman"/>
                <w:color w:val="auto"/>
                <w:szCs w:val="21"/>
                <w:highlight w:val="none"/>
              </w:rPr>
            </m:ctrlPr>
          </m:sub>
          <m:sup>
            <m:r>
              <m:rPr>
                <m:sty m:val="p"/>
              </m:rPr>
              <w:rPr>
                <w:rFonts w:ascii="Cambria Math" w:hAnsi="Cambria Math" w:eastAsia="宋体" w:cs="Times New Roman"/>
                <w:color w:val="auto"/>
                <w:szCs w:val="21"/>
                <w:highlight w:val="none"/>
              </w:rPr>
              <m:t>n</m:t>
            </m:r>
            <m:ctrlPr>
              <w:rPr>
                <w:rFonts w:ascii="Cambria Math" w:hAnsi="Cambria Math" w:eastAsia="宋体" w:cs="Times New Roman"/>
                <w:color w:val="auto"/>
                <w:szCs w:val="21"/>
                <w:highlight w:val="none"/>
              </w:rPr>
            </m:ctrlPr>
          </m:sup>
          <m:e>
            <m:f>
              <m:fPr>
                <m:ctrlPr>
                  <w:rPr>
                    <w:rFonts w:ascii="Cambria Math" w:hAnsi="Cambria Math" w:eastAsia="宋体" w:cs="Times New Roman"/>
                    <w:color w:val="auto"/>
                    <w:szCs w:val="21"/>
                    <w:highlight w:val="none"/>
                  </w:rPr>
                </m:ctrlPr>
              </m:fPr>
              <m:num>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p</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0</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num>
              <m:den>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si</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den>
            </m:f>
            <m:r>
              <m:rPr>
                <m:sty m:val="p"/>
              </m:rPr>
              <w:rPr>
                <w:rFonts w:ascii="Cambria Math" w:hAnsi="Cambria Math" w:eastAsia="宋体" w:cs="Times New Roman"/>
                <w:color w:val="auto"/>
                <w:szCs w:val="21"/>
                <w:highlight w:val="none"/>
              </w:rPr>
              <m:t>(</m:t>
            </m:r>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z</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m:t>
                </m:r>
                <m:ctrlPr>
                  <w:rPr>
                    <w:rFonts w:ascii="Cambria Math" w:hAnsi="Cambria Math" w:eastAsia="宋体" w:cs="Times New Roman"/>
                    <w:color w:val="auto"/>
                    <w:szCs w:val="21"/>
                    <w:highlight w:val="none"/>
                  </w:rPr>
                </m:ctrlPr>
              </m:sub>
            </m:sSub>
            <m:sSub>
              <m:sSubPr>
                <m:ctrlPr>
                  <w:rPr>
                    <w:rFonts w:ascii="Cambria Math" w:hAnsi="Cambria Math" w:eastAsia="宋体" w:cs="Times New Roman"/>
                    <w:color w:val="auto"/>
                    <w:szCs w:val="21"/>
                    <w:highlight w:val="none"/>
                  </w:rPr>
                </m:ctrlPr>
              </m:sSubPr>
              <m:e>
                <m:acc>
                  <m:accPr>
                    <m:chr m:val="̅"/>
                    <m:ctrlPr>
                      <w:rPr>
                        <w:rFonts w:ascii="Cambria Math" w:hAnsi="Cambria Math" w:eastAsia="宋体" w:cs="Times New Roman"/>
                        <w:color w:val="auto"/>
                        <w:szCs w:val="21"/>
                        <w:highlight w:val="none"/>
                      </w:rPr>
                    </m:ctrlPr>
                  </m:accPr>
                  <m:e>
                    <m:r>
                      <m:rPr>
                        <m:sty m:val="p"/>
                      </m:rPr>
                      <w:rPr>
                        <w:rFonts w:ascii="Cambria Math" w:hAnsi="Cambria Math" w:cs="Times New Roman"/>
                        <w:color w:val="auto"/>
                        <w:szCs w:val="21"/>
                        <w:highlight w:val="none"/>
                      </w:rPr>
                      <m:t>α</m:t>
                    </m:r>
                    <m:ctrlPr>
                      <w:rPr>
                        <w:rFonts w:ascii="Cambria Math" w:hAnsi="Cambria Math" w:eastAsia="宋体" w:cs="Times New Roman"/>
                        <w:color w:val="auto"/>
                        <w:szCs w:val="21"/>
                        <w:highlight w:val="none"/>
                      </w:rPr>
                    </m:ctrlPr>
                  </m:e>
                </m:acc>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m:t>
                </m:r>
                <m:ctrlPr>
                  <w:rPr>
                    <w:rFonts w:ascii="Cambria Math" w:hAnsi="Cambria Math" w:eastAsia="宋体" w:cs="Times New Roman"/>
                    <w:color w:val="auto"/>
                    <w:szCs w:val="21"/>
                    <w:highlight w:val="none"/>
                  </w:rPr>
                </m:ctrlPr>
              </m:sub>
            </m:sSub>
            <m:r>
              <m:rPr>
                <m:sty m:val="p"/>
              </m:rPr>
              <w:rPr>
                <w:rFonts w:ascii="Cambria Math" w:hAnsi="Cambria Math" w:eastAsia="宋体" w:cs="Times New Roman"/>
                <w:color w:val="auto"/>
                <w:szCs w:val="21"/>
                <w:highlight w:val="none"/>
              </w:rPr>
              <m:t>−</m:t>
            </m:r>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z</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i−1</m:t>
                </m:r>
                <m:ctrlPr>
                  <w:rPr>
                    <w:rFonts w:ascii="Cambria Math" w:hAnsi="Cambria Math" w:eastAsia="宋体" w:cs="Times New Roman"/>
                    <w:color w:val="auto"/>
                    <w:szCs w:val="21"/>
                    <w:highlight w:val="none"/>
                  </w:rPr>
                </m:ctrlPr>
              </m:sub>
            </m:sSub>
            <m:sSub>
              <m:sSubPr>
                <m:ctrlPr>
                  <w:rPr>
                    <w:rFonts w:ascii="Cambria Math" w:hAnsi="Cambria Math" w:eastAsia="宋体" w:cs="Times New Roman"/>
                    <w:color w:val="auto"/>
                    <w:szCs w:val="21"/>
                    <w:highlight w:val="none"/>
                  </w:rPr>
                </m:ctrlPr>
              </m:sSubPr>
              <m:e>
                <m:acc>
                  <m:accPr>
                    <m:chr m:val="̅"/>
                    <m:ctrlPr>
                      <w:rPr>
                        <w:rFonts w:ascii="Cambria Math" w:hAnsi="Cambria Math" w:eastAsia="宋体" w:cs="Times New Roman"/>
                        <w:color w:val="auto"/>
                        <w:szCs w:val="21"/>
                        <w:highlight w:val="none"/>
                      </w:rPr>
                    </m:ctrlPr>
                  </m:accPr>
                  <m:e>
                    <m:r>
                      <m:rPr>
                        <m:sty m:val="p"/>
                      </m:rPr>
                      <w:rPr>
                        <w:rFonts w:ascii="Cambria Math" w:hAnsi="Cambria Math" w:cs="Times New Roman"/>
                        <w:color w:val="auto"/>
                        <w:szCs w:val="21"/>
                        <w:highlight w:val="none"/>
                      </w:rPr>
                      <m:t>α</m:t>
                    </m:r>
                    <m:ctrlPr>
                      <w:rPr>
                        <w:rFonts w:ascii="Cambria Math" w:hAnsi="Cambria Math" w:eastAsia="宋体" w:cs="Times New Roman"/>
                        <w:color w:val="auto"/>
                        <w:szCs w:val="21"/>
                        <w:highlight w:val="none"/>
                      </w:rPr>
                    </m:ctrlPr>
                  </m:e>
                </m:acc>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i−1</m:t>
                </m:r>
                <m:ctrlPr>
                  <w:rPr>
                    <w:rFonts w:ascii="Cambria Math" w:hAnsi="Cambria Math" w:eastAsia="宋体" w:cs="Times New Roman"/>
                    <w:color w:val="auto"/>
                    <w:szCs w:val="21"/>
                    <w:highlight w:val="none"/>
                  </w:rPr>
                </m:ctrlPr>
              </m:sub>
            </m:sSub>
            <m:r>
              <m:rPr>
                <m:sty m:val="p"/>
              </m:rPr>
              <w:rPr>
                <w:rFonts w:ascii="Cambria Math" w:hAnsi="Cambria Math" w:eastAsia="宋体" w:cs="Times New Roman"/>
                <w:color w:val="auto"/>
                <w:szCs w:val="21"/>
                <w:highlight w:val="none"/>
              </w:rPr>
              <m:t>)</m:t>
            </m:r>
            <m:ctrlPr>
              <w:rPr>
                <w:rFonts w:ascii="Cambria Math" w:hAnsi="Cambria Math" w:eastAsia="宋体" w:cs="Times New Roman"/>
                <w:color w:val="auto"/>
                <w:szCs w:val="21"/>
                <w:highlight w:val="none"/>
              </w:rPr>
            </m:ctrlPr>
          </m:e>
        </m:nary>
      </m:oMath>
      <w:r>
        <w:rPr>
          <w:rFonts w:hint="eastAsia" w:hAnsi="Cambria Math" w:eastAsia="宋体" w:cs="Times New Roman"/>
          <w:i w:val="0"/>
          <w:color w:val="auto"/>
          <w:szCs w:val="21"/>
          <w:highlight w:val="none"/>
          <w:lang w:val="en-US" w:eastAsia="zh-CN"/>
        </w:rPr>
        <w:t xml:space="preserve"> ..............................（26）</w:t>
      </w:r>
    </w:p>
    <w:p w14:paraId="5B1ED04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0CF55C3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w:t>
      </w:r>
      <w:r>
        <w:rPr>
          <w:rFonts w:ascii="Times New Roman" w:hAnsi="Times New Roman" w:eastAsia="宋体" w:cs="Times New Roman"/>
          <w:color w:val="auto"/>
          <w:szCs w:val="21"/>
          <w:highlight w:val="none"/>
          <w:vertAlign w:val="subscript"/>
        </w:rPr>
        <w:t>0</w:t>
      </w:r>
      <w:r>
        <w:rPr>
          <w:rFonts w:ascii="Times New Roman" w:hAnsi="Times New Roman" w:eastAsia="宋体" w:cs="Times New Roman"/>
          <w:color w:val="auto"/>
          <w:szCs w:val="21"/>
          <w:highlight w:val="none"/>
        </w:rPr>
        <w:t>——相应于作用路基基底处的附加压力（kPa）；</w:t>
      </w:r>
    </w:p>
    <w:p w14:paraId="20893D6F">
      <w:pPr>
        <w:spacing w:line="360" w:lineRule="auto"/>
        <w:ind w:left="1050" w:leftChars="200" w:hanging="630" w:hanging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si</w:t>
      </w:r>
      <w:r>
        <w:rPr>
          <w:rFonts w:ascii="Times New Roman" w:hAnsi="Times New Roman" w:eastAsia="宋体" w:cs="Times New Roman"/>
          <w:color w:val="auto"/>
          <w:szCs w:val="21"/>
          <w:highlight w:val="none"/>
        </w:rPr>
        <w:t>——基底下第i层土的压缩模量（MPa），加固区取复合土层的压缩模量，加固区以下取天然土层的压缩模量；</w:t>
      </w:r>
    </w:p>
    <w:p w14:paraId="40F1376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z</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、z</w:t>
      </w:r>
      <w:r>
        <w:rPr>
          <w:rFonts w:ascii="Times New Roman" w:hAnsi="Times New Roman" w:eastAsia="宋体" w:cs="Times New Roman"/>
          <w:color w:val="auto"/>
          <w:szCs w:val="21"/>
          <w:highlight w:val="none"/>
          <w:vertAlign w:val="subscript"/>
        </w:rPr>
        <w:t>i-1</w:t>
      </w:r>
      <w:r>
        <w:rPr>
          <w:rFonts w:ascii="Times New Roman" w:hAnsi="Times New Roman" w:eastAsia="宋体" w:cs="Times New Roman"/>
          <w:color w:val="auto"/>
          <w:szCs w:val="21"/>
          <w:highlight w:val="none"/>
        </w:rPr>
        <w:t>——加固区底面至第i层土、第i-1层土底面的距离（m）；</w:t>
      </w:r>
    </w:p>
    <w:p w14:paraId="720D7DF7">
      <w:pPr>
        <w:spacing w:line="360" w:lineRule="auto"/>
        <w:ind w:left="1470" w:leftChars="200" w:hanging="1050" w:hangingChars="5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acc>
              <m:accPr>
                <m:chr m:val="̅"/>
                <m:ctrlPr>
                  <w:rPr>
                    <w:rFonts w:ascii="Cambria Math" w:hAnsi="Cambria Math" w:eastAsia="宋体" w:cs="Times New Roman"/>
                    <w:color w:val="auto"/>
                    <w:szCs w:val="21"/>
                    <w:highlight w:val="none"/>
                  </w:rPr>
                </m:ctrlPr>
              </m:accPr>
              <m:e>
                <m:r>
                  <m:rPr>
                    <m:sty m:val="p"/>
                  </m:rPr>
                  <w:rPr>
                    <w:rFonts w:ascii="Cambria Math" w:hAnsi="Cambria Math" w:cs="Times New Roman"/>
                    <w:color w:val="auto"/>
                    <w:szCs w:val="21"/>
                    <w:highlight w:val="none"/>
                  </w:rPr>
                  <m:t>α</m:t>
                </m:r>
                <m:ctrlPr>
                  <w:rPr>
                    <w:rFonts w:ascii="Cambria Math" w:hAnsi="Cambria Math" w:eastAsia="宋体" w:cs="Times New Roman"/>
                    <w:color w:val="auto"/>
                    <w:szCs w:val="21"/>
                    <w:highlight w:val="none"/>
                  </w:rPr>
                </m:ctrlPr>
              </m:e>
            </m:acc>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w:t>
      </w:r>
      <m:oMath>
        <m:sSub>
          <m:sSubPr>
            <m:ctrlPr>
              <w:rPr>
                <w:rFonts w:ascii="Cambria Math" w:hAnsi="Cambria Math" w:eastAsia="宋体" w:cs="Times New Roman"/>
                <w:color w:val="auto"/>
                <w:szCs w:val="21"/>
                <w:highlight w:val="none"/>
              </w:rPr>
            </m:ctrlPr>
          </m:sSubPr>
          <m:e>
            <m:acc>
              <m:accPr>
                <m:chr m:val="̅"/>
                <m:ctrlPr>
                  <w:rPr>
                    <w:rFonts w:ascii="Cambria Math" w:hAnsi="Cambria Math" w:eastAsia="宋体" w:cs="Times New Roman"/>
                    <w:color w:val="auto"/>
                    <w:szCs w:val="21"/>
                    <w:highlight w:val="none"/>
                  </w:rPr>
                </m:ctrlPr>
              </m:accPr>
              <m:e>
                <m:r>
                  <m:rPr>
                    <m:sty m:val="p"/>
                  </m:rPr>
                  <w:rPr>
                    <w:rFonts w:ascii="Cambria Math" w:hAnsi="Cambria Math" w:cs="Times New Roman"/>
                    <w:color w:val="auto"/>
                    <w:szCs w:val="21"/>
                    <w:highlight w:val="none"/>
                  </w:rPr>
                  <m:t>α</m:t>
                </m:r>
                <m:ctrlPr>
                  <w:rPr>
                    <w:rFonts w:ascii="Cambria Math" w:hAnsi="Cambria Math" w:eastAsia="宋体" w:cs="Times New Roman"/>
                    <w:color w:val="auto"/>
                    <w:szCs w:val="21"/>
                    <w:highlight w:val="none"/>
                  </w:rPr>
                </m:ctrlPr>
              </m:e>
            </m:acc>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i−1</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——基底至第i层土、第i-1层土底面范围内平均附加</w:t>
      </w:r>
      <w:r>
        <w:rPr>
          <w:rFonts w:hint="eastAsia" w:ascii="Times New Roman" w:hAnsi="Times New Roman" w:eastAsia="宋体" w:cs="Times New Roman"/>
          <w:color w:val="auto"/>
          <w:szCs w:val="21"/>
          <w:highlight w:val="none"/>
          <w:lang w:val="en-US" w:eastAsia="zh-CN"/>
        </w:rPr>
        <w:t>应力</w:t>
      </w:r>
      <w:r>
        <w:rPr>
          <w:rFonts w:ascii="Times New Roman" w:hAnsi="Times New Roman" w:eastAsia="宋体" w:cs="Times New Roman"/>
          <w:color w:val="auto"/>
          <w:szCs w:val="21"/>
          <w:highlight w:val="none"/>
        </w:rPr>
        <w:t>系数，可根据规范GB 50007附录K查询取值；</w:t>
      </w:r>
    </w:p>
    <w:p w14:paraId="64CF0665">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ψ</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s</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——沉降计算经验系数，可根据下表</w:t>
      </w:r>
      <w:r>
        <w:rPr>
          <w:rFonts w:hint="eastAsia" w:ascii="Times New Roman" w:hAnsi="Times New Roman" w:eastAsia="宋体" w:cs="Times New Roman"/>
          <w:color w:val="auto"/>
          <w:szCs w:val="21"/>
          <w:highlight w:val="none"/>
          <w:lang w:val="en-US" w:eastAsia="zh-CN"/>
        </w:rPr>
        <w:t>19</w:t>
      </w:r>
      <w:r>
        <w:rPr>
          <w:rFonts w:ascii="Times New Roman" w:hAnsi="Times New Roman" w:eastAsia="宋体" w:cs="Times New Roman"/>
          <w:color w:val="auto"/>
          <w:szCs w:val="21"/>
          <w:highlight w:val="none"/>
        </w:rPr>
        <w:t>取值：</w:t>
      </w:r>
    </w:p>
    <w:p w14:paraId="6FB35A85">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19</w:t>
      </w:r>
      <w:r>
        <w:rPr>
          <w:rFonts w:ascii="Times New Roman" w:hAnsi="Times New Roman" w:eastAsia="宋体" w:cs="Times New Roman"/>
          <w:b/>
          <w:color w:val="auto"/>
          <w:szCs w:val="21"/>
          <w:highlight w:val="none"/>
        </w:rPr>
        <w:t xml:space="preserve">  沉降经验系数表</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 w:type="dxa"/>
          <w:bottom w:w="0" w:type="dxa"/>
          <w:right w:w="10" w:type="dxa"/>
        </w:tblCellMar>
      </w:tblPr>
      <w:tblGrid>
        <w:gridCol w:w="1518"/>
        <w:gridCol w:w="1359"/>
        <w:gridCol w:w="1376"/>
        <w:gridCol w:w="1389"/>
        <w:gridCol w:w="1389"/>
        <w:gridCol w:w="1389"/>
      </w:tblGrid>
      <w:tr w14:paraId="382273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500" w:hRule="atLeast"/>
          <w:jc w:val="center"/>
        </w:trPr>
        <w:tc>
          <w:tcPr>
            <w:tcW w:w="1740" w:type="dxa"/>
            <w:tcBorders>
              <w:tl2br w:val="nil"/>
              <w:tr2bl w:val="nil"/>
            </w:tcBorders>
            <w:vAlign w:val="center"/>
          </w:tcPr>
          <w:p w14:paraId="61C8033A">
            <w:pPr>
              <w:keepNext/>
              <w:spacing w:line="360" w:lineRule="auto"/>
              <w:jc w:val="center"/>
              <w:rPr>
                <w:rFonts w:ascii="Times New Roman" w:hAnsi="Times New Roman" w:eastAsia="宋体" w:cs="Times New Roman"/>
                <w:color w:val="auto"/>
                <w:sz w:val="18"/>
                <w:szCs w:val="18"/>
                <w:highlight w:val="none"/>
              </w:rPr>
            </w:pPr>
            <m:oMathPara>
              <m:oMath>
                <m:sSub>
                  <m:sSubPr>
                    <m:ctrlPr>
                      <w:rPr>
                        <w:rFonts w:ascii="Cambria Math" w:hAnsi="Cambria Math" w:cs="Times New Roman"/>
                        <w:i/>
                        <w:color w:val="auto"/>
                        <w:sz w:val="18"/>
                        <w:szCs w:val="18"/>
                        <w:highlight w:val="none"/>
                      </w:rPr>
                    </m:ctrlPr>
                  </m:sSubPr>
                  <m:e>
                    <m:acc>
                      <m:accPr>
                        <m:chr m:val="̅"/>
                        <m:ctrlPr>
                          <w:rPr>
                            <w:rFonts w:ascii="Cambria Math" w:hAnsi="Cambria Math" w:cs="Times New Roman"/>
                            <w:i/>
                            <w:color w:val="auto"/>
                            <w:sz w:val="18"/>
                            <w:szCs w:val="18"/>
                            <w:highlight w:val="none"/>
                          </w:rPr>
                        </m:ctrlPr>
                      </m:accPr>
                      <m:e>
                        <m:r>
                          <m:rPr/>
                          <w:rPr>
                            <w:rFonts w:ascii="Cambria Math" w:hAnsi="Cambria Math" w:cs="Times New Roman"/>
                            <w:color w:val="auto"/>
                            <w:sz w:val="18"/>
                            <w:szCs w:val="18"/>
                            <w:highlight w:val="none"/>
                          </w:rPr>
                          <m:t>E</m:t>
                        </m:r>
                        <m:ctrlPr>
                          <w:rPr>
                            <w:rFonts w:ascii="Cambria Math" w:hAnsi="Cambria Math" w:cs="Times New Roman"/>
                            <w:i/>
                            <w:color w:val="auto"/>
                            <w:sz w:val="18"/>
                            <w:szCs w:val="18"/>
                            <w:highlight w:val="none"/>
                          </w:rPr>
                        </m:ctrlPr>
                      </m:e>
                    </m:acc>
                    <m:ctrlPr>
                      <w:rPr>
                        <w:rFonts w:ascii="Cambria Math" w:hAnsi="Cambria Math" w:cs="Times New Roman"/>
                        <w:i/>
                        <w:color w:val="auto"/>
                        <w:sz w:val="18"/>
                        <w:szCs w:val="18"/>
                        <w:highlight w:val="none"/>
                      </w:rPr>
                    </m:ctrlPr>
                  </m:e>
                  <m:sub>
                    <m:r>
                      <m:rPr/>
                      <w:rPr>
                        <w:rFonts w:ascii="Cambria Math" w:hAnsi="Cambria Math" w:cs="Times New Roman"/>
                        <w:color w:val="auto"/>
                        <w:sz w:val="18"/>
                        <w:szCs w:val="18"/>
                        <w:highlight w:val="none"/>
                      </w:rPr>
                      <m:t>s</m:t>
                    </m:r>
                    <m:ctrlPr>
                      <w:rPr>
                        <w:rFonts w:ascii="Cambria Math" w:hAnsi="Cambria Math" w:cs="Times New Roman"/>
                        <w:i/>
                        <w:color w:val="auto"/>
                        <w:sz w:val="18"/>
                        <w:szCs w:val="18"/>
                        <w:highlight w:val="none"/>
                      </w:rPr>
                    </m:ctrlPr>
                  </m:sub>
                </m:sSub>
              </m:oMath>
            </m:oMathPara>
          </w:p>
        </w:tc>
        <w:tc>
          <w:tcPr>
            <w:tcW w:w="1540" w:type="dxa"/>
            <w:tcBorders>
              <w:tl2br w:val="nil"/>
              <w:tr2bl w:val="nil"/>
            </w:tcBorders>
            <w:vAlign w:val="center"/>
          </w:tcPr>
          <w:p w14:paraId="799CFED1">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w:t>
            </w:r>
          </w:p>
        </w:tc>
        <w:tc>
          <w:tcPr>
            <w:tcW w:w="1560" w:type="dxa"/>
            <w:tcBorders>
              <w:tl2br w:val="nil"/>
              <w:tr2bl w:val="nil"/>
            </w:tcBorders>
            <w:vAlign w:val="center"/>
          </w:tcPr>
          <w:p w14:paraId="3C779C6E">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7.0</w:t>
            </w:r>
          </w:p>
        </w:tc>
        <w:tc>
          <w:tcPr>
            <w:tcW w:w="1560" w:type="dxa"/>
            <w:tcBorders>
              <w:tl2br w:val="nil"/>
              <w:tr2bl w:val="nil"/>
            </w:tcBorders>
            <w:vAlign w:val="center"/>
          </w:tcPr>
          <w:p w14:paraId="53300AED">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15.0</w:t>
            </w:r>
          </w:p>
        </w:tc>
        <w:tc>
          <w:tcPr>
            <w:tcW w:w="1560" w:type="dxa"/>
            <w:tcBorders>
              <w:tl2br w:val="nil"/>
              <w:tr2bl w:val="nil"/>
            </w:tcBorders>
            <w:vAlign w:val="center"/>
          </w:tcPr>
          <w:p w14:paraId="5DC014CC">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20.0</w:t>
            </w:r>
          </w:p>
        </w:tc>
        <w:tc>
          <w:tcPr>
            <w:tcW w:w="1560" w:type="dxa"/>
            <w:tcBorders>
              <w:tl2br w:val="nil"/>
              <w:tr2bl w:val="nil"/>
            </w:tcBorders>
            <w:vAlign w:val="center"/>
          </w:tcPr>
          <w:p w14:paraId="343634AF">
            <w:pPr>
              <w:keepNext/>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35.0</w:t>
            </w:r>
          </w:p>
        </w:tc>
      </w:tr>
      <w:tr w14:paraId="0EA2F5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 w:type="dxa"/>
            <w:bottom w:w="0" w:type="dxa"/>
            <w:right w:w="10" w:type="dxa"/>
          </w:tblCellMar>
        </w:tblPrEx>
        <w:trPr>
          <w:trHeight w:val="403" w:hRule="atLeast"/>
          <w:jc w:val="center"/>
        </w:trPr>
        <w:tc>
          <w:tcPr>
            <w:tcW w:w="1740" w:type="dxa"/>
            <w:tcBorders>
              <w:tl2br w:val="nil"/>
              <w:tr2bl w:val="nil"/>
            </w:tcBorders>
            <w:vAlign w:val="center"/>
          </w:tcPr>
          <w:p w14:paraId="690D6AC9">
            <w:pPr>
              <w:spacing w:line="360" w:lineRule="auto"/>
              <w:jc w:val="center"/>
              <w:rPr>
                <w:rFonts w:ascii="Times New Roman" w:hAnsi="Times New Roman" w:eastAsia="宋体" w:cs="Times New Roman"/>
                <w:color w:val="auto"/>
                <w:sz w:val="18"/>
                <w:szCs w:val="18"/>
                <w:highlight w:val="none"/>
              </w:rPr>
            </w:pPr>
            <m:oMathPara>
              <m:oMath>
                <m:sSub>
                  <m:sSubPr>
                    <m:ctrlPr>
                      <w:rPr>
                        <w:rFonts w:ascii="Cambria Math" w:hAnsi="Cambria Math" w:eastAsia="宋体" w:cs="Times New Roman"/>
                        <w:color w:val="auto"/>
                        <w:sz w:val="18"/>
                        <w:szCs w:val="18"/>
                        <w:highlight w:val="none"/>
                      </w:rPr>
                    </m:ctrlPr>
                  </m:sSubPr>
                  <m:e>
                    <m:r>
                      <m:rPr>
                        <m:sty m:val="p"/>
                      </m:rPr>
                      <w:rPr>
                        <w:rFonts w:ascii="Cambria Math" w:hAnsi="Cambria Math" w:cs="Times New Roman"/>
                        <w:color w:val="auto"/>
                        <w:sz w:val="18"/>
                        <w:szCs w:val="18"/>
                        <w:highlight w:val="none"/>
                      </w:rPr>
                      <m:t>ψ</m:t>
                    </m:r>
                    <m:ctrlPr>
                      <w:rPr>
                        <w:rFonts w:ascii="Cambria Math" w:hAnsi="Cambria Math" w:eastAsia="宋体" w:cs="Times New Roman"/>
                        <w:color w:val="auto"/>
                        <w:sz w:val="18"/>
                        <w:szCs w:val="18"/>
                        <w:highlight w:val="none"/>
                      </w:rPr>
                    </m:ctrlPr>
                  </m:e>
                  <m:sub>
                    <m:r>
                      <m:rPr>
                        <m:sty m:val="p"/>
                      </m:rPr>
                      <w:rPr>
                        <w:rFonts w:ascii="Cambria Math" w:hAnsi="Cambria Math" w:eastAsia="宋体" w:cs="Times New Roman"/>
                        <w:color w:val="auto"/>
                        <w:sz w:val="18"/>
                        <w:szCs w:val="18"/>
                        <w:highlight w:val="none"/>
                      </w:rPr>
                      <m:t>s</m:t>
                    </m:r>
                    <m:ctrlPr>
                      <w:rPr>
                        <w:rFonts w:ascii="Cambria Math" w:hAnsi="Cambria Math" w:eastAsia="宋体" w:cs="Times New Roman"/>
                        <w:color w:val="auto"/>
                        <w:sz w:val="18"/>
                        <w:szCs w:val="18"/>
                        <w:highlight w:val="none"/>
                      </w:rPr>
                    </m:ctrlPr>
                  </m:sub>
                </m:sSub>
              </m:oMath>
            </m:oMathPara>
          </w:p>
        </w:tc>
        <w:tc>
          <w:tcPr>
            <w:tcW w:w="1540" w:type="dxa"/>
            <w:tcBorders>
              <w:tl2br w:val="nil"/>
              <w:tr2bl w:val="nil"/>
            </w:tcBorders>
            <w:vAlign w:val="center"/>
          </w:tcPr>
          <w:p w14:paraId="512815A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w:t>
            </w:r>
          </w:p>
        </w:tc>
        <w:tc>
          <w:tcPr>
            <w:tcW w:w="1560" w:type="dxa"/>
            <w:tcBorders>
              <w:tl2br w:val="nil"/>
              <w:tr2bl w:val="nil"/>
            </w:tcBorders>
            <w:vAlign w:val="center"/>
          </w:tcPr>
          <w:p w14:paraId="3C36A561">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0.7</w:t>
            </w:r>
          </w:p>
        </w:tc>
        <w:tc>
          <w:tcPr>
            <w:tcW w:w="1560" w:type="dxa"/>
            <w:tcBorders>
              <w:tl2br w:val="nil"/>
              <w:tr2bl w:val="nil"/>
            </w:tcBorders>
            <w:vAlign w:val="center"/>
          </w:tcPr>
          <w:p w14:paraId="537AC5D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0.4</w:t>
            </w:r>
          </w:p>
        </w:tc>
        <w:tc>
          <w:tcPr>
            <w:tcW w:w="1560" w:type="dxa"/>
            <w:tcBorders>
              <w:tl2br w:val="nil"/>
              <w:tr2bl w:val="nil"/>
            </w:tcBorders>
            <w:vAlign w:val="center"/>
          </w:tcPr>
          <w:p w14:paraId="4B8F3CB3">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0.25</w:t>
            </w:r>
          </w:p>
        </w:tc>
        <w:tc>
          <w:tcPr>
            <w:tcW w:w="1560" w:type="dxa"/>
            <w:tcBorders>
              <w:tl2br w:val="nil"/>
              <w:tr2bl w:val="nil"/>
            </w:tcBorders>
            <w:vAlign w:val="center"/>
          </w:tcPr>
          <w:p w14:paraId="2EFE322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0.2</w:t>
            </w:r>
          </w:p>
        </w:tc>
      </w:tr>
    </w:tbl>
    <w:p w14:paraId="73B29E46">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6.4.1.8 </w:t>
      </w:r>
      <w:r>
        <w:rPr>
          <w:rFonts w:ascii="Times New Roman" w:hAnsi="Times New Roman" w:eastAsia="宋体" w:cs="Times New Roman"/>
          <w:color w:val="auto"/>
          <w:szCs w:val="21"/>
          <w:highlight w:val="none"/>
        </w:rPr>
        <w:t>复合地基土层的分层与天然地基相同，各复合土层的压缩模量等于该天然地基压缩模量的</w:t>
      </w:r>
      <m:oMath>
        <m:r>
          <m:rPr/>
          <w:rPr>
            <w:rFonts w:ascii="Cambria Math" w:hAnsi="Cambria Math" w:cs="Times New Roman"/>
            <w:color w:val="auto"/>
            <w:szCs w:val="21"/>
            <w:highlight w:val="none"/>
          </w:rPr>
          <m:t>ξ</m:t>
        </m:r>
      </m:oMath>
      <w:r>
        <w:rPr>
          <w:rFonts w:ascii="Times New Roman" w:hAnsi="Times New Roman" w:eastAsia="宋体" w:cs="Times New Roman"/>
          <w:color w:val="auto"/>
          <w:szCs w:val="21"/>
          <w:highlight w:val="none"/>
        </w:rPr>
        <w:t>倍，可按</w:t>
      </w:r>
      <w:r>
        <w:rPr>
          <w:rFonts w:hint="eastAsia" w:ascii="Times New Roman" w:hAnsi="Times New Roman" w:eastAsia="宋体" w:cs="Times New Roman"/>
          <w:color w:val="auto"/>
          <w:szCs w:val="21"/>
          <w:highlight w:val="none"/>
          <w:lang w:val="en-US" w:eastAsia="zh-CN"/>
        </w:rPr>
        <w:t>公式（27）（28）</w:t>
      </w:r>
      <w:r>
        <w:rPr>
          <w:rFonts w:ascii="Times New Roman" w:hAnsi="Times New Roman" w:eastAsia="宋体" w:cs="Times New Roman"/>
          <w:color w:val="auto"/>
          <w:szCs w:val="21"/>
          <w:highlight w:val="none"/>
        </w:rPr>
        <w:t>计算：</w:t>
      </w:r>
    </w:p>
    <w:p w14:paraId="79F6E255">
      <w:pPr>
        <w:spacing w:line="360" w:lineRule="auto"/>
        <w:ind w:firstLine="3360" w:firstLineChars="16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E</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sp</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=ξ</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E</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...............................................................（27）</w:t>
      </w:r>
    </w:p>
    <w:p w14:paraId="0A304F39">
      <w:pPr>
        <w:spacing w:line="360" w:lineRule="auto"/>
        <w:ind w:firstLine="3570" w:firstLineChars="1700"/>
        <w:rPr>
          <w:rFonts w:hint="default" w:ascii="Times New Roman" w:hAnsi="Times New Roman" w:cs="Times New Roman" w:eastAsiaTheme="minorEastAsia"/>
          <w:color w:val="auto"/>
          <w:szCs w:val="21"/>
          <w:highlight w:val="none"/>
          <w:lang w:val="en-US" w:eastAsia="zh-CN"/>
        </w:rPr>
      </w:pPr>
      <m:oMath>
        <m:r>
          <m:rPr>
            <m:sty m:val="p"/>
          </m:rPr>
          <w:rPr>
            <w:rFonts w:ascii="Cambria Math" w:hAnsi="Cambria Math" w:cs="Times New Roman"/>
            <w:color w:val="auto"/>
            <w:szCs w:val="21"/>
            <w:highlight w:val="none"/>
          </w:rPr>
          <m:t>ξ=</m:t>
        </m:r>
        <m:f>
          <m:fPr>
            <m:ctrlPr>
              <w:rPr>
                <w:rFonts w:ascii="Cambria Math" w:hAnsi="Cambria Math" w:cs="Times New Roman"/>
                <w:color w:val="auto"/>
                <w:szCs w:val="21"/>
                <w:highlight w:val="none"/>
              </w:rPr>
            </m:ctrlPr>
          </m:fPr>
          <m:num>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f</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spk</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num>
          <m:den>
            <m:sSub>
              <m:sSubPr>
                <m:ctrlPr>
                  <w:rPr>
                    <w:rFonts w:ascii="Cambria Math" w:hAnsi="Cambria Math" w:cs="Times New Roman"/>
                    <w:color w:val="auto"/>
                    <w:szCs w:val="21"/>
                    <w:highlight w:val="none"/>
                  </w:rPr>
                </m:ctrlPr>
              </m:sSubPr>
              <m:e>
                <m:r>
                  <m:rPr>
                    <m:sty m:val="p"/>
                  </m:rPr>
                  <w:rPr>
                    <w:rFonts w:ascii="Cambria Math" w:hAnsi="Cambria Math" w:cs="Times New Roman"/>
                    <w:color w:val="auto"/>
                    <w:szCs w:val="21"/>
                    <w:highlight w:val="none"/>
                  </w:rPr>
                  <m:t>f</m:t>
                </m:r>
                <m:ctrlPr>
                  <w:rPr>
                    <w:rFonts w:ascii="Cambria Math" w:hAnsi="Cambria Math" w:cs="Times New Roman"/>
                    <w:color w:val="auto"/>
                    <w:szCs w:val="21"/>
                    <w:highlight w:val="none"/>
                  </w:rPr>
                </m:ctrlPr>
              </m:e>
              <m:sub>
                <m:r>
                  <m:rPr>
                    <m:sty m:val="p"/>
                  </m:rPr>
                  <w:rPr>
                    <w:rFonts w:ascii="Cambria Math" w:hAnsi="Cambria Math" w:cs="Times New Roman"/>
                    <w:color w:val="auto"/>
                    <w:szCs w:val="21"/>
                    <w:highlight w:val="none"/>
                  </w:rPr>
                  <m:t>ak</m:t>
                </m:r>
                <m:ctrlPr>
                  <w:rPr>
                    <w:rFonts w:ascii="Cambria Math" w:hAnsi="Cambria Math" w:cs="Times New Roman"/>
                    <w:color w:val="auto"/>
                    <w:szCs w:val="21"/>
                    <w:highlight w:val="none"/>
                  </w:rPr>
                </m:ctrlPr>
              </m:sub>
            </m:sSub>
            <m:ctrlPr>
              <w:rPr>
                <w:rFonts w:ascii="Cambria Math" w:hAnsi="Cambria Math" w:cs="Times New Roman"/>
                <w:color w:val="auto"/>
                <w:szCs w:val="21"/>
                <w:highlight w:val="none"/>
              </w:rPr>
            </m:ctrlPr>
          </m:den>
        </m:f>
      </m:oMath>
      <w:r>
        <w:rPr>
          <w:rFonts w:hint="eastAsia" w:hAnsi="Cambria Math" w:cs="Times New Roman"/>
          <w:i w:val="0"/>
          <w:color w:val="auto"/>
          <w:szCs w:val="21"/>
          <w:highlight w:val="none"/>
          <w:lang w:val="en-US" w:eastAsia="zh-CN"/>
        </w:rPr>
        <w:t xml:space="preserve"> ..................................................................（28）</w:t>
      </w:r>
    </w:p>
    <w:p w14:paraId="00D3839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732D8E1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s</w:t>
      </w:r>
      <w:r>
        <w:rPr>
          <w:rFonts w:ascii="Times New Roman" w:hAnsi="Times New Roman" w:eastAsia="宋体" w:cs="Times New Roman"/>
          <w:color w:val="auto"/>
          <w:szCs w:val="21"/>
          <w:highlight w:val="none"/>
        </w:rPr>
        <w:t>——天然地基压缩模量（MPa）；</w:t>
      </w:r>
    </w:p>
    <w:p w14:paraId="631F8D0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sp</w:t>
      </w:r>
      <w:r>
        <w:rPr>
          <w:rFonts w:ascii="Times New Roman" w:hAnsi="Times New Roman" w:eastAsia="宋体" w:cs="Times New Roman"/>
          <w:color w:val="auto"/>
          <w:szCs w:val="21"/>
          <w:highlight w:val="none"/>
        </w:rPr>
        <w:t>——复合地基加固区的压缩模量（MPa）；</w:t>
      </w:r>
    </w:p>
    <w:p w14:paraId="13DC6D2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spk</w:t>
      </w:r>
      <w:r>
        <w:rPr>
          <w:rFonts w:ascii="Times New Roman" w:hAnsi="Times New Roman" w:eastAsia="宋体" w:cs="Times New Roman"/>
          <w:color w:val="auto"/>
          <w:szCs w:val="21"/>
          <w:highlight w:val="none"/>
        </w:rPr>
        <w:t>——基底复合地基承载力特征值（kPa）；</w:t>
      </w:r>
    </w:p>
    <w:p w14:paraId="13A6D83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ak</w:t>
      </w:r>
      <w:r>
        <w:rPr>
          <w:rFonts w:ascii="Times New Roman" w:hAnsi="Times New Roman" w:eastAsia="宋体" w:cs="Times New Roman"/>
          <w:color w:val="auto"/>
          <w:szCs w:val="21"/>
          <w:highlight w:val="none"/>
        </w:rPr>
        <w:t>——基底第一层土的天然地基承载力特征值（kPa）。</w:t>
      </w:r>
    </w:p>
    <w:p w14:paraId="16E87376">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6.4.1.9</w:t>
      </w:r>
      <w:r>
        <w:rPr>
          <w:rFonts w:ascii="Times New Roman" w:hAnsi="Times New Roman" w:eastAsia="宋体" w:cs="Times New Roman"/>
          <w:color w:val="auto"/>
          <w:szCs w:val="21"/>
          <w:highlight w:val="none"/>
        </w:rPr>
        <w:t xml:space="preserve"> 复合地基变形计算深度范围内压缩模量的当量值</w:t>
      </w:r>
      <m:oMath>
        <m:sSub>
          <m:sSubPr>
            <m:ctrlPr>
              <w:rPr>
                <w:rFonts w:ascii="Cambria Math" w:hAnsi="Cambria Math" w:cs="Times New Roman"/>
                <w:i/>
                <w:color w:val="auto"/>
                <w:szCs w:val="21"/>
                <w:highlight w:val="none"/>
              </w:rPr>
            </m:ctrlPr>
          </m:sSubPr>
          <m:e>
            <m:acc>
              <m:accPr>
                <m:chr m:val="̅"/>
                <m:ctrlPr>
                  <w:rPr>
                    <w:rFonts w:ascii="Cambria Math" w:hAnsi="Cambria Math" w:cs="Times New Roman"/>
                    <w:i/>
                    <w:color w:val="auto"/>
                    <w:szCs w:val="21"/>
                    <w:highlight w:val="none"/>
                  </w:rPr>
                </m:ctrlPr>
              </m:accPr>
              <m:e>
                <m:r>
                  <m:rPr/>
                  <w:rPr>
                    <w:rFonts w:ascii="Cambria Math" w:hAnsi="Cambria Math" w:cs="Times New Roman"/>
                    <w:color w:val="auto"/>
                    <w:szCs w:val="21"/>
                    <w:highlight w:val="none"/>
                  </w:rPr>
                  <m:t>E</m:t>
                </m:r>
                <m:ctrlPr>
                  <w:rPr>
                    <w:rFonts w:ascii="Cambria Math" w:hAnsi="Cambria Math" w:cs="Times New Roman"/>
                    <w:i/>
                    <w:color w:val="auto"/>
                    <w:szCs w:val="21"/>
                    <w:highlight w:val="none"/>
                  </w:rPr>
                </m:ctrlPr>
              </m:e>
            </m:acc>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应按</w:t>
      </w:r>
      <w:r>
        <w:rPr>
          <w:rFonts w:hint="eastAsia" w:ascii="Times New Roman" w:hAnsi="Times New Roman" w:eastAsia="宋体" w:cs="Times New Roman"/>
          <w:color w:val="auto"/>
          <w:szCs w:val="21"/>
          <w:highlight w:val="none"/>
          <w:lang w:val="en-US" w:eastAsia="zh-CN"/>
        </w:rPr>
        <w:t>公式（29）</w:t>
      </w:r>
      <w:r>
        <w:rPr>
          <w:rFonts w:ascii="Times New Roman" w:hAnsi="Times New Roman" w:eastAsia="宋体" w:cs="Times New Roman"/>
          <w:color w:val="auto"/>
          <w:szCs w:val="21"/>
          <w:highlight w:val="none"/>
        </w:rPr>
        <w:t>计算：</w:t>
      </w:r>
    </w:p>
    <w:p w14:paraId="363CAFC4">
      <w:pPr>
        <w:spacing w:line="360" w:lineRule="auto"/>
        <w:ind w:firstLine="3360" w:firstLineChars="16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acc>
              <m:accPr>
                <m:chr m:val="̅"/>
                <m:ctrlPr>
                  <w:rPr>
                    <w:rFonts w:ascii="Cambria Math" w:hAnsi="Cambria Math" w:cs="Times New Roman"/>
                    <w:i/>
                    <w:color w:val="auto"/>
                    <w:szCs w:val="21"/>
                    <w:highlight w:val="none"/>
                  </w:rPr>
                </m:ctrlPr>
              </m:accPr>
              <m:e>
                <m:r>
                  <m:rPr/>
                  <w:rPr>
                    <w:rFonts w:ascii="Cambria Math" w:hAnsi="Cambria Math" w:cs="Times New Roman"/>
                    <w:color w:val="auto"/>
                    <w:szCs w:val="21"/>
                    <w:highlight w:val="none"/>
                  </w:rPr>
                  <m:t>E</m:t>
                </m:r>
                <m:ctrlPr>
                  <w:rPr>
                    <w:rFonts w:ascii="Cambria Math" w:hAnsi="Cambria Math" w:cs="Times New Roman"/>
                    <w:i/>
                    <w:color w:val="auto"/>
                    <w:szCs w:val="21"/>
                    <w:highlight w:val="none"/>
                  </w:rPr>
                </m:ctrlPr>
              </m:e>
            </m:acc>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nary>
              <m:naryPr>
                <m:chr m:val="∑"/>
                <m:limLoc m:val="undOvr"/>
                <m:ctrlPr>
                  <w:rPr>
                    <w:rFonts w:ascii="Cambria Math" w:hAnsi="Cambria Math" w:cs="Times New Roman"/>
                    <w:i/>
                    <w:color w:val="auto"/>
                    <w:szCs w:val="21"/>
                    <w:highlight w:val="none"/>
                  </w:rPr>
                </m:ctrlPr>
              </m:naryPr>
              <m:sub>
                <m:r>
                  <m:rPr/>
                  <w:rPr>
                    <w:rFonts w:ascii="Cambria Math" w:hAnsi="Cambria Math" w:cs="Times New Roman"/>
                    <w:color w:val="auto"/>
                    <w:szCs w:val="21"/>
                    <w:highlight w:val="none"/>
                  </w:rPr>
                  <m:t>i=1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n</m:t>
                </m:r>
                <m:ctrlPr>
                  <w:rPr>
                    <w:rFonts w:ascii="Cambria Math" w:hAnsi="Cambria Math" w:cs="Times New Roman"/>
                    <w:i/>
                    <w:color w:val="auto"/>
                    <w:szCs w:val="21"/>
                    <w:highlight w:val="none"/>
                  </w:rPr>
                </m:ctrlPr>
              </m:sup>
              <m:e>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i</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e>
            </m:nary>
            <m:r>
              <m:rPr/>
              <w:rPr>
                <w:rFonts w:ascii="Cambria Math" w:hAnsi="Cambria Math" w:cs="Times New Roman"/>
                <w:color w:val="auto"/>
                <w:szCs w:val="21"/>
                <w:highlight w:val="none"/>
              </w:rPr>
              <m:t>+</m:t>
            </m:r>
            <m:nary>
              <m:naryPr>
                <m:chr m:val="∑"/>
                <m:limLoc m:val="undOvr"/>
                <m:ctrlPr>
                  <w:rPr>
                    <w:rFonts w:ascii="Cambria Math" w:hAnsi="Cambria Math" w:cs="Times New Roman"/>
                    <w:i/>
                    <w:color w:val="auto"/>
                    <w:szCs w:val="21"/>
                    <w:highlight w:val="none"/>
                  </w:rPr>
                </m:ctrlPr>
              </m:naryPr>
              <m:sub>
                <m:r>
                  <m:rPr/>
                  <w:rPr>
                    <w:rFonts w:ascii="Cambria Math" w:hAnsi="Cambria Math" w:cs="Times New Roman"/>
                    <w:color w:val="auto"/>
                    <w:szCs w:val="21"/>
                    <w:highlight w:val="none"/>
                  </w:rPr>
                  <m:t>j=1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m</m:t>
                </m:r>
                <m:ctrlPr>
                  <w:rPr>
                    <w:rFonts w:ascii="Cambria Math" w:hAnsi="Cambria Math" w:cs="Times New Roman"/>
                    <w:i/>
                    <w:color w:val="auto"/>
                    <w:szCs w:val="21"/>
                    <w:highlight w:val="none"/>
                  </w:rPr>
                </m:ctrlPr>
              </m:sup>
              <m:e>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j</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e>
            </m:nary>
            <m:ctrlPr>
              <w:rPr>
                <w:rFonts w:ascii="Cambria Math" w:hAnsi="Cambria Math" w:cs="Times New Roman"/>
                <w:i/>
                <w:color w:val="auto"/>
                <w:szCs w:val="21"/>
                <w:highlight w:val="none"/>
              </w:rPr>
            </m:ctrlPr>
          </m:num>
          <m:den>
            <m:nary>
              <m:naryPr>
                <m:chr m:val="∑"/>
                <m:limLoc m:val="undOvr"/>
                <m:ctrlPr>
                  <w:rPr>
                    <w:rFonts w:ascii="Cambria Math" w:hAnsi="Cambria Math" w:cs="Times New Roman"/>
                    <w:i/>
                    <w:color w:val="auto"/>
                    <w:szCs w:val="21"/>
                    <w:highlight w:val="none"/>
                  </w:rPr>
                </m:ctrlPr>
              </m:naryPr>
              <m:sub>
                <m:r>
                  <m:rPr/>
                  <w:rPr>
                    <w:rFonts w:ascii="Cambria Math" w:hAnsi="Cambria Math" w:cs="Times New Roman"/>
                    <w:color w:val="auto"/>
                    <w:szCs w:val="21"/>
                    <w:highlight w:val="none"/>
                  </w:rPr>
                  <m:t>i=1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n</m:t>
                </m:r>
                <m:ctrlPr>
                  <w:rPr>
                    <w:rFonts w:ascii="Cambria Math" w:hAnsi="Cambria Math" w:cs="Times New Roman"/>
                    <w:i/>
                    <w:color w:val="auto"/>
                    <w:szCs w:val="21"/>
                    <w:highlight w:val="none"/>
                  </w:rPr>
                </m:ctrlPr>
              </m:sup>
              <m:e>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i</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E</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spi</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ctrlPr>
                  <w:rPr>
                    <w:rFonts w:ascii="Cambria Math" w:hAnsi="Cambria Math" w:cs="Times New Roman"/>
                    <w:i/>
                    <w:color w:val="auto"/>
                    <w:szCs w:val="21"/>
                    <w:highlight w:val="none"/>
                  </w:rPr>
                </m:ctrlPr>
              </m:e>
            </m:nary>
            <m:r>
              <m:rPr/>
              <w:rPr>
                <w:rFonts w:ascii="Cambria Math" w:hAnsi="Cambria Math" w:cs="Times New Roman"/>
                <w:color w:val="auto"/>
                <w:szCs w:val="21"/>
                <w:highlight w:val="none"/>
              </w:rPr>
              <m:t>+</m:t>
            </m:r>
            <m:nary>
              <m:naryPr>
                <m:chr m:val="∑"/>
                <m:limLoc m:val="undOvr"/>
                <m:ctrlPr>
                  <w:rPr>
                    <w:rFonts w:ascii="Cambria Math" w:hAnsi="Cambria Math" w:cs="Times New Roman"/>
                    <w:i/>
                    <w:color w:val="auto"/>
                    <w:szCs w:val="21"/>
                    <w:highlight w:val="none"/>
                  </w:rPr>
                </m:ctrlPr>
              </m:naryPr>
              <m:sub>
                <m:r>
                  <m:rPr/>
                  <w:rPr>
                    <w:rFonts w:ascii="Cambria Math" w:hAnsi="Cambria Math" w:cs="Times New Roman"/>
                    <w:color w:val="auto"/>
                    <w:szCs w:val="21"/>
                    <w:highlight w:val="none"/>
                  </w:rPr>
                  <m:t>j=1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m</m:t>
                </m:r>
                <m:ctrlPr>
                  <w:rPr>
                    <w:rFonts w:ascii="Cambria Math" w:hAnsi="Cambria Math" w:cs="Times New Roman"/>
                    <w:i/>
                    <w:color w:val="auto"/>
                    <w:szCs w:val="21"/>
                    <w:highlight w:val="none"/>
                  </w:rPr>
                </m:ctrlPr>
              </m:sup>
              <m:e>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j</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E</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sj</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ctrlPr>
                  <w:rPr>
                    <w:rFonts w:ascii="Cambria Math" w:hAnsi="Cambria Math" w:cs="Times New Roman"/>
                    <w:i/>
                    <w:color w:val="auto"/>
                    <w:szCs w:val="21"/>
                    <w:highlight w:val="none"/>
                  </w:rPr>
                </m:ctrlPr>
              </m:e>
            </m:nary>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（29）</w:t>
      </w:r>
    </w:p>
    <w:p w14:paraId="13664CD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205D538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——复合地基加固区第i层土附加应力系数沿土层厚度的积分值；</w:t>
      </w:r>
    </w:p>
    <w:p w14:paraId="023D524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j</w:t>
      </w:r>
      <w:r>
        <w:rPr>
          <w:rFonts w:ascii="Times New Roman" w:hAnsi="Times New Roman" w:eastAsia="宋体" w:cs="Times New Roman"/>
          <w:color w:val="auto"/>
          <w:szCs w:val="21"/>
          <w:highlight w:val="none"/>
        </w:rPr>
        <w:t>——复合地基加固区以下第j层土附加应力系数沿土层厚度的积分值；</w:t>
      </w:r>
    </w:p>
    <w:p w14:paraId="69C226B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spi</w:t>
      </w:r>
      <w:r>
        <w:rPr>
          <w:rFonts w:ascii="Times New Roman" w:hAnsi="Times New Roman" w:eastAsia="宋体" w:cs="Times New Roman"/>
          <w:color w:val="auto"/>
          <w:szCs w:val="21"/>
          <w:highlight w:val="none"/>
        </w:rPr>
        <w:t>——复合地基加固区第i层土的压缩模量（MPa）；</w:t>
      </w:r>
    </w:p>
    <w:p w14:paraId="6FFA069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vertAlign w:val="subscript"/>
        </w:rPr>
        <w:t>sj</w:t>
      </w:r>
      <w:r>
        <w:rPr>
          <w:rFonts w:ascii="Times New Roman" w:hAnsi="Times New Roman" w:eastAsia="宋体" w:cs="Times New Roman"/>
          <w:color w:val="auto"/>
          <w:szCs w:val="21"/>
          <w:highlight w:val="none"/>
        </w:rPr>
        <w:t>——复合地基加固区以下第j层土的压缩模量（MPa）。</w:t>
      </w:r>
    </w:p>
    <w:p w14:paraId="132183F6">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6.4.1.10</w:t>
      </w:r>
      <w:r>
        <w:rPr>
          <w:rFonts w:ascii="Times New Roman" w:hAnsi="Times New Roman" w:eastAsia="宋体" w:cs="Times New Roman"/>
          <w:color w:val="auto"/>
          <w:szCs w:val="21"/>
          <w:highlight w:val="none"/>
        </w:rPr>
        <w:t xml:space="preserve"> 粒料桩处治范围应根据公路等级和地质条件确定，路堤两侧应超过坡脚宽度1～3排桩，地质条件较好处取小值，地质条件差处取大值。粒料桩布置典型横断面示意可参考图1</w:t>
      </w:r>
      <w:r>
        <w:rPr>
          <w:rFonts w:hint="eastAsia" w:ascii="Times New Roman" w:hAnsi="Times New Roman" w:eastAsia="宋体" w:cs="Times New Roman"/>
          <w:color w:val="auto"/>
          <w:szCs w:val="21"/>
          <w:highlight w:val="none"/>
          <w:lang w:val="en-US" w:eastAsia="zh-CN"/>
        </w:rPr>
        <w:t>5</w:t>
      </w:r>
      <w:r>
        <w:rPr>
          <w:rFonts w:ascii="Times New Roman" w:hAnsi="Times New Roman" w:eastAsia="宋体" w:cs="Times New Roman"/>
          <w:color w:val="auto"/>
          <w:szCs w:val="21"/>
          <w:highlight w:val="none"/>
        </w:rPr>
        <w:t>。</w:t>
      </w:r>
    </w:p>
    <w:p w14:paraId="01A445A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5271135" cy="1536065"/>
            <wp:effectExtent l="0" t="0" r="12065" b="635"/>
            <wp:docPr id="26" name="图片 26" descr="C:/Users/22308/Desktop/微信图片_20240806110654.jpg微信图片_2024080611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22308/Desktop/微信图片_20240806110654.jpg微信图片_20240806110654"/>
                    <pic:cNvPicPr>
                      <a:picLocks noChangeAspect="1"/>
                    </pic:cNvPicPr>
                  </pic:nvPicPr>
                  <pic:blipFill>
                    <a:blip r:embed="rId55"/>
                    <a:srcRect l="184" r="184"/>
                    <a:stretch>
                      <a:fillRect/>
                    </a:stretch>
                  </pic:blipFill>
                  <pic:spPr>
                    <a:xfrm>
                      <a:off x="0" y="0"/>
                      <a:ext cx="5271135" cy="1536065"/>
                    </a:xfrm>
                    <a:prstGeom prst="rect">
                      <a:avLst/>
                    </a:prstGeom>
                  </pic:spPr>
                </pic:pic>
              </a:graphicData>
            </a:graphic>
          </wp:inline>
        </w:drawing>
      </w:r>
    </w:p>
    <w:p w14:paraId="73FE883B">
      <w:pPr>
        <w:keepNext/>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图1</w:t>
      </w:r>
      <w:r>
        <w:rPr>
          <w:rFonts w:hint="eastAsia" w:ascii="Times New Roman" w:hAnsi="Times New Roman" w:eastAsia="宋体" w:cs="Times New Roman"/>
          <w:b/>
          <w:color w:val="auto"/>
          <w:szCs w:val="21"/>
          <w:highlight w:val="none"/>
          <w:lang w:val="en-US" w:eastAsia="zh-CN"/>
        </w:rPr>
        <w:t>5</w:t>
      </w:r>
      <w:r>
        <w:rPr>
          <w:rFonts w:ascii="Times New Roman" w:hAnsi="Times New Roman" w:eastAsia="宋体" w:cs="Times New Roman"/>
          <w:b/>
          <w:color w:val="auto"/>
          <w:szCs w:val="21"/>
          <w:highlight w:val="none"/>
        </w:rPr>
        <w:t xml:space="preserve">  粒料桩布置典型横断面示意图</w:t>
      </w:r>
    </w:p>
    <w:p w14:paraId="2FC3C83A">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6.4.1.11 </w:t>
      </w:r>
      <w:r>
        <w:rPr>
          <w:rFonts w:ascii="Times New Roman" w:hAnsi="Times New Roman" w:eastAsia="宋体" w:cs="Times New Roman"/>
          <w:color w:val="auto"/>
          <w:szCs w:val="21"/>
          <w:highlight w:val="none"/>
        </w:rPr>
        <w:t>应在粒料桩桩顶设置一层与粒料桩相连接的排水垫层，根据土质条件和填土高度情况，可考虑在垫层中间或顶部铺设1～2层土工格栅或土工格室等土工合成材料，路堤填高10m以下可铺设1层，填高10m以上可适当增加加筋层数；土工合成材料应具有较高的抗拉强度；垫层材料可采用碎石或砂砾，其厚度宜为60cm，粒料中小于5mm部分的含泥量不宜大于5％，渗透系数宜大于1x10</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cm／s。</w:t>
      </w:r>
    </w:p>
    <w:p w14:paraId="4C63BEB1">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6.4.1.12</w:t>
      </w:r>
      <w:r>
        <w:rPr>
          <w:rFonts w:ascii="Times New Roman" w:hAnsi="Times New Roman" w:eastAsia="宋体" w:cs="Times New Roman"/>
          <w:color w:val="auto"/>
          <w:szCs w:val="21"/>
          <w:highlight w:val="none"/>
        </w:rPr>
        <w:t xml:space="preserve"> 桩料选择应遵循就地取材原则，可采用碎石、</w:t>
      </w:r>
      <w:r>
        <w:rPr>
          <w:rFonts w:hint="eastAsia" w:ascii="Times New Roman" w:hAnsi="Times New Roman" w:eastAsia="宋体" w:cs="Times New Roman"/>
          <w:color w:val="auto"/>
          <w:szCs w:val="21"/>
          <w:highlight w:val="none"/>
          <w:lang w:val="en-US" w:eastAsia="zh-CN"/>
        </w:rPr>
        <w:t>砾</w:t>
      </w:r>
      <w:r>
        <w:rPr>
          <w:rFonts w:ascii="Times New Roman" w:hAnsi="Times New Roman" w:eastAsia="宋体" w:cs="Times New Roman"/>
          <w:color w:val="auto"/>
          <w:szCs w:val="21"/>
          <w:highlight w:val="none"/>
        </w:rPr>
        <w:t>石、砂砾等材料，宜以粒径20mm～80mm硬质岩碎石或卵石为主，其中20mm～50mm粒径质量宜占粒料总质量的50％以上，不宜使用单一粒径桩料，可部分掺砂砾，含泥量不得大于5％，不应选用崩解性泥岩或页岩等软质岩石料作为桩料。</w:t>
      </w:r>
    </w:p>
    <w:p w14:paraId="7A10ACBE">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6.4.1.13</w:t>
      </w:r>
      <w:r>
        <w:rPr>
          <w:rFonts w:ascii="Times New Roman" w:hAnsi="Times New Roman" w:eastAsia="宋体" w:cs="Times New Roman"/>
          <w:color w:val="auto"/>
          <w:szCs w:val="21"/>
          <w:highlight w:val="none"/>
        </w:rPr>
        <w:t xml:space="preserve"> 在计算所需粒料</w:t>
      </w:r>
      <w:r>
        <w:rPr>
          <w:rFonts w:hint="eastAsia" w:ascii="Times New Roman" w:hAnsi="Times New Roman" w:eastAsia="宋体" w:cs="Times New Roman"/>
          <w:color w:val="auto"/>
          <w:szCs w:val="21"/>
          <w:highlight w:val="none"/>
          <w:lang w:val="en-US" w:eastAsia="zh-CN"/>
        </w:rPr>
        <w:t>用</w:t>
      </w:r>
      <w:r>
        <w:rPr>
          <w:rFonts w:ascii="Times New Roman" w:hAnsi="Times New Roman" w:eastAsia="宋体" w:cs="Times New Roman"/>
          <w:color w:val="auto"/>
          <w:szCs w:val="21"/>
          <w:highlight w:val="none"/>
        </w:rPr>
        <w:t>量时，应考虑充盈系数，粒料桩的充盈系数应通过试桩确定，初步设计时，如缺少地方工程实践经验，充盈系数可根据地基土质情况取1.2～1.4。</w:t>
      </w:r>
    </w:p>
    <w:p w14:paraId="6DF0C818">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6.4.1.14</w:t>
      </w:r>
      <w:r>
        <w:rPr>
          <w:rFonts w:ascii="Times New Roman" w:hAnsi="Times New Roman" w:eastAsia="宋体" w:cs="Times New Roman"/>
          <w:color w:val="auto"/>
          <w:szCs w:val="21"/>
          <w:highlight w:val="none"/>
        </w:rPr>
        <w:t xml:space="preserve"> 振冲粒料桩的施工注意事项可参考规范JTG／T D31和规范 JGJ 79相关要求，沉管粒料桩施工应符合下列要求：</w:t>
      </w:r>
    </w:p>
    <w:p w14:paraId="50AAA14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沉管粒料桩可采用振动沉管或锤击沉管等成桩法，临近房屋建筑时，不宜采用锤击成桩法；</w:t>
      </w:r>
    </w:p>
    <w:p w14:paraId="13D39A4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施工前应进行成桩工艺和成桩挤密试验，当成桩质量不满足设计要求时，应进行动态调整相关设计与施工参数；</w:t>
      </w:r>
    </w:p>
    <w:p w14:paraId="6938DC65">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对于黏性土地基，打桩顺序宜从中间向外围或间隔跳打；对于砂土地基，打桩顺序宜从外围或两侧向中间进行；在邻近建筑物或重要设施时，应</w:t>
      </w:r>
      <w:r>
        <w:rPr>
          <w:rFonts w:hint="eastAsia" w:ascii="Times New Roman" w:hAnsi="Times New Roman" w:eastAsia="宋体" w:cs="Times New Roman"/>
          <w:color w:val="auto"/>
          <w:szCs w:val="21"/>
          <w:highlight w:val="none"/>
          <w:lang w:val="en-US" w:eastAsia="zh-CN"/>
        </w:rPr>
        <w:t>按</w:t>
      </w:r>
      <w:r>
        <w:rPr>
          <w:rFonts w:ascii="Times New Roman" w:hAnsi="Times New Roman" w:eastAsia="宋体" w:cs="Times New Roman"/>
          <w:color w:val="auto"/>
          <w:szCs w:val="21"/>
          <w:highlight w:val="none"/>
        </w:rPr>
        <w:t>背离建筑设施方向进行；</w:t>
      </w:r>
    </w:p>
    <w:p w14:paraId="60C30BE0">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成桩时应在套管上画出明显标尺以控制桩长深度，需要留振时，留振时间宜为10s～20s，拔管速度宜控制在1.5m／min～3.0m／min；</w:t>
      </w:r>
    </w:p>
    <w:p w14:paraId="7FADAE5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粒料桩施工后，应将表层的松散层挖除或碾压夯实，然后再铺设砂石垫层。</w:t>
      </w:r>
    </w:p>
    <w:p w14:paraId="35F5BD10">
      <w:pPr>
        <w:spacing w:line="360" w:lineRule="auto"/>
        <w:ind w:firstLine="420" w:firstLineChars="200"/>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4</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1.</w:t>
      </w:r>
      <w:r>
        <w:rPr>
          <w:rFonts w:hint="eastAsia" w:ascii="黑体" w:hAnsi="黑体" w:eastAsia="黑体" w:cs="黑体"/>
          <w:color w:val="auto"/>
          <w:szCs w:val="21"/>
          <w:highlight w:val="none"/>
        </w:rPr>
        <w:t>15</w:t>
      </w:r>
      <w:r>
        <w:rPr>
          <w:rFonts w:ascii="Times New Roman" w:hAnsi="Times New Roman" w:eastAsia="宋体" w:cs="Times New Roman"/>
          <w:color w:val="auto"/>
          <w:szCs w:val="21"/>
          <w:highlight w:val="none"/>
        </w:rPr>
        <w:t xml:space="preserve"> 粒料桩质量检测应符合以下规定：</w:t>
      </w:r>
    </w:p>
    <w:p w14:paraId="45867B3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施工后，应间隔一定时间方可进行质量检测。对淤泥质土、黏土、粉质黏土等黏性土地基质量检测间隔时间</w:t>
      </w:r>
      <w:r>
        <w:rPr>
          <w:rFonts w:hint="eastAsia" w:ascii="Times New Roman" w:hAnsi="Times New Roman" w:eastAsia="宋体" w:cs="Times New Roman"/>
          <w:color w:val="auto"/>
          <w:szCs w:val="21"/>
          <w:highlight w:val="none"/>
          <w:lang w:val="en-US" w:eastAsia="zh-CN"/>
        </w:rPr>
        <w:t>为</w:t>
      </w:r>
      <w:r>
        <w:rPr>
          <w:rFonts w:ascii="Times New Roman" w:hAnsi="Times New Roman" w:eastAsia="宋体" w:cs="Times New Roman"/>
          <w:color w:val="auto"/>
          <w:szCs w:val="21"/>
          <w:highlight w:val="none"/>
        </w:rPr>
        <w:t>28d～30d，对于粉土地基可取21d～28d，对于砂土地基</w:t>
      </w:r>
      <w:r>
        <w:rPr>
          <w:rFonts w:hint="eastAsia" w:ascii="Times New Roman" w:hAnsi="Times New Roman" w:eastAsia="宋体" w:cs="Times New Roman"/>
          <w:color w:val="auto"/>
          <w:szCs w:val="21"/>
          <w:highlight w:val="none"/>
          <w:lang w:val="en-US" w:eastAsia="zh-CN"/>
        </w:rPr>
        <w:t>为</w:t>
      </w:r>
      <w:r>
        <w:rPr>
          <w:rFonts w:ascii="Times New Roman" w:hAnsi="Times New Roman" w:eastAsia="宋体" w:cs="Times New Roman"/>
          <w:color w:val="auto"/>
          <w:szCs w:val="21"/>
          <w:highlight w:val="none"/>
        </w:rPr>
        <w:t>14d～21d；</w:t>
      </w:r>
    </w:p>
    <w:p w14:paraId="11F6B564">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成桩质量检测时，可采用重型动力触探检测桩身长度和密度，抽检频率宜为总桩数的0.5％～2％，要求贯入量10cm时，碎石桩料锤击数不小于5击，砂砾桩料锤击数不小于10击；</w:t>
      </w:r>
    </w:p>
    <w:p w14:paraId="659F84A2">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当需要检验桩间土挤密效果时，可在三角形或矩形中心采用标准贯入试验，静力触探试验、或其他原位试验方法进行检测；</w:t>
      </w:r>
    </w:p>
    <w:p w14:paraId="3F4AAAFE">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竣工验收时，地基承载力检测应采用复合地基静载荷试验为主，抽检频率应为总桩数的0.1％～0.5％，单个路段不应少于3点。当检测桩数较多时，宜同时进行单桩承载力和复合地基承载力检测，必要时可进行多桩复合地基承载力检测。</w:t>
      </w:r>
    </w:p>
    <w:p w14:paraId="31BAA6C5">
      <w:pPr>
        <w:spacing w:line="360" w:lineRule="auto"/>
        <w:rPr>
          <w:rFonts w:hint="eastAsia" w:ascii="黑体" w:hAnsi="黑体" w:eastAsia="黑体" w:cs="黑体"/>
          <w:color w:val="auto"/>
          <w:szCs w:val="21"/>
          <w:highlight w:val="none"/>
          <w:lang w:val="en-US" w:eastAsia="zh-CN"/>
        </w:rPr>
      </w:pPr>
      <w:r>
        <w:rPr>
          <w:rFonts w:hint="eastAsia" w:ascii="黑体" w:hAnsi="黑体" w:eastAsia="黑体" w:cs="黑体"/>
          <w:color w:val="auto"/>
          <w:szCs w:val="21"/>
          <w:highlight w:val="none"/>
          <w:lang w:val="en-US" w:eastAsia="zh-CN"/>
        </w:rPr>
        <w:t>6.4.2 加固土桩法</w:t>
      </w:r>
    </w:p>
    <w:p w14:paraId="2BBB936A">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6.4.2.1</w:t>
      </w:r>
      <w:r>
        <w:rPr>
          <w:rFonts w:ascii="Times New Roman" w:hAnsi="Times New Roman" w:eastAsia="宋体" w:cs="Times New Roman"/>
          <w:color w:val="auto"/>
          <w:szCs w:val="21"/>
          <w:highlight w:val="none"/>
        </w:rPr>
        <w:t xml:space="preserve"> 加固土桩复合地基处理</w:t>
      </w:r>
      <w:r>
        <w:rPr>
          <w:rFonts w:hint="eastAsia" w:ascii="Times New Roman" w:hAnsi="Times New Roman" w:eastAsia="宋体" w:cs="Times New Roman"/>
          <w:color w:val="auto"/>
          <w:szCs w:val="21"/>
          <w:highlight w:val="none"/>
          <w:lang w:val="en-US" w:eastAsia="zh-CN"/>
        </w:rPr>
        <w:t>适用性如下</w:t>
      </w:r>
      <w:r>
        <w:rPr>
          <w:rFonts w:ascii="Times New Roman" w:hAnsi="Times New Roman" w:eastAsia="宋体" w:cs="Times New Roman"/>
          <w:color w:val="auto"/>
          <w:szCs w:val="21"/>
          <w:highlight w:val="none"/>
        </w:rPr>
        <w:t>：</w:t>
      </w:r>
    </w:p>
    <w:p w14:paraId="3F79C12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适用于处理正常固结且十字板剪切强度大于10kPa的淤泥和淤泥质土、粉土、素填土、黏性土以及无流动地下水的饱和松散砂土等地基土层；</w:t>
      </w:r>
    </w:p>
    <w:p w14:paraId="06F67C46">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不适用于含大孤石或障碍物较多且不易清除的杂填土、欠固结的淤泥和淤泥质土及地下水渗流影响成桩质量的土层；</w:t>
      </w:r>
    </w:p>
    <w:p w14:paraId="2CDE460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对有机质含量过高的泥炭土、有机质含量大于10％、PH值小于4的黏性土以及天然含水量大于70％、塑性指数大于25</w:t>
      </w:r>
      <w:r>
        <w:rPr>
          <w:rFonts w:hint="eastAsia" w:ascii="Times New Roman" w:hAnsi="Times New Roman" w:eastAsia="宋体" w:cs="Times New Roman"/>
          <w:color w:val="auto"/>
          <w:szCs w:val="21"/>
          <w:highlight w:val="none"/>
          <w:lang w:val="en-US" w:eastAsia="zh-CN"/>
        </w:rPr>
        <w:t>的软弱土</w:t>
      </w:r>
      <w:r>
        <w:rPr>
          <w:rFonts w:ascii="Times New Roman" w:hAnsi="Times New Roman" w:eastAsia="宋体" w:cs="Times New Roman"/>
          <w:color w:val="auto"/>
          <w:szCs w:val="21"/>
          <w:highlight w:val="none"/>
        </w:rPr>
        <w:t>，处治效果比较差，需通过室内配合比试验和现场试桩试验确定其适用性；</w:t>
      </w:r>
    </w:p>
    <w:p w14:paraId="78152755">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当地基土中含有较多碎石、卵石、块石、树根等大块物质时，使用搅拌桩法会造成施工困难，应慎重选用；</w:t>
      </w:r>
    </w:p>
    <w:p w14:paraId="48C1DD5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对于滨海地区软弱土，水泥搅拌桩应选用抗硫酸盐水泥以提高抗侵蚀性能。</w:t>
      </w:r>
    </w:p>
    <w:p w14:paraId="3874EE59">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6.4.2.2</w:t>
      </w:r>
      <w:r>
        <w:rPr>
          <w:rFonts w:ascii="Times New Roman" w:hAnsi="Times New Roman" w:eastAsia="宋体" w:cs="Times New Roman"/>
          <w:color w:val="auto"/>
          <w:szCs w:val="21"/>
          <w:highlight w:val="none"/>
        </w:rPr>
        <w:t xml:space="preserve"> 加固土桩在勘察设计阶段和施工前期均应进行水泥土配合比试验，并应符合下列规定：</w:t>
      </w:r>
    </w:p>
    <w:p w14:paraId="63AE42D3">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针对拟处理性质最差的软弱土，选择合适的固化剂、外掺剂及其掺量，为设计与施工提供不同龄期、不同配比的强度参数；</w:t>
      </w:r>
    </w:p>
    <w:p w14:paraId="09D8AA11">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固化剂宜选用强度等级在42.5级以上的普通硅酸盐水泥，水泥掺入比为15％～25％，水灰比为0.45～0.55。</w:t>
      </w:r>
    </w:p>
    <w:p w14:paraId="00148DA3">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6.4.2.3</w:t>
      </w:r>
      <w:r>
        <w:rPr>
          <w:rFonts w:ascii="Times New Roman" w:hAnsi="Times New Roman" w:eastAsia="宋体" w:cs="Times New Roman"/>
          <w:color w:val="auto"/>
          <w:szCs w:val="21"/>
          <w:highlight w:val="none"/>
        </w:rPr>
        <w:t xml:space="preserve"> 加固土桩布置典型横断面示意如图1</w:t>
      </w:r>
      <w:r>
        <w:rPr>
          <w:rFonts w:hint="eastAsia" w:ascii="Times New Roman" w:hAnsi="Times New Roman" w:eastAsia="宋体" w:cs="Times New Roman"/>
          <w:color w:val="auto"/>
          <w:szCs w:val="21"/>
          <w:highlight w:val="none"/>
          <w:lang w:val="en-US" w:eastAsia="zh-CN"/>
        </w:rPr>
        <w:t>6</w:t>
      </w:r>
      <w:r>
        <w:rPr>
          <w:rFonts w:hint="eastAsia" w:ascii="Times New Roman" w:hAnsi="Times New Roman" w:eastAsia="宋体" w:cs="Times New Roman"/>
          <w:color w:val="auto"/>
          <w:szCs w:val="21"/>
          <w:highlight w:val="none"/>
        </w:rPr>
        <w:t>所</w:t>
      </w:r>
      <w:r>
        <w:rPr>
          <w:rFonts w:ascii="Times New Roman" w:hAnsi="Times New Roman" w:eastAsia="宋体" w:cs="Times New Roman"/>
          <w:color w:val="auto"/>
          <w:szCs w:val="21"/>
          <w:highlight w:val="none"/>
        </w:rPr>
        <w:t>示，应符合下列规定：</w:t>
      </w:r>
    </w:p>
    <w:p w14:paraId="3C589F5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桩径、桩长及间距应经稳定验算确定并满足工后沉降的要求；</w:t>
      </w:r>
    </w:p>
    <w:p w14:paraId="4BBA361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宜按三角形和矩形布置，桩间距宜为1.0m～1.5m，直径宜为0.5m；</w:t>
      </w:r>
    </w:p>
    <w:p w14:paraId="7536F769">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桩长宜采用4m～10m，最长不宜大于13m。当软弱土层较薄时，桩长应按穿过软弱土层至相对</w:t>
      </w:r>
      <w:r>
        <w:rPr>
          <w:rFonts w:hint="eastAsia" w:ascii="Times New Roman" w:hAnsi="Times New Roman" w:eastAsia="宋体" w:cs="Times New Roman"/>
          <w:color w:val="auto"/>
          <w:szCs w:val="21"/>
          <w:highlight w:val="none"/>
          <w:lang w:val="en-US" w:eastAsia="zh-CN"/>
        </w:rPr>
        <w:t>坚</w:t>
      </w:r>
      <w:r>
        <w:rPr>
          <w:rFonts w:ascii="Times New Roman" w:hAnsi="Times New Roman" w:eastAsia="宋体" w:cs="Times New Roman"/>
          <w:color w:val="auto"/>
          <w:szCs w:val="21"/>
          <w:highlight w:val="none"/>
        </w:rPr>
        <w:t>硬层确定；当软弱土层深厚时，应按沉降与稳定计算确定；以稳定性控制的工程桩长应穿过潜在危险面以下至少2m；</w:t>
      </w:r>
    </w:p>
    <w:p w14:paraId="7EB16B3D">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加固土桩一般布置于路基填土范围内，对地质条件较差、</w:t>
      </w:r>
      <w:r>
        <w:rPr>
          <w:rFonts w:ascii="Times New Roman" w:hAnsi="Times New Roman" w:eastAsia="宋体" w:cs="Times New Roman"/>
          <w:color w:val="auto"/>
          <w:szCs w:val="21"/>
          <w:highlight w:val="none"/>
        </w:rPr>
        <w:t>路堤填高</w:t>
      </w:r>
      <w:r>
        <w:rPr>
          <w:rFonts w:ascii="Times New Roman" w:hAnsi="Times New Roman" w:eastAsia="宋体" w:cs="Times New Roman"/>
          <w:color w:val="auto"/>
          <w:szCs w:val="21"/>
          <w:highlight w:val="none"/>
        </w:rPr>
        <w:t>或有一定横坡时，可考虑在坡脚填土范围外布置1～2排桩。</w:t>
      </w:r>
    </w:p>
    <w:p w14:paraId="7D8925CA">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4</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2</w:t>
      </w:r>
      <w:r>
        <w:rPr>
          <w:rFonts w:hint="eastAsia" w:ascii="黑体" w:hAnsi="黑体" w:eastAsia="黑体" w:cs="黑体"/>
          <w:color w:val="auto"/>
          <w:szCs w:val="21"/>
          <w:highlight w:val="none"/>
        </w:rPr>
        <w:t>.4</w:t>
      </w:r>
      <w:r>
        <w:rPr>
          <w:rFonts w:ascii="Times New Roman" w:hAnsi="Times New Roman" w:eastAsia="宋体" w:cs="Times New Roman"/>
          <w:color w:val="auto"/>
          <w:szCs w:val="21"/>
          <w:highlight w:val="none"/>
        </w:rPr>
        <w:t xml:space="preserve"> 加固土桩顶与路堤底之间应设置厚60cm的垫层，垫层宽度不小于路基宽度，根据土质条件和填土高度情况，可在垫层部位铺设1～2层土工格栅或土工格室等土工合成材料，土工合成材料应具有较高的抗拉强度；垫层材料可采用碎石或砂砾，粒料中小于5mm部分</w:t>
      </w:r>
    </w:p>
    <w:p w14:paraId="7D46483F">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的含泥量不宜大于5％，渗透系数不宜小于1×10</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cm／s。</w:t>
      </w:r>
    </w:p>
    <w:p w14:paraId="6DA7E97D">
      <w:pPr>
        <w:spacing w:line="360" w:lineRule="auto"/>
        <w:rPr>
          <w:rFonts w:ascii="Times New Roman" w:hAnsi="Times New Roman" w:eastAsia="宋体" w:cs="Times New Roman"/>
          <w:color w:val="auto"/>
          <w:szCs w:val="21"/>
          <w:highlight w:val="none"/>
        </w:rPr>
      </w:pPr>
    </w:p>
    <w:p w14:paraId="579845DE">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0" distR="0">
            <wp:extent cx="5063490" cy="1438275"/>
            <wp:effectExtent l="0" t="0" r="3810" b="9525"/>
            <wp:docPr id="414" name="Picture 1" descr="C:/Users/22308/Desktop/2877e437ee7655b277d1a833b9e1c8d.jpg2877e437ee7655b277d1a833b9e1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1" descr="C:/Users/22308/Desktop/2877e437ee7655b277d1a833b9e1c8d.jpg2877e437ee7655b277d1a833b9e1c8d"/>
                    <pic:cNvPicPr>
                      <a:picLocks noChangeAspect="1"/>
                    </pic:cNvPicPr>
                  </pic:nvPicPr>
                  <pic:blipFill>
                    <a:blip r:embed="rId56"/>
                    <a:srcRect t="6" b="6"/>
                    <a:stretch>
                      <a:fillRect/>
                    </a:stretch>
                  </pic:blipFill>
                  <pic:spPr>
                    <a:xfrm>
                      <a:off x="0" y="0"/>
                      <a:ext cx="5063490" cy="1438275"/>
                    </a:xfrm>
                    <a:prstGeom prst="rect">
                      <a:avLst/>
                    </a:prstGeom>
                  </pic:spPr>
                </pic:pic>
              </a:graphicData>
            </a:graphic>
          </wp:inline>
        </w:drawing>
      </w:r>
    </w:p>
    <w:p w14:paraId="1F19451F">
      <w:pPr>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图1</w:t>
      </w:r>
      <w:r>
        <w:rPr>
          <w:rFonts w:hint="eastAsia" w:ascii="Times New Roman" w:hAnsi="Times New Roman" w:eastAsia="宋体" w:cs="Times New Roman"/>
          <w:b/>
          <w:color w:val="auto"/>
          <w:szCs w:val="21"/>
          <w:highlight w:val="none"/>
          <w:lang w:val="en-US" w:eastAsia="zh-CN"/>
        </w:rPr>
        <w:t>6</w:t>
      </w:r>
      <w:r>
        <w:rPr>
          <w:rFonts w:ascii="Times New Roman" w:hAnsi="Times New Roman" w:eastAsia="宋体" w:cs="Times New Roman"/>
          <w:b/>
          <w:color w:val="auto"/>
          <w:szCs w:val="21"/>
          <w:highlight w:val="none"/>
        </w:rPr>
        <w:t xml:space="preserve"> 加固土桩布置典型横断面示意图</w:t>
      </w:r>
    </w:p>
    <w:p w14:paraId="50C83713">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6.4.2.5 </w:t>
      </w:r>
      <w:r>
        <w:rPr>
          <w:rFonts w:ascii="Times New Roman" w:hAnsi="Times New Roman" w:eastAsia="宋体" w:cs="Times New Roman"/>
          <w:color w:val="auto"/>
          <w:szCs w:val="21"/>
          <w:highlight w:val="none"/>
        </w:rPr>
        <w:t>加固土桩的单桩承载力特征值R</w:t>
      </w:r>
      <w:r>
        <w:rPr>
          <w:rFonts w:hint="eastAsia" w:ascii="Times New Roman" w:hAnsi="Times New Roman" w:eastAsia="宋体" w:cs="Times New Roman"/>
          <w:color w:val="auto"/>
          <w:szCs w:val="21"/>
          <w:highlight w:val="none"/>
          <w:lang w:val="en-US" w:eastAsia="zh-CN"/>
        </w:rPr>
        <w:t>a</w:t>
      </w:r>
      <w:r>
        <w:rPr>
          <w:rFonts w:ascii="Times New Roman" w:hAnsi="Times New Roman" w:eastAsia="宋体" w:cs="Times New Roman"/>
          <w:color w:val="auto"/>
          <w:szCs w:val="21"/>
          <w:highlight w:val="none"/>
        </w:rPr>
        <w:t>。应通过现场载荷试验确定，初步设计时可按公式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30</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31</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估算，并取其中较小值：</w:t>
      </w:r>
    </w:p>
    <w:p w14:paraId="1ECDE399">
      <w:pPr>
        <w:spacing w:line="360" w:lineRule="auto"/>
        <w:ind w:firstLine="2940" w:firstLineChars="14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u</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nary>
          <m:naryPr>
            <m:chr m:val="∑"/>
            <m:limLoc m:val="undOvr"/>
            <m:ctrlPr>
              <w:rPr>
                <w:rFonts w:ascii="Cambria Math" w:hAnsi="Cambria Math" w:cs="Times New Roman"/>
                <w:i/>
                <w:color w:val="auto"/>
                <w:szCs w:val="21"/>
                <w:highlight w:val="none"/>
              </w:rPr>
            </m:ctrlPr>
          </m:naryPr>
          <m:sub>
            <m:r>
              <m:rPr/>
              <w:rPr>
                <w:rFonts w:ascii="Cambria Math" w:hAnsi="Cambria Math" w:cs="Times New Roman"/>
                <w:color w:val="auto"/>
                <w:szCs w:val="21"/>
                <w:highlight w:val="none"/>
              </w:rPr>
              <m:t>i=1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n</m:t>
            </m:r>
            <m:ctrlPr>
              <w:rPr>
                <w:rFonts w:ascii="Cambria Math" w:hAnsi="Cambria Math" w:cs="Times New Roman"/>
                <w:i/>
                <w:color w:val="auto"/>
                <w:szCs w:val="21"/>
                <w:highlight w:val="none"/>
              </w:rPr>
            </m:ctrlPr>
          </m:sup>
          <m:e>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si</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e>
        </m:nary>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l</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i</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+α</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30</w:t>
      </w:r>
      <w:r>
        <w:rPr>
          <w:rFonts w:hint="eastAsia" w:ascii="Times New Roman" w:hAnsi="Times New Roman" w:eastAsia="宋体" w:cs="Times New Roman"/>
          <w:color w:val="auto"/>
          <w:szCs w:val="21"/>
          <w:highlight w:val="none"/>
          <w:lang w:eastAsia="zh-CN"/>
        </w:rPr>
        <w:t>）</w:t>
      </w:r>
    </w:p>
    <w:p w14:paraId="60FB849F">
      <w:pPr>
        <w:spacing w:line="360" w:lineRule="auto"/>
        <w:ind w:firstLine="3570" w:firstLineChars="17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≤η</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cu</m:t>
            </m:r>
            <m:ctrlPr>
              <w:rPr>
                <w:rFonts w:ascii="Cambria Math" w:hAnsi="Cambria Math" w:cs="Times New Roman"/>
                <w:i/>
                <w:color w:val="auto"/>
                <w:szCs w:val="21"/>
                <w:highlight w:val="none"/>
              </w:rPr>
            </m:ctrlPr>
          </m:sub>
        </m:sSub>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31</w:t>
      </w:r>
      <w:r>
        <w:rPr>
          <w:rFonts w:hint="eastAsia" w:ascii="Times New Roman" w:hAnsi="Times New Roman" w:eastAsia="宋体" w:cs="Times New Roman"/>
          <w:color w:val="auto"/>
          <w:szCs w:val="21"/>
          <w:highlight w:val="none"/>
          <w:lang w:eastAsia="zh-CN"/>
        </w:rPr>
        <w:t>）</w:t>
      </w:r>
    </w:p>
    <w:p w14:paraId="42B9E7C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1557F72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u</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——桩的周长（m）；</w:t>
      </w:r>
    </w:p>
    <w:p w14:paraId="76C9541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R</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——单桩承载力特征值（kN）；</w:t>
      </w:r>
    </w:p>
    <w:p w14:paraId="1AA2140A">
      <w:pPr>
        <w:spacing w:line="360" w:lineRule="auto"/>
        <w:ind w:left="1050" w:leftChars="200" w:hanging="630" w:hanging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si</w:t>
      </w:r>
      <w:r>
        <w:rPr>
          <w:rFonts w:ascii="Times New Roman" w:hAnsi="Times New Roman" w:eastAsia="宋体" w:cs="Times New Roman"/>
          <w:color w:val="auto"/>
          <w:szCs w:val="21"/>
          <w:highlight w:val="none"/>
        </w:rPr>
        <w:t>——桩周第i层土的侧阻力特征值，淤泥可取4kPa～7kPa，淤泥质土可取6kPa～12kPa，软塑状态的黏性土可取10kPa～15kPa，可塑状态的黏性土可取12kPa～18kPa；</w:t>
      </w:r>
    </w:p>
    <w:p w14:paraId="05B7FD6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l</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——桩长范围内第i层土的厚度（m）；</w:t>
      </w:r>
    </w:p>
    <w:p w14:paraId="0835ED78">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α——桩端天然地基土的承载力折减系数，可取0.4～0.6，承载力高时取低值；</w:t>
      </w:r>
    </w:p>
    <w:p w14:paraId="56413E80">
      <w:pPr>
        <w:spacing w:line="360" w:lineRule="auto"/>
        <w:ind w:left="1050" w:leftChars="200" w:hanging="630" w:hanging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——桩端地基土未经修正的承载力特征值（kPa），可按规范GB 50007的有关规定确定，无经验时可取桩端土的地基承载力特征值；</w:t>
      </w:r>
    </w:p>
    <w:p w14:paraId="7F1F8FD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——为桩的截面积（㎡）；</w:t>
      </w:r>
    </w:p>
    <w:p w14:paraId="4A9F8424">
      <w:pPr>
        <w:spacing w:line="360" w:lineRule="auto"/>
        <w:ind w:firstLine="420" w:firstLineChars="200"/>
        <w:rPr>
          <w:rFonts w:ascii="Times New Roman" w:hAnsi="Times New Roman" w:eastAsia="宋体" w:cs="Times New Roman"/>
          <w:color w:val="auto"/>
          <w:szCs w:val="21"/>
          <w:highlight w:val="none"/>
        </w:rPr>
      </w:pPr>
      <m:oMath>
        <m:r>
          <m:rPr/>
          <w:rPr>
            <w:rFonts w:ascii="Cambria Math" w:hAnsi="Cambria Math" w:cs="Times New Roman"/>
            <w:color w:val="auto"/>
            <w:szCs w:val="21"/>
            <w:highlight w:val="none"/>
          </w:rPr>
          <m:t>η</m:t>
        </m:r>
      </m:oMath>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桩身强度折减系数，粉喷桩可取0.20～0.30，浆喷桩可取0.25～0.33；</w:t>
      </w:r>
    </w:p>
    <w:p w14:paraId="52AAA4EB">
      <w:pPr>
        <w:spacing w:line="360" w:lineRule="auto"/>
        <w:ind w:left="1050" w:leftChars="200" w:hanging="630" w:hanging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cu</w:t>
      </w:r>
      <w:r>
        <w:rPr>
          <w:rFonts w:ascii="Times New Roman" w:hAnsi="Times New Roman" w:eastAsia="宋体" w:cs="Times New Roman"/>
          <w:color w:val="auto"/>
          <w:szCs w:val="21"/>
          <w:highlight w:val="none"/>
        </w:rPr>
        <w:t>——与加固土桩桩身水泥土配合比相同的室内加固土试块（边长70.7mm或50mm的立方体）在标准养护条件下90d 龄期的抗压强度平均值（kPa）。</w:t>
      </w:r>
    </w:p>
    <w:p w14:paraId="155114EB">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6.4.2.6 </w:t>
      </w:r>
      <w:r>
        <w:rPr>
          <w:rFonts w:ascii="Times New Roman" w:hAnsi="Times New Roman" w:eastAsia="宋体" w:cs="Times New Roman"/>
          <w:color w:val="auto"/>
          <w:szCs w:val="21"/>
          <w:highlight w:val="none"/>
        </w:rPr>
        <w:t>复合地基的承载力特征值f</w:t>
      </w:r>
      <w:r>
        <w:rPr>
          <w:rFonts w:ascii="Times New Roman" w:hAnsi="Times New Roman" w:eastAsia="宋体" w:cs="Times New Roman"/>
          <w:color w:val="auto"/>
          <w:szCs w:val="21"/>
          <w:highlight w:val="none"/>
          <w:vertAlign w:val="subscript"/>
        </w:rPr>
        <w:t>spk</w:t>
      </w:r>
      <w:r>
        <w:rPr>
          <w:rFonts w:ascii="Times New Roman" w:hAnsi="Times New Roman" w:eastAsia="宋体" w:cs="Times New Roman"/>
          <w:color w:val="auto"/>
          <w:szCs w:val="21"/>
          <w:highlight w:val="none"/>
        </w:rPr>
        <w:t>应通过现场单桩复合地基或多桩复合地基载荷试验确定，初步设计时可按</w:t>
      </w:r>
      <w:r>
        <w:rPr>
          <w:rFonts w:hint="eastAsia" w:ascii="Times New Roman" w:hAnsi="Times New Roman" w:eastAsia="宋体" w:cs="Times New Roman"/>
          <w:color w:val="auto"/>
          <w:szCs w:val="21"/>
          <w:highlight w:val="none"/>
          <w:lang w:val="en-US" w:eastAsia="zh-CN"/>
        </w:rPr>
        <w:t>公式（32）</w:t>
      </w:r>
      <w:r>
        <w:rPr>
          <w:rFonts w:ascii="Times New Roman" w:hAnsi="Times New Roman" w:eastAsia="宋体" w:cs="Times New Roman"/>
          <w:color w:val="auto"/>
          <w:szCs w:val="21"/>
          <w:highlight w:val="none"/>
        </w:rPr>
        <w:t>估算：</w:t>
      </w:r>
    </w:p>
    <w:p w14:paraId="0124E962">
      <w:pPr>
        <w:spacing w:line="360" w:lineRule="auto"/>
        <w:ind w:firstLine="3150" w:firstLineChars="15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spk</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m:t>
        </m:r>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+β(1−m)</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sk</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..........................................（32）</w:t>
      </w:r>
    </w:p>
    <w:p w14:paraId="3B1AA63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0B849D2C">
      <w:pPr>
        <w:spacing w:line="360" w:lineRule="auto"/>
        <w:ind w:left="1050" w:leftChars="200" w:hanging="630" w:hanging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β——桩间土承载力折减系数；当桩端土未经修正的承载力特征值大于桩周土的承载力特征值的平均值时，可取0.1～0.4，差值大时取低值；当桩端土未经修正的承载力特征值小于或等于桩周土的承载力特征值的平均值时，可取0.5～0.9，差值大时或设置垫层时取高值。</w:t>
      </w:r>
    </w:p>
    <w:p w14:paraId="4E02CDF8">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4</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2</w:t>
      </w:r>
      <w:r>
        <w:rPr>
          <w:rFonts w:hint="eastAsia" w:ascii="黑体" w:hAnsi="黑体" w:eastAsia="黑体" w:cs="黑体"/>
          <w:color w:val="auto"/>
          <w:szCs w:val="21"/>
          <w:highlight w:val="none"/>
        </w:rPr>
        <w:t>.7</w:t>
      </w:r>
      <w:r>
        <w:rPr>
          <w:rFonts w:ascii="Times New Roman" w:hAnsi="Times New Roman" w:eastAsia="宋体" w:cs="Times New Roman"/>
          <w:color w:val="auto"/>
          <w:szCs w:val="21"/>
          <w:highlight w:val="none"/>
        </w:rPr>
        <w:t xml:space="preserve"> 路堤整体稳定性验算可采用圆弧滑动法，加固土桩的抗剪强度可按</w:t>
      </w:r>
      <w:r>
        <w:rPr>
          <w:rFonts w:hint="eastAsia" w:ascii="Times New Roman" w:hAnsi="Times New Roman" w:eastAsia="宋体" w:cs="Times New Roman"/>
          <w:color w:val="auto"/>
          <w:szCs w:val="21"/>
          <w:highlight w:val="none"/>
          <w:lang w:val="en-US" w:eastAsia="zh-CN"/>
        </w:rPr>
        <w:t>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33</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估算：</w:t>
      </w:r>
    </w:p>
    <w:p w14:paraId="67B99D71">
      <w:pPr>
        <w:spacing w:line="360" w:lineRule="auto"/>
        <w:ind w:firstLine="3780" w:firstLineChars="18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=0.3</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u</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33</w:t>
      </w:r>
      <w:r>
        <w:rPr>
          <w:rFonts w:hint="eastAsia" w:ascii="Times New Roman" w:hAnsi="Times New Roman" w:eastAsia="宋体" w:cs="Times New Roman"/>
          <w:color w:val="auto"/>
          <w:szCs w:val="21"/>
          <w:highlight w:val="none"/>
          <w:lang w:eastAsia="zh-CN"/>
        </w:rPr>
        <w:t>）</w:t>
      </w:r>
    </w:p>
    <w:p w14:paraId="05965AA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4FAB08BC">
      <w:pPr>
        <w:spacing w:line="360" w:lineRule="auto"/>
        <w:ind w:left="1050" w:leftChars="200" w:hanging="630" w:hangingChars="3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桩体的抗剪强度（kPa），可钻取试验路段水泥土90d原状试件测无侧限抗压强度，按其一半计算；也可按设计配合比由室内制备的水泥土试件（直径5cm、高度10cm的圆柱体）测得的无侧限抗压强度乘以0.3的折减系数求得；</w:t>
      </w:r>
    </w:p>
    <w:p w14:paraId="0CCD06B7">
      <w:pPr>
        <w:spacing w:line="360" w:lineRule="auto"/>
        <w:ind w:firstLine="420" w:firstLineChars="200"/>
        <w:rPr>
          <w:rFonts w:ascii="Times New Roman" w:hAnsi="Times New Roman"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u</w:t>
      </w:r>
      <w:r>
        <w:rPr>
          <w:rFonts w:ascii="Times New Roman" w:hAnsi="Times New Roman" w:eastAsia="宋体" w:cs="Times New Roman"/>
          <w:color w:val="auto"/>
          <w:szCs w:val="21"/>
          <w:highlight w:val="none"/>
        </w:rPr>
        <w:t>——按室内配合比制备加固土试件90d无侧限抗压强度（kPa）。</w:t>
      </w:r>
    </w:p>
    <w:p w14:paraId="669B9E6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滑动面上的复合地基抗剪强度按</w:t>
      </w:r>
      <w:r>
        <w:rPr>
          <w:rFonts w:hint="eastAsia" w:ascii="Times New Roman" w:hAnsi="Times New Roman" w:eastAsia="宋体" w:cs="Times New Roman"/>
          <w:color w:val="auto"/>
          <w:szCs w:val="21"/>
          <w:highlight w:val="none"/>
          <w:lang w:val="en-US" w:eastAsia="zh-CN"/>
        </w:rPr>
        <w:t>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34</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计算：</w:t>
      </w:r>
    </w:p>
    <w:p w14:paraId="5AC6DFF3">
      <w:pPr>
        <w:spacing w:line="360" w:lineRule="auto"/>
        <w:ind w:firstLine="3570" w:firstLineChars="17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ps</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+(1−m)</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34</w:t>
      </w:r>
      <w:r>
        <w:rPr>
          <w:rFonts w:hint="eastAsia" w:ascii="Times New Roman" w:hAnsi="Times New Roman" w:eastAsia="宋体" w:cs="Times New Roman"/>
          <w:color w:val="auto"/>
          <w:szCs w:val="21"/>
          <w:highlight w:val="none"/>
          <w:lang w:eastAsia="zh-CN"/>
        </w:rPr>
        <w:t>）</w:t>
      </w:r>
    </w:p>
    <w:p w14:paraId="2C2DE5E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2AA0C7D6">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τ</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ps</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——加固土桩复合地基的抗剪强度（kPa）。</w:t>
      </w:r>
    </w:p>
    <w:p w14:paraId="60A4870B">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6.4.2.8 </w:t>
      </w:r>
      <w:r>
        <w:rPr>
          <w:rFonts w:ascii="Times New Roman" w:hAnsi="Times New Roman" w:eastAsia="宋体" w:cs="Times New Roman"/>
          <w:color w:val="auto"/>
          <w:szCs w:val="21"/>
          <w:highlight w:val="none"/>
        </w:rPr>
        <w:t>加固土桩复合地基变形计算方法与粒料桩相同，可按上述公式及相关规定进行计算。</w:t>
      </w:r>
    </w:p>
    <w:p w14:paraId="2A0A215A">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6.4.2.9 </w:t>
      </w:r>
      <w:r>
        <w:rPr>
          <w:rFonts w:ascii="Times New Roman" w:hAnsi="Times New Roman" w:eastAsia="宋体" w:cs="Times New Roman"/>
          <w:color w:val="auto"/>
          <w:szCs w:val="21"/>
          <w:highlight w:val="none"/>
        </w:rPr>
        <w:t>加固土桩施工应符合下列规定：</w:t>
      </w:r>
    </w:p>
    <w:p w14:paraId="022F1F7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加固土桩施工现场事先应予以平整，应清除地表植被和地下孤石、管线等障碍物，遇明浜、池塘及洼地时应抽水和清淤，回填黏性土料并予以压实，不得回填杂填土或生活垃圾；</w:t>
      </w:r>
    </w:p>
    <w:p w14:paraId="307E7C24">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施工前应选择典型路段进行试桩，获取钻进速度、提升速度、搅拌速度、喷浆（粉）压力、单位时间喷浆量、水灰比、添加外加剂等技术参数；</w:t>
      </w:r>
    </w:p>
    <w:p w14:paraId="21A300F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施工机械应安装喷浆（粉）量自动记录装置，并对该装置定期标定，每天检查钻头磨损情况，当直径磨损量大于10mm时，应更换或修补钻头；</w:t>
      </w:r>
    </w:p>
    <w:p w14:paraId="047BA798">
      <w:pPr>
        <w:spacing w:line="360" w:lineRule="auto"/>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浆液应按照成桩试验确定的配合比拌制，制备好的浆液不得离析，放置时间不得超</w:t>
      </w:r>
    </w:p>
    <w:p w14:paraId="31972D56">
      <w:pPr>
        <w:spacing w:line="360" w:lineRule="auto"/>
        <w:ind w:firstLine="840" w:firstLineChars="40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过12h。                                                                    </w:t>
      </w:r>
    </w:p>
    <w:p w14:paraId="7745637E">
      <w:pPr>
        <w:numPr>
          <w:ilvl w:val="0"/>
          <w:numId w:val="0"/>
        </w:numPr>
        <w:spacing w:line="360" w:lineRule="auto"/>
        <w:ind w:left="840" w:leftChars="200" w:hanging="420" w:hanging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e</w:t>
      </w:r>
      <w:r>
        <w:rPr>
          <w:rFonts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 xml:space="preserve"> </w:t>
      </w:r>
      <w:r>
        <w:rPr>
          <w:rFonts w:ascii="Times New Roman" w:hAnsi="Times New Roman" w:eastAsia="宋体" w:cs="Times New Roman"/>
          <w:color w:val="auto"/>
          <w:szCs w:val="21"/>
          <w:highlight w:val="none"/>
        </w:rPr>
        <w:t>预搅下沉至设计加固深度，边喷浆（或粉），边搅拌提升直至预定的停浆（或灰）</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面，重复搅拌下沉至设计加固深度，根据设计要求，喷浆（或粉）或仅搅拌提升直至预定的停浆（或灰）面。在预（复）搅下沉时，也可采用喷浆（或粉）的施工工艺，确保全桩长上下至少再重复搅拌一次；对地基土进行干法咬合加固时，如复搅困难，可采用慢速搅拌，保证搅拌的均匀性；</w:t>
      </w:r>
    </w:p>
    <w:p w14:paraId="38708C0D">
      <w:pPr>
        <w:numPr>
          <w:ilvl w:val="0"/>
          <w:numId w:val="0"/>
        </w:numPr>
        <w:spacing w:line="360" w:lineRule="auto"/>
        <w:ind w:left="840" w:leftChars="200" w:hanging="420" w:hanging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f</w:t>
      </w:r>
      <w:r>
        <w:rPr>
          <w:rFonts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 xml:space="preserve"> </w:t>
      </w:r>
      <w:r>
        <w:rPr>
          <w:rFonts w:ascii="Times New Roman" w:hAnsi="Times New Roman" w:eastAsia="宋体" w:cs="Times New Roman"/>
          <w:color w:val="auto"/>
          <w:szCs w:val="21"/>
          <w:highlight w:val="none"/>
        </w:rPr>
        <w:t>提升钻杆、喷浆搅拌时，应使钻头反向边旋转、边喷浆、边提升，提升速度宜控制</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在0.5m／min～0.8m／min。当钻头提升至距离地面1m时，宜用慢速提升，钻头转速控制在30r／min；当喷浆口即将出地面时，应停止提升，搅拌10s～20s，保证桩头搅拌均匀；</w:t>
      </w:r>
    </w:p>
    <w:p w14:paraId="6B48B0A0">
      <w:pPr>
        <w:numPr>
          <w:ilvl w:val="0"/>
          <w:numId w:val="0"/>
        </w:numPr>
        <w:spacing w:line="360" w:lineRule="auto"/>
        <w:ind w:left="840" w:leftChars="200" w:hanging="420" w:hangingChars="20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 xml:space="preserve">g） </w:t>
      </w:r>
      <w:r>
        <w:rPr>
          <w:rFonts w:ascii="Times New Roman" w:hAnsi="Times New Roman" w:eastAsia="宋体" w:cs="Times New Roman"/>
          <w:color w:val="auto"/>
          <w:szCs w:val="21"/>
          <w:highlight w:val="none"/>
        </w:rPr>
        <w:t>应随时记录喷浆压力、喷浆量、钻进速度、提升速度等有关参数的变化。当发现喷</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浆量不足时，应整桩复打。当施工中因故停浆时，应使搅拌头下沉至停浆面以下0.5m重叠接桩，接桩长度不少于0.5m，当停机超过3h时，应拆卸输浆管路，清洗后方可继续施工，防止浆液硬结堵管，在原桩位旁边进行补桩处理</w:t>
      </w:r>
      <w:r>
        <w:rPr>
          <w:rFonts w:hint="eastAsia" w:ascii="Times New Roman" w:hAnsi="Times New Roman" w:eastAsia="宋体" w:cs="Times New Roman"/>
          <w:color w:val="auto"/>
          <w:szCs w:val="21"/>
          <w:highlight w:val="none"/>
          <w:lang w:eastAsia="zh-CN"/>
        </w:rPr>
        <w:t>。</w:t>
      </w:r>
    </w:p>
    <w:p w14:paraId="0B90B864">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4</w:t>
      </w: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2</w:t>
      </w:r>
      <w:r>
        <w:rPr>
          <w:rFonts w:hint="eastAsia" w:ascii="黑体" w:hAnsi="黑体" w:eastAsia="黑体" w:cs="黑体"/>
          <w:color w:val="auto"/>
          <w:szCs w:val="21"/>
          <w:highlight w:val="none"/>
        </w:rPr>
        <w:t>.10</w:t>
      </w:r>
      <w:r>
        <w:rPr>
          <w:rFonts w:ascii="Times New Roman" w:hAnsi="Times New Roman" w:eastAsia="宋体" w:cs="Times New Roman"/>
          <w:color w:val="auto"/>
          <w:szCs w:val="21"/>
          <w:highlight w:val="none"/>
        </w:rPr>
        <w:t xml:space="preserve"> 加固土桩质量检测应符合以下规定：</w:t>
      </w:r>
    </w:p>
    <w:p w14:paraId="5E844EBD">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成桩3d内，用标准轻型动力触探（N</w:t>
      </w:r>
      <w:r>
        <w:rPr>
          <w:rFonts w:ascii="Times New Roman" w:hAnsi="Times New Roman" w:eastAsia="宋体" w:cs="Times New Roman"/>
          <w:color w:val="auto"/>
          <w:szCs w:val="21"/>
          <w:highlight w:val="none"/>
          <w:vertAlign w:val="subscript"/>
        </w:rPr>
        <w:t>10</w:t>
      </w:r>
      <w:r>
        <w:rPr>
          <w:rFonts w:ascii="Times New Roman" w:hAnsi="Times New Roman" w:eastAsia="宋体" w:cs="Times New Roman"/>
          <w:color w:val="auto"/>
          <w:szCs w:val="21"/>
          <w:highlight w:val="none"/>
        </w:rPr>
        <w:t>）检查每米桩身的均匀性，检查频率为每段落内总桩数的1％，且不少于3根；</w:t>
      </w:r>
    </w:p>
    <w:p w14:paraId="0081738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成桩7d后，采用浅层开挖、目测检查桩体搅拌均匀性、整体性及外观质量，并测量成桩直径，开挖深度为停浆面以下1.5m处，检查频率为每段落总桩数的1％～5％；</w:t>
      </w:r>
    </w:p>
    <w:p w14:paraId="252C6419">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成桩28d后，进行钻探取芯做无侧限抗压强度试验，并检查水泥土搅拌均匀性、桩长及桩底是否穿过软弱土层，抽检频率不小于每段落总桩数的0.5％，且不少于3根桩。在取样桩的桩顶、桩中间及桩底各取1个试件，室内加工成50mm×100mm的圆柱体，进行无侧限抗压强度试验，强度值应达到设计要求；</w:t>
      </w:r>
    </w:p>
    <w:p w14:paraId="7682D205">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成桩28d后，对单桩承载力及复合地基承载力进行检测。检测频率不小于每段总桩数的0.1％，且不少于3根，测定的承载力应达到设计要求。</w:t>
      </w:r>
    </w:p>
    <w:p w14:paraId="46210862">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6.4.2.11</w:t>
      </w:r>
      <w:r>
        <w:rPr>
          <w:rFonts w:hint="eastAsia" w:ascii="Times New Roman" w:hAnsi="Times New Roman" w:eastAsia="宋体" w:cs="Times New Roman"/>
          <w:color w:val="auto"/>
          <w:szCs w:val="21"/>
          <w:highlight w:val="none"/>
        </w:rPr>
        <w:t>路肩到边坡坡脚范围内填方路堤对地基的附加应力呈渐变规律，越接近坡脚处附加应力越小，相应的路基沉降也越小，仅为路基中心沉降量</w:t>
      </w:r>
      <w:r>
        <w:rPr>
          <w:rFonts w:hint="eastAsia" w:ascii="Times New Roman" w:hAnsi="Times New Roman" w:eastAsia="宋体" w:cs="Times New Roman"/>
          <w:color w:val="auto"/>
          <w:szCs w:val="21"/>
          <w:highlight w:val="none"/>
          <w:lang w:val="en-US" w:eastAsia="zh-CN"/>
        </w:rPr>
        <w:t>的</w:t>
      </w:r>
      <w:r>
        <w:rPr>
          <w:rFonts w:hint="eastAsia" w:ascii="Times New Roman" w:hAnsi="Times New Roman" w:eastAsia="宋体" w:cs="Times New Roman"/>
          <w:color w:val="auto"/>
          <w:szCs w:val="21"/>
          <w:highlight w:val="none"/>
        </w:rPr>
        <w:t>0.4</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0.7%，因此，在该范围内采用水泥搅拌桩加固地基时，水泥桩间距可大于路基宽度范围内的桩间距。水泥搅拌桩平面布置方案如下：</w:t>
      </w:r>
    </w:p>
    <w:p w14:paraId="6DEAB4CC">
      <w:pPr>
        <w:numPr>
          <w:ilvl w:val="0"/>
          <w:numId w:val="4"/>
        </w:num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一般情况下</w:t>
      </w:r>
      <w:r>
        <w:rPr>
          <w:rFonts w:hint="eastAsia" w:ascii="Times New Roman" w:hAnsi="Times New Roman" w:eastAsia="宋体" w:cs="Times New Roman"/>
          <w:color w:val="auto"/>
          <w:szCs w:val="21"/>
          <w:highlight w:val="none"/>
        </w:rPr>
        <w:t>坡脚外侧水泥搅拌桩</w:t>
      </w:r>
      <w:r>
        <w:rPr>
          <w:rFonts w:hint="eastAsia" w:ascii="Times New Roman" w:hAnsi="Times New Roman" w:eastAsia="宋体" w:cs="Times New Roman"/>
          <w:color w:val="auto"/>
          <w:szCs w:val="21"/>
          <w:highlight w:val="none"/>
          <w:lang w:val="en-US" w:eastAsia="zh-CN"/>
        </w:rPr>
        <w:t>可不设置</w:t>
      </w:r>
      <w:r>
        <w:rPr>
          <w:rFonts w:hint="eastAsia" w:ascii="Times New Roman" w:hAnsi="Times New Roman" w:eastAsia="宋体" w:cs="Times New Roman"/>
          <w:color w:val="auto"/>
          <w:szCs w:val="21"/>
          <w:highlight w:val="none"/>
        </w:rPr>
        <w:t>。</w:t>
      </w:r>
    </w:p>
    <w:p w14:paraId="20541120">
      <w:pPr>
        <w:numPr>
          <w:ilvl w:val="0"/>
          <w:numId w:val="0"/>
        </w:numPr>
        <w:spacing w:line="360" w:lineRule="auto"/>
        <w:ind w:left="840" w:leftChars="200" w:hanging="420" w:hanging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b</w:t>
      </w:r>
      <w:r>
        <w:rPr>
          <w:rFonts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普通路基段</w:t>
      </w:r>
      <w:r>
        <w:rPr>
          <w:rFonts w:hint="eastAsia" w:ascii="Times New Roman" w:hAnsi="Times New Roman" w:eastAsia="宋体" w:cs="Times New Roman"/>
          <w:color w:val="auto"/>
          <w:szCs w:val="21"/>
          <w:highlight w:val="none"/>
          <w:lang w:val="en-US" w:eastAsia="zh-CN"/>
        </w:rPr>
        <w:t>设置</w:t>
      </w:r>
      <w:r>
        <w:rPr>
          <w:rFonts w:hint="eastAsia" w:ascii="Times New Roman" w:hAnsi="Times New Roman" w:eastAsia="宋体" w:cs="Times New Roman"/>
          <w:color w:val="auto"/>
          <w:szCs w:val="21"/>
          <w:highlight w:val="none"/>
        </w:rPr>
        <w:t>水泥搅拌桩加固地基</w:t>
      </w:r>
      <w:r>
        <w:rPr>
          <w:rFonts w:hint="eastAsia" w:ascii="Times New Roman" w:hAnsi="Times New Roman" w:eastAsia="宋体" w:cs="Times New Roman"/>
          <w:color w:val="auto"/>
          <w:szCs w:val="21"/>
          <w:highlight w:val="none"/>
          <w:lang w:val="en-US" w:eastAsia="zh-CN"/>
        </w:rPr>
        <w:t>时</w:t>
      </w:r>
      <w:r>
        <w:rPr>
          <w:rFonts w:hint="eastAsia" w:ascii="Times New Roman" w:hAnsi="Times New Roman" w:eastAsia="宋体" w:cs="Times New Roman"/>
          <w:color w:val="auto"/>
          <w:szCs w:val="21"/>
          <w:highlight w:val="none"/>
        </w:rPr>
        <w:t>，当路基填土高度小于6m时，路基宽度范围内桩间距采用1.8m，路肩到坡脚范围内桩间距采用1.8m，采用四边形布置。</w:t>
      </w:r>
    </w:p>
    <w:p w14:paraId="767388A7">
      <w:pPr>
        <w:spacing w:line="360" w:lineRule="auto"/>
        <w:ind w:left="840" w:leftChars="200" w:hanging="420" w:hanging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普通路基段采用水泥搅拌桩加固地基，当路基填土高度大于6m时，路基宽度范围内桩间距采用1.5m，路肩到坡脚范围内桩间距采用1.8m，采用四边形布置。</w:t>
      </w:r>
    </w:p>
    <w:p w14:paraId="5043BDE3">
      <w:pPr>
        <w:spacing w:line="360" w:lineRule="auto"/>
        <w:ind w:left="840" w:leftChars="200" w:hanging="420" w:hangingChars="20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桥头路段采用水泥搅拌桩加固地基时，路基宽度范围内桩间距采用1.3m，路肩到坡脚范围内桩间距采用1.5m，采用三角形布置。</w:t>
      </w:r>
    </w:p>
    <w:p w14:paraId="0B0BC139">
      <w:pPr>
        <w:spacing w:line="360" w:lineRule="auto"/>
        <w:ind w:left="840" w:leftChars="200" w:hanging="420" w:hangingChars="20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桥头过</w:t>
      </w:r>
      <w:r>
        <w:rPr>
          <w:rFonts w:hint="eastAsia" w:ascii="Times New Roman" w:hAnsi="Times New Roman" w:eastAsia="宋体" w:cs="Times New Roman"/>
          <w:color w:val="auto"/>
          <w:szCs w:val="21"/>
          <w:highlight w:val="none"/>
          <w:lang w:val="en-US" w:eastAsia="zh-CN"/>
        </w:rPr>
        <w:t>渡</w:t>
      </w:r>
      <w:r>
        <w:rPr>
          <w:rFonts w:hint="eastAsia" w:ascii="Times New Roman" w:hAnsi="Times New Roman" w:eastAsia="宋体" w:cs="Times New Roman"/>
          <w:color w:val="auto"/>
          <w:szCs w:val="21"/>
          <w:highlight w:val="none"/>
        </w:rPr>
        <w:t>段采用水泥搅拌桩加固地基时，路基宽度范围内桩间距采用1.5m，路肩到坡脚范围内桩间距采用1.8m，采用三角形布置。</w:t>
      </w:r>
    </w:p>
    <w:p w14:paraId="25E5C6B9">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f）</w:t>
      </w:r>
      <w:r>
        <w:rPr>
          <w:rFonts w:hint="eastAsia" w:ascii="Times New Roman" w:hAnsi="Times New Roman" w:eastAsia="宋体" w:cs="Times New Roman"/>
          <w:color w:val="auto"/>
          <w:szCs w:val="21"/>
          <w:highlight w:val="none"/>
          <w:lang w:val="en-US" w:eastAsia="zh-CN"/>
        </w:rPr>
        <w:t xml:space="preserve"> </w:t>
      </w:r>
      <w:r>
        <w:rPr>
          <w:rFonts w:hint="eastAsia" w:ascii="Times New Roman" w:hAnsi="Times New Roman" w:eastAsia="宋体" w:cs="Times New Roman"/>
          <w:color w:val="auto"/>
          <w:szCs w:val="21"/>
          <w:highlight w:val="none"/>
        </w:rPr>
        <w:t>涵洞底部采用水泥搅拌桩加固地基时，桩间距采用1.5m，采用四边形布置。</w:t>
      </w:r>
    </w:p>
    <w:p w14:paraId="21B478AC">
      <w:pPr>
        <w:spacing w:line="360" w:lineRule="auto"/>
        <w:jc w:val="center"/>
        <w:rPr>
          <w:rFonts w:ascii="Times New Roman" w:hAnsi="Times New Roman" w:eastAsia="宋体" w:cs="Times New Roman"/>
          <w:color w:val="auto"/>
          <w:szCs w:val="21"/>
          <w:highlight w:val="none"/>
        </w:rPr>
      </w:pPr>
      <w:r>
        <w:rPr>
          <w:color w:val="auto"/>
          <w:highlight w:val="none"/>
        </w:rPr>
        <w:drawing>
          <wp:inline distT="0" distB="0" distL="0" distR="0">
            <wp:extent cx="4904105" cy="1202055"/>
            <wp:effectExtent l="0" t="0" r="3175" b="1905"/>
            <wp:docPr id="36" name="图片 36" descr="C:/Users/22308/Desktop/685f5247e254ed367e570ebc9c4cc37.jpg685f5247e254ed367e570ebc9c4c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22308/Desktop/685f5247e254ed367e570ebc9c4cc37.jpg685f5247e254ed367e570ebc9c4cc37"/>
                    <pic:cNvPicPr>
                      <a:picLocks noChangeAspect="1"/>
                    </pic:cNvPicPr>
                  </pic:nvPicPr>
                  <pic:blipFill>
                    <a:blip r:embed="rId57"/>
                    <a:srcRect t="6" b="6"/>
                    <a:stretch>
                      <a:fillRect/>
                    </a:stretch>
                  </pic:blipFill>
                  <pic:spPr>
                    <a:xfrm>
                      <a:off x="0" y="0"/>
                      <a:ext cx="4904105" cy="1202055"/>
                    </a:xfrm>
                    <a:prstGeom prst="rect">
                      <a:avLst/>
                    </a:prstGeom>
                  </pic:spPr>
                </pic:pic>
              </a:graphicData>
            </a:graphic>
          </wp:inline>
        </w:drawing>
      </w:r>
    </w:p>
    <w:p w14:paraId="28356804">
      <w:pPr>
        <w:keepNext/>
        <w:spacing w:after="156" w:afterLines="50"/>
        <w:jc w:val="center"/>
        <w:rPr>
          <w:rFonts w:ascii="Times New Roman" w:hAnsi="Times New Roman" w:eastAsia="宋体" w:cs="Times New Roman"/>
          <w:color w:val="auto"/>
          <w:szCs w:val="21"/>
          <w:highlight w:val="none"/>
        </w:rPr>
      </w:pPr>
      <w:r>
        <w:rPr>
          <w:rFonts w:hint="eastAsia" w:ascii="Times New Roman" w:hAnsi="Times New Roman" w:eastAsia="宋体" w:cs="Times New Roman"/>
          <w:b/>
          <w:color w:val="auto"/>
          <w:szCs w:val="21"/>
          <w:highlight w:val="none"/>
        </w:rPr>
        <w:t>图1</w:t>
      </w:r>
      <w:r>
        <w:rPr>
          <w:rFonts w:hint="eastAsia" w:ascii="Times New Roman" w:hAnsi="Times New Roman" w:eastAsia="宋体" w:cs="Times New Roman"/>
          <w:b/>
          <w:color w:val="auto"/>
          <w:szCs w:val="21"/>
          <w:highlight w:val="none"/>
          <w:lang w:val="en-US" w:eastAsia="zh-CN"/>
        </w:rPr>
        <w:t>7</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 xml:space="preserve"> </w:t>
      </w:r>
      <w:r>
        <w:rPr>
          <w:rFonts w:hint="eastAsia" w:ascii="Times New Roman" w:hAnsi="Times New Roman" w:eastAsia="宋体" w:cs="Times New Roman"/>
          <w:b/>
          <w:color w:val="auto"/>
          <w:szCs w:val="21"/>
          <w:highlight w:val="none"/>
        </w:rPr>
        <w:t>桥头</w:t>
      </w:r>
      <w:r>
        <w:rPr>
          <w:rFonts w:hint="eastAsia" w:ascii="Times New Roman" w:hAnsi="Times New Roman" w:eastAsia="宋体" w:cs="Times New Roman"/>
          <w:b/>
          <w:color w:val="auto"/>
          <w:szCs w:val="21"/>
          <w:highlight w:val="none"/>
          <w:lang w:val="en-US" w:eastAsia="zh-CN"/>
        </w:rPr>
        <w:t>路</w:t>
      </w:r>
      <w:r>
        <w:rPr>
          <w:rFonts w:hint="eastAsia" w:ascii="Times New Roman" w:hAnsi="Times New Roman" w:eastAsia="宋体" w:cs="Times New Roman"/>
          <w:b/>
          <w:color w:val="auto"/>
          <w:szCs w:val="21"/>
          <w:highlight w:val="none"/>
        </w:rPr>
        <w:t>段方案布置</w:t>
      </w:r>
    </w:p>
    <w:p w14:paraId="4AF33BA5">
      <w:pPr>
        <w:spacing w:line="360" w:lineRule="auto"/>
        <w:rPr>
          <w:rFonts w:hint="eastAsia" w:ascii="黑体" w:hAnsi="黑体" w:eastAsia="黑体" w:cs="黑体"/>
          <w:color w:val="auto"/>
          <w:szCs w:val="21"/>
          <w:highlight w:val="none"/>
          <w:lang w:val="en-US" w:eastAsia="zh-CN"/>
        </w:rPr>
      </w:pPr>
      <w:r>
        <w:rPr>
          <w:rFonts w:hint="eastAsia" w:ascii="黑体" w:hAnsi="黑体" w:eastAsia="黑体" w:cs="黑体"/>
          <w:color w:val="auto"/>
          <w:szCs w:val="21"/>
          <w:highlight w:val="none"/>
          <w:lang w:val="en-US" w:eastAsia="zh-CN"/>
        </w:rPr>
        <w:t>6.4.3 刚性桩法</w:t>
      </w:r>
    </w:p>
    <w:p w14:paraId="01601579">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6.4.3.1</w:t>
      </w:r>
      <w:r>
        <w:rPr>
          <w:rFonts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rPr>
        <w:t>刚性桩适用于处理深厚软土地基上荷载较大，变形要求较严格的高路堤段、桥头或通道与路堤衔接段。</w:t>
      </w:r>
    </w:p>
    <w:p w14:paraId="483931D7">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6.4.3.2</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刚性桩可选用强度较高的素混凝土桩、水泥粉煤灰碎石桩（CFG桩）和高强度的预应力混凝土管桩（PHC）、预应力混凝土薄壁管桩（PTC）、预制混凝土桩、钻孔灌注桩、现浇混凝土大直径管桩（PCC桩）等。</w:t>
      </w:r>
    </w:p>
    <w:p w14:paraId="6AC70F6A">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6.4.3.3</w:t>
      </w:r>
      <w:r>
        <w:rPr>
          <w:rFonts w:ascii="Times New Roman" w:hAnsi="Times New Roman" w:eastAsia="宋体" w:cs="Times New Roman"/>
          <w:color w:val="auto"/>
          <w:szCs w:val="21"/>
          <w:highlight w:val="none"/>
        </w:rPr>
        <w:t xml:space="preserve"> 刚性桩复合地基处理的适用条件应符合下列规定：</w:t>
      </w:r>
    </w:p>
    <w:p w14:paraId="7456D5FF">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适用于处理性质较差的深厚软弱土，桩端持力层宜为坚硬的黏土层、密实砂砾层、全风化～中风化基岩等；</w:t>
      </w:r>
    </w:p>
    <w:p w14:paraId="4DECFEE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在使用素混凝土桩和预应力管桩时，应加强岩、土、水对桩体的腐蚀性评价；</w:t>
      </w:r>
    </w:p>
    <w:p w14:paraId="7F1A4E7C">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适用于桥头、通道、涵洞、挡墙等构筑物地基处理或与路堤过渡路段的衔接部位，以减少沉降；</w:t>
      </w:r>
    </w:p>
    <w:p w14:paraId="11029BF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适用于公路改扩建工程的路基拓宽路段，控制新旧路基之间的差异沉降；</w:t>
      </w:r>
    </w:p>
    <w:p w14:paraId="4D41C5B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适用于高填方路段，以控制稳定与沉降变形；</w:t>
      </w:r>
    </w:p>
    <w:p w14:paraId="2B0D5AD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不适用于地层中存在较多孤石、旧基础、管线等地下障碍物的环境；</w:t>
      </w:r>
    </w:p>
    <w:p w14:paraId="3DD364A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g）</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不宜选用或慎用坚硬的夹层作为桩端持力层；</w:t>
      </w:r>
    </w:p>
    <w:p w14:paraId="21BC5C82">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预应力管桩在石灰岩地区基岩面起伏较大的地方应慎用，由于石芽、沟槽发育，桩长难以控制，且桩身易发生倾斜和折断，稳定性较差。</w:t>
      </w:r>
    </w:p>
    <w:p w14:paraId="16FCAAEF">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6.4.3.4 </w:t>
      </w:r>
      <w:r>
        <w:rPr>
          <w:rFonts w:ascii="Times New Roman" w:hAnsi="Times New Roman" w:eastAsia="宋体" w:cs="Times New Roman"/>
          <w:color w:val="auto"/>
          <w:szCs w:val="21"/>
          <w:highlight w:val="none"/>
        </w:rPr>
        <w:t>刚</w:t>
      </w:r>
      <w:r>
        <w:rPr>
          <w:rFonts w:ascii="Times New Roman" w:hAnsi="Times New Roman" w:eastAsia="宋体" w:cs="Times New Roman"/>
          <w:color w:val="auto"/>
          <w:szCs w:val="21"/>
          <w:highlight w:val="none"/>
        </w:rPr>
        <w:t>性桩布置典型横断面如图1</w:t>
      </w:r>
      <w:r>
        <w:rPr>
          <w:rFonts w:hint="eastAsia" w:ascii="Times New Roman" w:hAnsi="Times New Roman" w:eastAsia="宋体" w:cs="Times New Roman"/>
          <w:color w:val="auto"/>
          <w:szCs w:val="21"/>
          <w:highlight w:val="none"/>
          <w:lang w:val="en-US" w:eastAsia="zh-CN"/>
        </w:rPr>
        <w:t>8</w:t>
      </w:r>
      <w:r>
        <w:rPr>
          <w:rFonts w:ascii="Times New Roman" w:hAnsi="Times New Roman" w:eastAsia="宋体" w:cs="Times New Roman"/>
          <w:color w:val="auto"/>
          <w:szCs w:val="21"/>
          <w:highlight w:val="none"/>
        </w:rPr>
        <w:t>所示，应符合下列规定：</w:t>
      </w:r>
    </w:p>
    <w:p w14:paraId="003CA2C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桩径、深度及间距应经稳定验算确定并满足工后沉降的要求；</w:t>
      </w:r>
    </w:p>
    <w:p w14:paraId="650E389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素混凝土桩宜按三角形和矩形布置，桩间距宜为1.0m～1.8m，桩径宜取0.5m；</w:t>
      </w:r>
    </w:p>
    <w:p w14:paraId="082A9316">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预应力管桩宜设置桩帽，按三角形和矩形布置，桩间距宜为1.5m～2.5m，桩径宜取0.4m～0.6m;</w:t>
      </w:r>
      <w:r>
        <w:rPr>
          <w:rFonts w:ascii="Times New Roman" w:hAnsi="Times New Roman" w:eastAsia="宋体" w:cs="Times New Roman"/>
          <w:color w:val="auto"/>
          <w:szCs w:val="21"/>
          <w:highlight w:val="none"/>
        </w:rPr>
        <w:tab/>
      </w:r>
    </w:p>
    <w:p w14:paraId="72B8CA73">
      <w:pPr>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d)  </w:t>
      </w:r>
      <w:r>
        <w:rPr>
          <w:rFonts w:ascii="Times New Roman" w:hAnsi="Times New Roman" w:eastAsia="宋体" w:cs="Times New Roman"/>
          <w:color w:val="auto"/>
          <w:szCs w:val="21"/>
          <w:highlight w:val="none"/>
        </w:rPr>
        <w:t>素混凝土桩桩长宜采用4m～15m，最长不宜大于20m；预应力管桩长度宜采用10m～25m，最长不宜超过30m；</w:t>
      </w:r>
    </w:p>
    <w:p w14:paraId="407D403C">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e）</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当软弱土层较薄时，桩长应按穿过软弱土层至相对</w:t>
      </w:r>
      <w:r>
        <w:rPr>
          <w:rFonts w:hint="eastAsia" w:ascii="Times New Roman" w:hAnsi="Times New Roman" w:eastAsia="宋体" w:cs="Times New Roman"/>
          <w:color w:val="auto"/>
          <w:szCs w:val="21"/>
          <w:highlight w:val="none"/>
          <w:lang w:val="en-US" w:eastAsia="zh-CN"/>
        </w:rPr>
        <w:t>坚</w:t>
      </w:r>
      <w:r>
        <w:rPr>
          <w:rFonts w:ascii="Times New Roman" w:hAnsi="Times New Roman" w:eastAsia="宋体" w:cs="Times New Roman"/>
          <w:color w:val="auto"/>
          <w:szCs w:val="21"/>
          <w:highlight w:val="none"/>
        </w:rPr>
        <w:t>硬层确定；当软弱土层深厚时，应按沉降与稳定计算确定；以稳定性控制的桩长应穿过潜在危险面以下至少1m～4m；</w:t>
      </w:r>
    </w:p>
    <w:p w14:paraId="557F7E59">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刚性桩一般布置于路基填土范围内，对地质条件较差、</w:t>
      </w:r>
      <w:r>
        <w:rPr>
          <w:rFonts w:ascii="Times New Roman" w:hAnsi="Times New Roman" w:eastAsia="宋体" w:cs="Times New Roman"/>
          <w:color w:val="auto"/>
          <w:szCs w:val="21"/>
          <w:highlight w:val="none"/>
        </w:rPr>
        <w:t>路堤填高</w:t>
      </w:r>
      <w:r>
        <w:rPr>
          <w:rFonts w:ascii="Times New Roman" w:hAnsi="Times New Roman" w:eastAsia="宋体" w:cs="Times New Roman"/>
          <w:color w:val="auto"/>
          <w:szCs w:val="21"/>
          <w:highlight w:val="none"/>
        </w:rPr>
        <w:t>或有一定横坡时，可考虑在坡脚填土范围外布置1～2排桩。</w:t>
      </w:r>
    </w:p>
    <w:p w14:paraId="18A5B9F2">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6.4.3.5</w:t>
      </w:r>
      <w:r>
        <w:rPr>
          <w:rFonts w:ascii="Times New Roman" w:hAnsi="Times New Roman" w:eastAsia="宋体" w:cs="Times New Roman"/>
          <w:color w:val="auto"/>
          <w:szCs w:val="21"/>
          <w:highlight w:val="none"/>
        </w:rPr>
        <w:t xml:space="preserve"> 预应力管桩和预制混凝土桩等高强度的刚性桩宜设置桩帽，桩帽设计应符合下列规定：</w:t>
      </w:r>
    </w:p>
    <w:p w14:paraId="2ED3327A">
      <w:pPr>
        <w:spacing w:line="360" w:lineRule="auto"/>
        <w:ind w:left="840" w:hanging="840" w:hangingChars="4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形状宜以正方体或圆柱状为主（圆形桩帽可按面积等效的方式换算成方形桩帽），桩帽边长宜为1.0m～1.5m，厚度宜为0.3m～0.5m，宜采用C30以上的钢筋混凝土</w:t>
      </w:r>
    </w:p>
    <w:p w14:paraId="3B918E26">
      <w:pPr>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现场浇筑；</w:t>
      </w:r>
    </w:p>
    <w:p w14:paraId="16A2C211">
      <w:pPr>
        <w:spacing w:line="360" w:lineRule="auto"/>
        <w:ind w:left="840" w:hanging="840" w:hangingChars="400"/>
        <w:rPr>
          <w:rFonts w:hint="default" w:ascii="Times New Roman" w:hAnsi="Times New Roman" w:eastAsia="宋体" w:cs="Times New Roman"/>
          <w:color w:val="auto"/>
          <w:szCs w:val="21"/>
          <w:highlight w:val="none"/>
          <w:lang w:val="en-US" w:eastAsia="zh-CN"/>
        </w:rPr>
      </w:pPr>
    </w:p>
    <w:p w14:paraId="7553E40B">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0" distR="0">
            <wp:extent cx="5340350" cy="1554480"/>
            <wp:effectExtent l="0" t="0" r="8890" b="0"/>
            <wp:docPr id="415" name="Picture 1" descr="C:/Users/22308/Desktop/微信图片_20240806111257.jpg微信图片_202408061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1" descr="C:/Users/22308/Desktop/微信图片_20240806111257.jpg微信图片_20240806111257"/>
                    <pic:cNvPicPr>
                      <a:picLocks noChangeAspect="1"/>
                    </pic:cNvPicPr>
                  </pic:nvPicPr>
                  <pic:blipFill>
                    <a:blip r:embed="rId58"/>
                    <a:srcRect t="11" b="11"/>
                    <a:stretch>
                      <a:fillRect/>
                    </a:stretch>
                  </pic:blipFill>
                  <pic:spPr>
                    <a:xfrm>
                      <a:off x="0" y="0"/>
                      <a:ext cx="5340350" cy="1554480"/>
                    </a:xfrm>
                    <a:prstGeom prst="rect">
                      <a:avLst/>
                    </a:prstGeom>
                  </pic:spPr>
                </pic:pic>
              </a:graphicData>
            </a:graphic>
          </wp:inline>
        </w:drawing>
      </w:r>
    </w:p>
    <w:p w14:paraId="590A7E96">
      <w:pPr>
        <w:keepNext/>
        <w:spacing w:after="156" w:after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图1</w:t>
      </w:r>
      <w:r>
        <w:rPr>
          <w:rFonts w:hint="eastAsia" w:ascii="Times New Roman" w:hAnsi="Times New Roman" w:eastAsia="宋体" w:cs="Times New Roman"/>
          <w:b/>
          <w:color w:val="auto"/>
          <w:szCs w:val="21"/>
          <w:highlight w:val="none"/>
          <w:lang w:val="en-US" w:eastAsia="zh-CN"/>
        </w:rPr>
        <w:t>8</w:t>
      </w:r>
      <w:r>
        <w:rPr>
          <w:rFonts w:ascii="Times New Roman" w:hAnsi="Times New Roman" w:eastAsia="宋体" w:cs="Times New Roman"/>
          <w:b/>
          <w:color w:val="auto"/>
          <w:szCs w:val="21"/>
          <w:highlight w:val="none"/>
        </w:rPr>
        <w:t xml:space="preserve">  刚性桩布置典型横断面示意图</w:t>
      </w:r>
    </w:p>
    <w:p w14:paraId="1E895235">
      <w:pPr>
        <w:spacing w:line="360" w:lineRule="auto"/>
        <w:ind w:left="840" w:leftChars="200" w:hanging="420" w:hangingChars="200"/>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桩与桩间土因刚度差异而在路堤中产生土拱效应，桩帽上部的等效荷载可按</w:t>
      </w:r>
      <w:r>
        <w:rPr>
          <w:rFonts w:hint="eastAsia" w:ascii="Times New Roman" w:hAnsi="Times New Roman" w:eastAsia="宋体" w:cs="Times New Roman"/>
          <w:color w:val="auto"/>
          <w:szCs w:val="21"/>
          <w:highlight w:val="none"/>
          <w:lang w:val="en-US" w:eastAsia="zh-CN"/>
        </w:rPr>
        <w:t>公式</w:t>
      </w:r>
    </w:p>
    <w:p w14:paraId="153AA956">
      <w:pPr>
        <w:spacing w:line="360" w:lineRule="auto"/>
        <w:ind w:left="840" w:leftChars="400" w:firstLine="0" w:firstLineChars="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（35）</w:t>
      </w:r>
      <w:r>
        <w:rPr>
          <w:rFonts w:ascii="Times New Roman" w:hAnsi="Times New Roman" w:eastAsia="宋体" w:cs="Times New Roman"/>
          <w:color w:val="auto"/>
          <w:szCs w:val="21"/>
          <w:highlight w:val="none"/>
        </w:rPr>
        <w:t>计算：</w:t>
      </w:r>
    </w:p>
    <w:p w14:paraId="3E380E06">
      <w:pPr>
        <w:spacing w:line="360" w:lineRule="auto"/>
        <w:ind w:firstLine="3150" w:firstLineChars="15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u</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=η(</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γ</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H+</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Sup>
          <m:sSubSupPr>
            <m:ctrlPr>
              <w:rPr>
                <w:rFonts w:ascii="Cambria Math" w:hAnsi="Cambria Math" w:cs="Times New Roman"/>
                <w:i/>
                <w:color w:val="auto"/>
                <w:szCs w:val="21"/>
                <w:highlight w:val="none"/>
              </w:rPr>
            </m:ctrlPr>
          </m:sSubSup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bSup>
      </m:oMath>
      <w:r>
        <w:rPr>
          <w:rFonts w:hint="eastAsia" w:hAnsi="Cambria Math" w:cs="Times New Roman"/>
          <w:i w:val="0"/>
          <w:color w:val="auto"/>
          <w:szCs w:val="21"/>
          <w:highlight w:val="none"/>
          <w:lang w:val="en-US" w:eastAsia="zh-CN"/>
        </w:rPr>
        <w:t xml:space="preserve">  .....................................................（35）</w:t>
      </w:r>
    </w:p>
    <w:p w14:paraId="30CC55A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1FA7B40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u</w:t>
      </w:r>
      <w:r>
        <w:rPr>
          <w:rFonts w:ascii="Times New Roman" w:hAnsi="Times New Roman" w:eastAsia="宋体" w:cs="Times New Roman"/>
          <w:color w:val="auto"/>
          <w:szCs w:val="21"/>
          <w:highlight w:val="none"/>
        </w:rPr>
        <w:t>——桩帽上部承担的荷载（kN）；</w:t>
      </w:r>
    </w:p>
    <w:p w14:paraId="3347FF4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η</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桩体荷载分担比系数，可根据附录</w:t>
      </w:r>
      <w:r>
        <w:rPr>
          <w:rFonts w:hint="eastAsia" w:ascii="Times New Roman" w:hAnsi="Times New Roman" w:eastAsia="宋体" w:cs="Times New Roman"/>
          <w:color w:val="auto"/>
          <w:szCs w:val="21"/>
          <w:highlight w:val="none"/>
          <w:lang w:val="en-US" w:eastAsia="zh-CN"/>
        </w:rPr>
        <w:t>B</w:t>
      </w:r>
      <w:r>
        <w:rPr>
          <w:rFonts w:ascii="Times New Roman" w:hAnsi="Times New Roman" w:eastAsia="宋体" w:cs="Times New Roman"/>
          <w:color w:val="auto"/>
          <w:szCs w:val="21"/>
          <w:highlight w:val="none"/>
        </w:rPr>
        <w:t>查表求得；</w:t>
      </w:r>
    </w:p>
    <w:p w14:paraId="7E04E8B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c</w:t>
      </w:r>
      <w:r>
        <w:rPr>
          <w:rFonts w:ascii="Times New Roman" w:hAnsi="Times New Roman" w:eastAsia="宋体" w:cs="Times New Roman"/>
          <w:color w:val="auto"/>
          <w:szCs w:val="21"/>
          <w:highlight w:val="none"/>
        </w:rPr>
        <w:t>——路基的路面超载（kPa）；</w:t>
      </w:r>
    </w:p>
    <w:p w14:paraId="3918A260">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γ</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——路堤填料重度（kN／m</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w:t>
      </w:r>
    </w:p>
    <w:p w14:paraId="291BA91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H——路堤填土高度（m）；</w:t>
      </w:r>
    </w:p>
    <w:p w14:paraId="0676D20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——桩中心间距（m）。</w:t>
      </w:r>
    </w:p>
    <w:p w14:paraId="32B48F27">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桩帽的强度验算可根据桩帽与桩连接部位的最大弯矩值M</w:t>
      </w:r>
      <w:r>
        <w:rPr>
          <w:rFonts w:ascii="Times New Roman" w:hAnsi="Times New Roman" w:eastAsia="宋体" w:cs="Times New Roman"/>
          <w:color w:val="auto"/>
          <w:szCs w:val="21"/>
          <w:highlight w:val="none"/>
          <w:vertAlign w:val="subscript"/>
        </w:rPr>
        <w:t>max</w:t>
      </w:r>
      <w:r>
        <w:rPr>
          <w:rFonts w:ascii="Times New Roman" w:hAnsi="Times New Roman" w:eastAsia="宋体" w:cs="Times New Roman"/>
          <w:color w:val="auto"/>
          <w:szCs w:val="21"/>
          <w:highlight w:val="none"/>
        </w:rPr>
        <w:t>按公式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36</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37</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计算：</w:t>
      </w:r>
    </w:p>
    <w:p w14:paraId="74F3A293">
      <w:pPr>
        <w:spacing w:line="360" w:lineRule="auto"/>
        <w:jc w:val="center"/>
        <w:rPr>
          <w:rFonts w:ascii="Times New Roman" w:hAnsi="Times New Roman" w:cs="Times New Roman"/>
          <w:i/>
          <w:color w:val="auto"/>
          <w:szCs w:val="21"/>
          <w:highlight w:val="none"/>
        </w:rPr>
      </w:pPr>
      <w:r>
        <w:rPr>
          <w:rFonts w:hint="eastAsia" w:ascii="Times New Roman" w:hAnsi="Times New Roman" w:cs="Times New Roman"/>
          <w:i/>
          <w:color w:val="auto"/>
          <w:szCs w:val="21"/>
          <w:highlight w:val="none"/>
          <w:lang w:val="en-US" w:eastAsia="zh-CN"/>
        </w:rPr>
        <w:t xml:space="preserve">                                 </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M</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max</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ξpB(B−</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D</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8</m:t>
            </m:r>
            <m:ctrlPr>
              <w:rPr>
                <w:rFonts w:ascii="Cambria Math" w:hAnsi="Cambria Math" w:cs="Times New Roman"/>
                <w:i/>
                <w:color w:val="auto"/>
                <w:szCs w:val="21"/>
                <w:highlight w:val="none"/>
              </w:rPr>
            </m:ctrlPr>
          </m:den>
        </m:f>
      </m:oMath>
      <w:r>
        <w:rPr>
          <w:rFonts w:hint="eastAsia" w:hAnsi="Cambria Math" w:cs="Times New Roman"/>
          <w:i/>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36</w:t>
      </w:r>
      <w:r>
        <w:rPr>
          <w:rFonts w:hint="eastAsia" w:ascii="Times New Roman" w:hAnsi="Times New Roman" w:eastAsia="宋体" w:cs="Times New Roman"/>
          <w:color w:val="auto"/>
          <w:szCs w:val="21"/>
          <w:highlight w:val="none"/>
          <w:lang w:eastAsia="zh-CN"/>
        </w:rPr>
        <w:t>）</w:t>
      </w:r>
    </w:p>
    <w:p w14:paraId="693E4D7E">
      <w:pPr>
        <w:spacing w:line="360" w:lineRule="auto"/>
        <w:jc w:val="center"/>
        <w:rPr>
          <w:rFonts w:ascii="Times New Roman" w:hAnsi="Times New Roman" w:cs="Times New Roman"/>
          <w:i/>
          <w:color w:val="auto"/>
          <w:szCs w:val="21"/>
          <w:highlight w:val="none"/>
        </w:rPr>
      </w:pPr>
      <w:r>
        <w:rPr>
          <w:rFonts w:hint="eastAsia" w:hAnsi="Cambria Math" w:cs="Times New Roman"/>
          <w:i/>
          <w:color w:val="auto"/>
          <w:szCs w:val="21"/>
          <w:highlight w:val="none"/>
          <w:lang w:val="en-US" w:eastAsia="zh-CN"/>
        </w:rPr>
        <w:t xml:space="preserve">                                     </w:t>
      </w:r>
      <m:oMath>
        <m:r>
          <m:rPr/>
          <w:rPr>
            <w:rFonts w:ascii="Cambria Math" w:hAnsi="Cambria Math" w:cs="Times New Roman"/>
            <w:color w:val="auto"/>
            <w:szCs w:val="21"/>
            <w:highlight w:val="none"/>
          </w:rPr>
          <m:t>p=</m:t>
        </m:r>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u</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B</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37</w:t>
      </w:r>
      <w:r>
        <w:rPr>
          <w:rFonts w:hint="eastAsia" w:ascii="Times New Roman" w:hAnsi="Times New Roman" w:eastAsia="宋体" w:cs="Times New Roman"/>
          <w:color w:val="auto"/>
          <w:szCs w:val="21"/>
          <w:highlight w:val="none"/>
          <w:lang w:eastAsia="zh-CN"/>
        </w:rPr>
        <w:t>）</w:t>
      </w:r>
    </w:p>
    <w:p w14:paraId="0AABA26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36DED1F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cs="Times New Roman"/>
          <w:i/>
          <w:color w:val="auto"/>
          <w:szCs w:val="21"/>
          <w:highlight w:val="none"/>
        </w:rPr>
        <mc:AlternateContent>
          <mc:Choice Requires="wps">
            <w:drawing>
              <wp:anchor distT="0" distB="0" distL="114300" distR="114300" simplePos="0" relativeHeight="251661312" behindDoc="0" locked="0" layoutInCell="1" allowOverlap="1">
                <wp:simplePos x="0" y="0"/>
                <wp:positionH relativeFrom="page">
                  <wp:posOffset>5908675</wp:posOffset>
                </wp:positionH>
                <wp:positionV relativeFrom="page">
                  <wp:posOffset>9235440</wp:posOffset>
                </wp:positionV>
                <wp:extent cx="974725" cy="784860"/>
                <wp:effectExtent l="0" t="0" r="0" b="0"/>
                <wp:wrapSquare wrapText="bothSides"/>
                <wp:docPr id="419" name="文本框 2"/>
                <wp:cNvGraphicFramePr/>
                <a:graphic xmlns:a="http://schemas.openxmlformats.org/drawingml/2006/main">
                  <a:graphicData uri="http://schemas.microsoft.com/office/word/2010/wordprocessingShape">
                    <wps:wsp>
                      <wps:cNvSpPr txBox="1"/>
                      <wps:spPr>
                        <a:xfrm>
                          <a:off x="1601470" y="2139315"/>
                          <a:ext cx="974725" cy="784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64DEE">
                            <w:pPr>
                              <w:spacing w:line="320" w:lineRule="exact"/>
                              <w:jc w:val="right"/>
                            </w:pPr>
                          </w:p>
                        </w:txbxContent>
                      </wps:txbx>
                      <wps:bodyPr lIns="25400" tIns="0" rIns="25400" bIns="0">
                        <a:noAutofit/>
                      </wps:bodyPr>
                    </wps:wsp>
                  </a:graphicData>
                </a:graphic>
              </wp:anchor>
            </w:drawing>
          </mc:Choice>
          <mc:Fallback>
            <w:pict>
              <v:shape id="文本框 2" o:spid="_x0000_s1026" o:spt="202" type="#_x0000_t202" style="position:absolute;left:0pt;margin-left:465.25pt;margin-top:727.2pt;height:61.8pt;width:76.75pt;mso-position-horizontal-relative:page;mso-position-vertical-relative:page;mso-wrap-distance-bottom:0pt;mso-wrap-distance-left:9pt;mso-wrap-distance-right:9pt;mso-wrap-distance-top:0pt;z-index:251661312;mso-width-relative:page;mso-height-relative:page;" filled="f" stroked="f" coordsize="21600,21600" o:gfxdata="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TlBrcAAAADgEAAA8A&#10;AAAAAAAAAQAgAAAAIgAAAGRycy9kb3ducmV2LnhtbFBLAQIUABQAAAAIAIdO4kCsV1P52gEAAJ4D&#10;AAAOAAAAAAAAAAEAIAAAACsBAABkcnMvZTJvRG9jLnhtbFBLBQYAAAAABgAGAFkBAAB3BQAAAAA=&#10;">
                <v:fill on="f" focussize="0,0"/>
                <v:stroke on="f" weight="0.5pt"/>
                <v:imagedata o:title=""/>
                <o:lock v:ext="edit" aspectratio="f"/>
                <v:textbox inset="2pt,0mm,2pt,0mm">
                  <w:txbxContent>
                    <w:p w14:paraId="55E64DEE">
                      <w:pPr>
                        <w:spacing w:line="320" w:lineRule="exact"/>
                        <w:jc w:val="right"/>
                      </w:pPr>
                    </w:p>
                  </w:txbxContent>
                </v:textbox>
                <w10:wrap type="square"/>
              </v:shape>
            </w:pict>
          </mc:Fallback>
        </mc:AlternateContent>
      </w:r>
      <w:r>
        <w:rPr>
          <w:rFonts w:ascii="Times New Roman" w:hAnsi="Times New Roman" w:eastAsia="宋体" w:cs="Times New Roman"/>
          <w:color w:val="auto"/>
          <w:szCs w:val="21"/>
          <w:highlight w:val="none"/>
        </w:rPr>
        <w:t>ξ——修正系数，取值范围2.7～3.8，当桩帽尺寸较大时取低值，桩帽</w:t>
      </w:r>
      <w:r>
        <w:rPr>
          <w:rFonts w:hint="eastAsia" w:ascii="Times New Roman" w:hAnsi="Times New Roman" w:eastAsia="宋体" w:cs="Times New Roman"/>
          <w:color w:val="auto"/>
          <w:szCs w:val="21"/>
          <w:highlight w:val="none"/>
          <w:lang w:val="en-US" w:eastAsia="zh-CN"/>
        </w:rPr>
        <w:t>尺</w:t>
      </w:r>
      <w:r>
        <w:rPr>
          <w:rFonts w:ascii="Times New Roman" w:hAnsi="Times New Roman" w:eastAsia="宋体" w:cs="Times New Roman"/>
          <w:color w:val="auto"/>
          <w:szCs w:val="21"/>
          <w:highlight w:val="none"/>
        </w:rPr>
        <w:t>寸较小时取高值，中间可用插值处理；</w:t>
      </w:r>
    </w:p>
    <w:p w14:paraId="510EBD0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P——桩帽上的等效平均应力（kPa）；</w:t>
      </w:r>
    </w:p>
    <w:p w14:paraId="0DA4EA9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B——方形桩桩帽边长（m），</w:t>
      </w:r>
      <w:r>
        <w:rPr>
          <w:rFonts w:ascii="Times New Roman" w:hAnsi="Times New Roman" w:eastAsia="宋体" w:cs="Times New Roman"/>
          <w:color w:val="auto"/>
          <w:szCs w:val="21"/>
          <w:highlight w:val="none"/>
        </w:rPr>
        <w:t>当桩帽桩为圆形时</w:t>
      </w:r>
      <w:r>
        <w:rPr>
          <w:rFonts w:ascii="Times New Roman" w:hAnsi="Times New Roman" w:eastAsia="宋体" w:cs="Times New Roman"/>
          <w:color w:val="auto"/>
          <w:szCs w:val="21"/>
          <w:highlight w:val="none"/>
        </w:rPr>
        <w:t>，按面积等效原则换算；</w:t>
      </w:r>
    </w:p>
    <w:p w14:paraId="2F1D84C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ascii="Times New Roman" w:hAnsi="Times New Roman" w:eastAsia="宋体" w:cs="Times New Roman"/>
          <w:color w:val="auto"/>
          <w:szCs w:val="21"/>
          <w:highlight w:val="none"/>
          <w:vertAlign w:val="subscript"/>
        </w:rPr>
        <w:t>p</w:t>
      </w:r>
      <w:r>
        <w:rPr>
          <w:rFonts w:ascii="Times New Roman" w:hAnsi="Times New Roman" w:eastAsia="宋体" w:cs="Times New Roman"/>
          <w:color w:val="auto"/>
          <w:szCs w:val="21"/>
          <w:highlight w:val="none"/>
        </w:rPr>
        <w:t>——桩径（m）。</w:t>
      </w:r>
    </w:p>
    <w:p w14:paraId="46CDC6A3">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6.4.3.6 </w:t>
      </w:r>
      <w:r>
        <w:rPr>
          <w:rFonts w:ascii="Times New Roman" w:hAnsi="Times New Roman" w:eastAsia="宋体" w:cs="Times New Roman"/>
          <w:color w:val="auto"/>
          <w:szCs w:val="21"/>
          <w:highlight w:val="none"/>
        </w:rPr>
        <w:t>刚性桩顶与路堤底之间应设置厚60cm～80cm的垫层，垫层宽度不小于路基宽度，并应符合下列要求：</w:t>
      </w:r>
    </w:p>
    <w:p w14:paraId="7FA9C91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垫层材料可采用碎石、砂砾等硬质材料，小于5mm部分的含泥量不宜大于5％，渗透系数不宜小于1×10</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cm／s；</w:t>
      </w:r>
    </w:p>
    <w:p w14:paraId="4D627C69">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桩承式加筋路堤中水平加筋体拉力由支承部分竖向路堤荷载引起的拉力和抵抗路堤边坡外推力而引起的拉力组成，桩承式加筋路堤的加筋体抗拉强度T</w:t>
      </w:r>
      <w:r>
        <w:rPr>
          <w:rFonts w:ascii="Times New Roman" w:hAnsi="Times New Roman" w:eastAsia="宋体" w:cs="Times New Roman"/>
          <w:color w:val="auto"/>
          <w:szCs w:val="21"/>
          <w:highlight w:val="none"/>
          <w:vertAlign w:val="subscript"/>
        </w:rPr>
        <w:t>gc</w:t>
      </w:r>
      <w:r>
        <w:rPr>
          <w:rFonts w:ascii="Times New Roman" w:hAnsi="Times New Roman" w:eastAsia="宋体" w:cs="Times New Roman"/>
          <w:color w:val="auto"/>
          <w:szCs w:val="21"/>
          <w:highlight w:val="none"/>
        </w:rPr>
        <w:t>可按公式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38</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39</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40</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计算：</w:t>
      </w:r>
    </w:p>
    <w:p w14:paraId="3D64CB4A">
      <w:pPr>
        <w:spacing w:line="360" w:lineRule="auto"/>
        <w:ind w:firstLine="2730" w:firstLineChars="1300"/>
        <w:rPr>
          <w:rFonts w:ascii="Times New Roman" w:hAnsi="Times New Roman"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gc</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−B)</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2B</m:t>
            </m:r>
            <m:ctrlPr>
              <w:rPr>
                <w:rFonts w:ascii="Cambria Math" w:hAnsi="Cambria Math" w:cs="Times New Roman"/>
                <w:i/>
                <w:color w:val="auto"/>
                <w:szCs w:val="21"/>
                <w:highlight w:val="none"/>
              </w:rPr>
            </m:ctrlPr>
          </m:den>
        </m:f>
        <m:rad>
          <m:radPr>
            <m:degHide m:val="1"/>
            <m:ctrlPr>
              <w:rPr>
                <w:rFonts w:ascii="Cambria Math" w:hAnsi="Cambria Math" w:cs="Times New Roman"/>
                <w:i/>
                <w:color w:val="auto"/>
                <w:szCs w:val="21"/>
                <w:highlight w:val="none"/>
              </w:rPr>
            </m:ctrlPr>
          </m:radPr>
          <m:deg>
            <m:ctrlPr>
              <w:rPr>
                <w:rFonts w:ascii="Cambria Math" w:hAnsi="Cambria Math" w:cs="Times New Roman"/>
                <w:i/>
                <w:color w:val="auto"/>
                <w:szCs w:val="21"/>
                <w:highlight w:val="none"/>
              </w:rPr>
            </m:ctrlPr>
          </m:deg>
          <m:e>
            <m:r>
              <m:rPr/>
              <w:rPr>
                <w:rFonts w:ascii="Cambria Math" w:hAnsi="Cambria Math" w:cs="Times New Roman"/>
                <w:color w:val="auto"/>
                <w:szCs w:val="21"/>
                <w:highlight w:val="none"/>
              </w:rPr>
              <m:t>1+</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6ε</m:t>
                </m:r>
                <m:ctrlPr>
                  <w:rPr>
                    <w:rFonts w:ascii="Cambria Math" w:hAnsi="Cambria Math" w:cs="Times New Roman"/>
                    <w:i/>
                    <w:color w:val="auto"/>
                    <w:szCs w:val="21"/>
                    <w:highlight w:val="none"/>
                  </w:rPr>
                </m:ctrlPr>
              </m:den>
            </m:f>
            <m:ctrlPr>
              <w:rPr>
                <w:rFonts w:ascii="Cambria Math" w:hAnsi="Cambria Math" w:cs="Times New Roman"/>
                <w:i/>
                <w:color w:val="auto"/>
                <w:szCs w:val="21"/>
                <w:highlight w:val="none"/>
              </w:rPr>
            </m:ctrlPr>
          </m:e>
        </m:rad>
        <m:r>
          <m:rPr/>
          <w:rPr>
            <w:rFonts w:ascii="Cambria Math" w:hAnsi="Cambria Math" w:cs="Times New Roman"/>
            <w:color w:val="auto"/>
            <w:szCs w:val="21"/>
            <w:highlight w:val="none"/>
          </w:rPr>
          <m:t>+0.5</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K</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γ</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Sub>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H</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38</w:t>
      </w:r>
      <w:r>
        <w:rPr>
          <w:rFonts w:hint="eastAsia" w:ascii="Times New Roman" w:hAnsi="Times New Roman" w:eastAsia="宋体" w:cs="Times New Roman"/>
          <w:color w:val="auto"/>
          <w:szCs w:val="21"/>
          <w:highlight w:val="none"/>
          <w:lang w:eastAsia="zh-CN"/>
        </w:rPr>
        <w:t>）</w:t>
      </w:r>
    </w:p>
    <w:p w14:paraId="66EE24A5">
      <w:pPr>
        <w:spacing w:line="360" w:lineRule="auto"/>
        <w:ind w:firstLine="3150" w:firstLineChars="15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=(1−η)(</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γ</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H+</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39</w:t>
      </w:r>
      <w:r>
        <w:rPr>
          <w:rFonts w:hint="eastAsia" w:ascii="Times New Roman" w:hAnsi="Times New Roman" w:eastAsia="宋体" w:cs="Times New Roman"/>
          <w:color w:val="auto"/>
          <w:szCs w:val="21"/>
          <w:highlight w:val="none"/>
          <w:lang w:eastAsia="zh-CN"/>
        </w:rPr>
        <w:t>）</w:t>
      </w:r>
    </w:p>
    <w:p w14:paraId="5212275F">
      <w:pPr>
        <w:spacing w:line="360" w:lineRule="auto"/>
        <w:ind w:firstLine="3780" w:firstLineChars="18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gc</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λ</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40</w:t>
      </w:r>
      <w:r>
        <w:rPr>
          <w:rFonts w:hint="eastAsia" w:ascii="Times New Roman" w:hAnsi="Times New Roman" w:eastAsia="宋体" w:cs="Times New Roman"/>
          <w:color w:val="auto"/>
          <w:szCs w:val="21"/>
          <w:highlight w:val="none"/>
          <w:lang w:eastAsia="zh-CN"/>
        </w:rPr>
        <w:t>）</w:t>
      </w:r>
    </w:p>
    <w:p w14:paraId="0BD288B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07880DF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s</w:t>
      </w:r>
      <w:r>
        <w:rPr>
          <w:rFonts w:ascii="Times New Roman" w:hAnsi="Times New Roman" w:eastAsia="宋体" w:cs="Times New Roman"/>
          <w:color w:val="auto"/>
          <w:szCs w:val="21"/>
          <w:highlight w:val="none"/>
        </w:rPr>
        <w:t>——桩帽间单位长度土体承担荷载（kN／m）；</w:t>
      </w:r>
    </w:p>
    <w:p w14:paraId="02578FB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ε——水平加筋体的延伸率，可取5％；</w:t>
      </w:r>
    </w:p>
    <w:p w14:paraId="18B1ECB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K</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——主动土压力系数，K</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＝tan</w:t>
      </w:r>
      <w:r>
        <w:rPr>
          <w:rFonts w:hint="eastAsia" w:ascii="Times New Roman" w:hAnsi="Times New Roman" w:eastAsia="宋体" w:cs="Times New Roman"/>
          <w:color w:val="auto"/>
          <w:szCs w:val="21"/>
          <w:highlight w:val="none"/>
          <w:vertAlign w:val="superscript"/>
          <w:lang w:val="en-US" w:eastAsia="zh-CN"/>
        </w:rPr>
        <w:t>2</w:t>
      </w:r>
      <w:r>
        <w:rPr>
          <w:rFonts w:ascii="Times New Roman" w:hAnsi="Times New Roman" w:eastAsia="宋体" w:cs="Times New Roman"/>
          <w:color w:val="auto"/>
          <w:szCs w:val="21"/>
          <w:highlight w:val="none"/>
        </w:rPr>
        <w:t>（45</w:t>
      </w:r>
      <w:r>
        <w:rPr>
          <w:rFonts w:hint="eastAsia" w:ascii="Times New Roman" w:hAnsi="Times New Roman" w:eastAsia="宋体" w:cs="Times New Roman"/>
          <w:color w:val="auto"/>
          <w:szCs w:val="21"/>
          <w:highlight w:val="none"/>
          <w:lang w:val="en-US" w:eastAsia="zh-CN"/>
        </w:rPr>
        <w:t>°</w:t>
      </w:r>
      <w:r>
        <w:rPr>
          <w:rFonts w:ascii="Times New Roman" w:hAnsi="Times New Roman" w:eastAsia="宋体" w:cs="Times New Roman"/>
          <w:color w:val="auto"/>
          <w:szCs w:val="21"/>
          <w:highlight w:val="none"/>
        </w:rPr>
        <w:t>-</w:t>
      </w:r>
      <w:r>
        <w:rPr>
          <w:rFonts w:hint="eastAsia" w:ascii="宋体" w:hAnsi="宋体" w:eastAsia="宋体" w:cs="宋体"/>
          <w:color w:val="auto"/>
          <w:szCs w:val="21"/>
          <w:highlight w:val="none"/>
        </w:rPr>
        <w:t>φ</w:t>
      </w:r>
      <w:r>
        <w:rPr>
          <w:rFonts w:hint="eastAsia" w:ascii="宋体" w:hAnsi="宋体" w:eastAsia="宋体" w:cs="宋体"/>
          <w:color w:val="auto"/>
          <w:szCs w:val="21"/>
          <w:highlight w:val="none"/>
          <w:lang w:val="en-US" w:eastAsia="zh-CN"/>
        </w:rPr>
        <w:t>/</w:t>
      </w:r>
      <w:r>
        <w:rPr>
          <w:rFonts w:ascii="Times New Roman" w:hAnsi="Times New Roman" w:eastAsia="宋体" w:cs="Times New Roman"/>
          <w:color w:val="auto"/>
          <w:szCs w:val="21"/>
          <w:highlight w:val="none"/>
        </w:rPr>
        <w:t>2）；</w:t>
      </w:r>
    </w:p>
    <w:p w14:paraId="781A480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s</w:t>
      </w:r>
      <w:r>
        <w:rPr>
          <w:rFonts w:ascii="Times New Roman" w:hAnsi="Times New Roman" w:eastAsia="宋体" w:cs="Times New Roman"/>
          <w:color w:val="auto"/>
          <w:szCs w:val="21"/>
          <w:highlight w:val="none"/>
        </w:rPr>
        <w:t>——土工合成材料的抗拉强度（kN），可按延伸率5％时确定；</w:t>
      </w:r>
    </w:p>
    <w:p w14:paraId="578780CB">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λ</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——考虑实际施工损伤、材料耐久等情况的折减系数，可取2.0～3.0。</w:t>
      </w:r>
    </w:p>
    <w:p w14:paraId="467AC1C8">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6.4.3.7</w:t>
      </w:r>
      <w:r>
        <w:rPr>
          <w:rFonts w:ascii="Times New Roman" w:hAnsi="Times New Roman" w:eastAsia="宋体" w:cs="Times New Roman"/>
          <w:color w:val="auto"/>
          <w:szCs w:val="21"/>
          <w:highlight w:val="none"/>
        </w:rPr>
        <w:t xml:space="preserve"> 根据软弱土地质条件和填土高度，可在垫层部位铺设土工合成材料，应符合下列要求：</w:t>
      </w:r>
    </w:p>
    <w:p w14:paraId="39D6301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对于素混凝土桩和CFG桩，加筋垫层可采用加固土桩的垫层设置方法；</w:t>
      </w:r>
    </w:p>
    <w:p w14:paraId="54F0A84B">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对于预应力管桩或预制混凝土桩，桩帽顶应铺设具有一定厚度、强度、完整连续的土工格栅，形成桩承式加筋路堤。</w:t>
      </w:r>
    </w:p>
    <w:p w14:paraId="62D79F4F">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6.4.3.8</w:t>
      </w:r>
      <w:r>
        <w:rPr>
          <w:rFonts w:ascii="Times New Roman" w:hAnsi="Times New Roman" w:eastAsia="宋体" w:cs="Times New Roman"/>
          <w:color w:val="auto"/>
          <w:szCs w:val="21"/>
          <w:highlight w:val="none"/>
        </w:rPr>
        <w:t xml:space="preserve"> 素混凝土桩和水泥粉煤灰碎石桩（CFG桩）等粘结强度较高刚性桩复合地基承载力特征值可按</w:t>
      </w:r>
      <w:r>
        <w:rPr>
          <w:rFonts w:hint="eastAsia" w:ascii="Times New Roman" w:hAnsi="Times New Roman" w:eastAsia="宋体" w:cs="Times New Roman"/>
          <w:color w:val="auto"/>
          <w:szCs w:val="21"/>
          <w:highlight w:val="none"/>
          <w:lang w:val="en-US" w:eastAsia="zh-CN"/>
        </w:rPr>
        <w:t>公式（41）</w:t>
      </w:r>
      <w:r>
        <w:rPr>
          <w:rFonts w:ascii="Times New Roman" w:hAnsi="Times New Roman" w:eastAsia="宋体" w:cs="Times New Roman"/>
          <w:color w:val="auto"/>
          <w:szCs w:val="21"/>
          <w:highlight w:val="none"/>
        </w:rPr>
        <w:t>计算：</w:t>
      </w:r>
    </w:p>
    <w:p w14:paraId="449B97BF">
      <w:pPr>
        <w:spacing w:line="360" w:lineRule="auto"/>
        <w:ind w:firstLine="2940" w:firstLineChars="14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spk</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=λm</m:t>
        </m:r>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+β(1−m)</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sk</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41</w:t>
      </w:r>
      <w:r>
        <w:rPr>
          <w:rFonts w:hint="eastAsia" w:ascii="Times New Roman" w:hAnsi="Times New Roman" w:eastAsia="宋体" w:cs="Times New Roman"/>
          <w:color w:val="auto"/>
          <w:szCs w:val="21"/>
          <w:highlight w:val="none"/>
          <w:lang w:eastAsia="zh-CN"/>
        </w:rPr>
        <w:t>）</w:t>
      </w:r>
    </w:p>
    <w:p w14:paraId="62FF4E4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单桩竖向承载力特征值应满足</w:t>
      </w:r>
      <w:r>
        <w:rPr>
          <w:rFonts w:hint="eastAsia" w:ascii="Times New Roman" w:hAnsi="Times New Roman" w:eastAsia="宋体" w:cs="Times New Roman"/>
          <w:color w:val="auto"/>
          <w:szCs w:val="21"/>
          <w:highlight w:val="none"/>
          <w:lang w:val="en-US" w:eastAsia="zh-CN"/>
        </w:rPr>
        <w:t>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42</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要求：</w:t>
      </w:r>
    </w:p>
    <w:p w14:paraId="4676A7D4">
      <w:pPr>
        <w:spacing w:line="360" w:lineRule="auto"/>
        <w:ind w:firstLine="3570" w:firstLineChars="17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cu</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4λ</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42</w:t>
      </w:r>
      <w:r>
        <w:rPr>
          <w:rFonts w:hint="eastAsia" w:ascii="Times New Roman" w:hAnsi="Times New Roman" w:eastAsia="宋体" w:cs="Times New Roman"/>
          <w:color w:val="auto"/>
          <w:szCs w:val="21"/>
          <w:highlight w:val="none"/>
          <w:lang w:eastAsia="zh-CN"/>
        </w:rPr>
        <w:t>）</w:t>
      </w:r>
    </w:p>
    <w:p w14:paraId="40973DA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当复合地基承载力需进行桥台、涵洞、通道、挡墙等基础埋深的深度修正时，单桩竖向承载力特征值还应满足</w:t>
      </w:r>
      <w:r>
        <w:rPr>
          <w:rFonts w:hint="eastAsia" w:ascii="Times New Roman" w:hAnsi="Times New Roman" w:eastAsia="宋体" w:cs="Times New Roman"/>
          <w:color w:val="auto"/>
          <w:szCs w:val="21"/>
          <w:highlight w:val="none"/>
          <w:lang w:val="en-US" w:eastAsia="zh-CN"/>
        </w:rPr>
        <w:t>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43</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要求，f</w:t>
      </w:r>
      <w:r>
        <w:rPr>
          <w:rFonts w:ascii="Times New Roman" w:hAnsi="Times New Roman" w:eastAsia="宋体" w:cs="Times New Roman"/>
          <w:color w:val="auto"/>
          <w:szCs w:val="21"/>
          <w:highlight w:val="none"/>
          <w:vertAlign w:val="subscript"/>
        </w:rPr>
        <w:t>cu</w:t>
      </w:r>
      <w:r>
        <w:rPr>
          <w:rFonts w:ascii="Times New Roman" w:hAnsi="Times New Roman" w:eastAsia="宋体" w:cs="Times New Roman"/>
          <w:color w:val="auto"/>
          <w:szCs w:val="21"/>
          <w:highlight w:val="none"/>
        </w:rPr>
        <w:t>取大值：</w:t>
      </w:r>
    </w:p>
    <w:p w14:paraId="4EAC6185">
      <w:pPr>
        <w:spacing w:line="360" w:lineRule="auto"/>
        <w:ind w:firstLine="3150" w:firstLineChars="15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cu</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4λ</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[1+</m:t>
        </m:r>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m</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(d−0.5)</m:t>
            </m:r>
            <m:ctrlPr>
              <w:rPr>
                <w:rFonts w:ascii="Cambria Math" w:hAnsi="Cambria Math" w:cs="Times New Roman"/>
                <w:i/>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f</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spa</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m:t>
        </m:r>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43</w:t>
      </w:r>
      <w:r>
        <w:rPr>
          <w:rFonts w:hint="eastAsia" w:ascii="Times New Roman" w:hAnsi="Times New Roman" w:eastAsia="宋体" w:cs="Times New Roman"/>
          <w:color w:val="auto"/>
          <w:szCs w:val="21"/>
          <w:highlight w:val="none"/>
          <w:lang w:eastAsia="zh-CN"/>
        </w:rPr>
        <w:t>）</w:t>
      </w:r>
    </w:p>
    <w:p w14:paraId="5062262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29217AE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λ——单桩承载力发挥系数，可按地区经验取值，素混凝土桩和CFG桩取0.8～0.9；</w:t>
      </w:r>
    </w:p>
    <w:p w14:paraId="34C8D11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β——桩间土承载力折减系数，可按</w:t>
      </w:r>
      <w:r>
        <w:rPr>
          <w:rFonts w:hint="eastAsia" w:ascii="Times New Roman" w:hAnsi="Times New Roman" w:eastAsia="宋体" w:cs="Times New Roman"/>
          <w:color w:val="auto"/>
          <w:szCs w:val="21"/>
          <w:highlight w:val="none"/>
          <w:lang w:val="en-US" w:eastAsia="zh-CN"/>
        </w:rPr>
        <w:t>当地</w:t>
      </w:r>
      <w:r>
        <w:rPr>
          <w:rFonts w:ascii="Times New Roman" w:hAnsi="Times New Roman" w:eastAsia="宋体" w:cs="Times New Roman"/>
          <w:color w:val="auto"/>
          <w:szCs w:val="21"/>
          <w:highlight w:val="none"/>
        </w:rPr>
        <w:t>经验取值，素混凝土桩和CFG桩取0.9～1.0；</w:t>
      </w:r>
    </w:p>
    <w:p w14:paraId="219B973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cu</w:t>
      </w:r>
      <w:r>
        <w:rPr>
          <w:rFonts w:ascii="Times New Roman" w:hAnsi="Times New Roman" w:eastAsia="宋体" w:cs="Times New Roman"/>
          <w:color w:val="auto"/>
          <w:szCs w:val="21"/>
          <w:highlight w:val="none"/>
        </w:rPr>
        <w:t>——桩体试块（边长150mm立方体）标准养护28d的立方体抗压强度平均值（kPa）；</w:t>
      </w:r>
    </w:p>
    <w:p w14:paraId="67E18A3E">
      <w:pPr>
        <w:spacing w:line="360" w:lineRule="auto"/>
        <w:ind w:left="1050" w:leftChars="200" w:hanging="630" w:hangingChars="300"/>
        <w:rPr>
          <w:rFonts w:ascii="Times New Roman" w:hAnsi="Times New Roman" w:eastAsia="宋体" w:cs="Times New Roman"/>
          <w:color w:val="auto"/>
          <w:szCs w:val="21"/>
          <w:highlight w:val="none"/>
        </w:rPr>
      </w:pPr>
      <w:r>
        <w:rPr>
          <w:rFonts w:ascii="Times New Roman" w:hAnsi="Times New Roman" w:eastAsia="宋体" w:cs="Times New Roman"/>
          <w:color w:val="auto"/>
          <w:position w:val="-12"/>
          <w:szCs w:val="21"/>
          <w:highlight w:val="none"/>
        </w:rPr>
        <w:object>
          <v:shape id="_x0000_i1036" o:spt="75" type="#_x0000_t75" style="height:18pt;width:16pt;" o:ole="t" filled="f" o:preferrelative="t" stroked="f" coordsize="21600,21600">
            <v:path/>
            <v:fill on="f" focussize="0,0"/>
            <v:stroke on="f"/>
            <v:imagedata r:id="rId60" o:title=""/>
            <o:lock v:ext="edit" aspectratio="t"/>
            <w10:wrap type="none"/>
            <w10:anchorlock/>
          </v:shape>
          <o:OLEObject Type="Embed" ProgID="Equation.KSEE3" ShapeID="_x0000_i1036" DrawAspect="Content" ObjectID="_1468075737" r:id="rId59">
            <o:LockedField>false</o:LockedField>
          </o:OLEObject>
        </w:object>
      </w:r>
      <w:r>
        <w:rPr>
          <w:rFonts w:ascii="Times New Roman" w:hAnsi="Times New Roman" w:eastAsia="宋体" w:cs="Times New Roman"/>
          <w:color w:val="auto"/>
          <w:szCs w:val="21"/>
          <w:highlight w:val="none"/>
        </w:rPr>
        <w:t>——桥涵结构物基础底面以上土的加权平均重度（kN／</w:t>
      </w:r>
      <w:r>
        <w:rPr>
          <w:rFonts w:hint="eastAsia" w:ascii="Times New Roman" w:hAnsi="Times New Roman" w:eastAsia="宋体" w:cs="Times New Roman"/>
          <w:color w:val="auto"/>
          <w:szCs w:val="21"/>
          <w:highlight w:val="none"/>
          <w:lang w:val="en-US" w:eastAsia="zh-CN"/>
        </w:rPr>
        <w:t>m</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），地下水</w:t>
      </w:r>
      <w:r>
        <w:rPr>
          <w:rFonts w:hint="eastAsia" w:ascii="Times New Roman" w:hAnsi="Times New Roman" w:eastAsia="宋体" w:cs="Times New Roman"/>
          <w:color w:val="auto"/>
          <w:szCs w:val="21"/>
          <w:highlight w:val="none"/>
          <w:lang w:val="en-US" w:eastAsia="zh-CN"/>
        </w:rPr>
        <w:t>位</w:t>
      </w:r>
      <w:r>
        <w:rPr>
          <w:rFonts w:ascii="Times New Roman" w:hAnsi="Times New Roman" w:eastAsia="宋体" w:cs="Times New Roman"/>
          <w:color w:val="auto"/>
          <w:szCs w:val="21"/>
          <w:highlight w:val="none"/>
        </w:rPr>
        <w:t>以下取有效重度；</w:t>
      </w:r>
    </w:p>
    <w:p w14:paraId="2C03742F">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d——桥涵结构物基础埋置深度（m）；</w:t>
      </w:r>
    </w:p>
    <w:p w14:paraId="2822604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vertAlign w:val="subscript"/>
        </w:rPr>
        <w:t>spa</w:t>
      </w:r>
      <w:r>
        <w:rPr>
          <w:rFonts w:ascii="Times New Roman" w:hAnsi="Times New Roman" w:eastAsia="宋体" w:cs="Times New Roman"/>
          <w:color w:val="auto"/>
          <w:szCs w:val="21"/>
          <w:highlight w:val="none"/>
        </w:rPr>
        <w:t>——桥涵结构物基础深度修正后的复合地基承载力特征值（kPa）。</w:t>
      </w:r>
    </w:p>
    <w:p w14:paraId="55B3C04C">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6.4.3.9</w:t>
      </w:r>
      <w:r>
        <w:rPr>
          <w:rFonts w:ascii="Times New Roman" w:hAnsi="Times New Roman" w:eastAsia="宋体" w:cs="Times New Roman"/>
          <w:color w:val="auto"/>
          <w:szCs w:val="21"/>
          <w:highlight w:val="none"/>
        </w:rPr>
        <w:t xml:space="preserve"> 高强度的预应力管桩和</w:t>
      </w:r>
      <w:r>
        <w:rPr>
          <w:rFonts w:ascii="Times New Roman" w:hAnsi="Times New Roman" w:eastAsia="宋体" w:cs="Times New Roman"/>
          <w:color w:val="auto"/>
          <w:szCs w:val="21"/>
          <w:highlight w:val="none"/>
        </w:rPr>
        <w:t>其他混凝土桩不可验算复合地基承载力，</w:t>
      </w:r>
      <w:r>
        <w:rPr>
          <w:rFonts w:ascii="Times New Roman" w:hAnsi="Times New Roman" w:eastAsia="宋体" w:cs="Times New Roman"/>
          <w:color w:val="auto"/>
          <w:szCs w:val="21"/>
          <w:highlight w:val="none"/>
        </w:rPr>
        <w:t>单桩承载力R可按</w:t>
      </w:r>
      <w:r>
        <w:rPr>
          <w:rFonts w:hint="eastAsia" w:ascii="Times New Roman" w:hAnsi="Times New Roman" w:eastAsia="宋体" w:cs="Times New Roman"/>
          <w:color w:val="auto"/>
          <w:szCs w:val="21"/>
          <w:highlight w:val="none"/>
          <w:lang w:val="en-US" w:eastAsia="zh-CN"/>
        </w:rPr>
        <w:t>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44</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45</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进行验算：</w:t>
      </w:r>
    </w:p>
    <w:p w14:paraId="05D2C806">
      <w:pPr>
        <w:spacing w:line="360" w:lineRule="auto"/>
        <w:ind w:firstLine="3990" w:firstLineChars="1900"/>
        <w:rPr>
          <w:rFonts w:hint="default" w:ascii="Times New Roman" w:hAnsi="Times New Roman" w:cs="Times New Roman" w:eastAsiaTheme="minorEastAsia"/>
          <w:color w:val="auto"/>
          <w:szCs w:val="21"/>
          <w:highlight w:val="none"/>
          <w:lang w:val="en-US" w:eastAsia="zh-CN"/>
        </w:rPr>
      </w:pPr>
      <m:oMath>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u</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44</w:t>
      </w:r>
      <w:r>
        <w:rPr>
          <w:rFonts w:hint="eastAsia" w:ascii="Times New Roman" w:hAnsi="Times New Roman" w:eastAsia="宋体" w:cs="Times New Roman"/>
          <w:color w:val="auto"/>
          <w:szCs w:val="21"/>
          <w:highlight w:val="none"/>
          <w:lang w:eastAsia="zh-CN"/>
        </w:rPr>
        <w:t>）</w:t>
      </w:r>
    </w:p>
    <w:p w14:paraId="42352049">
      <w:pPr>
        <w:spacing w:line="360" w:lineRule="auto"/>
        <w:ind w:firstLine="2940" w:firstLineChars="1400"/>
        <w:rPr>
          <w:rFonts w:hint="default" w:ascii="Times New Roman" w:hAnsi="Times New Roman" w:cs="Times New Roman" w:eastAsiaTheme="minorEastAsia"/>
          <w:color w:val="auto"/>
          <w:szCs w:val="21"/>
          <w:highlight w:val="none"/>
          <w:lang w:val="en-US" w:eastAsia="zh-CN"/>
        </w:rPr>
      </w:pPr>
      <m:oMath>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R</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=u</m:t>
        </m:r>
        <m:nary>
          <m:naryPr>
            <m:chr m:val="∑"/>
            <m:limLoc m:val="undOvr"/>
            <m:subHide m:val="1"/>
            <m:supHide m:val="1"/>
            <m:ctrlPr>
              <w:rPr>
                <w:rFonts w:ascii="Cambria Math" w:hAnsi="Cambria Math" w:cs="Times New Roman"/>
                <w:i/>
                <w:color w:val="auto"/>
                <w:szCs w:val="21"/>
                <w:highlight w:val="none"/>
              </w:rPr>
            </m:ctrlPr>
          </m:naryPr>
          <m:sub>
            <m:ctrlPr>
              <w:rPr>
                <w:rFonts w:ascii="Cambria Math" w:hAnsi="Cambria Math" w:cs="Times New Roman"/>
                <w:i/>
                <w:color w:val="auto"/>
                <w:szCs w:val="21"/>
                <w:highlight w:val="none"/>
              </w:rPr>
            </m:ctrlPr>
          </m:sub>
          <m:sup>
            <m:ctrlPr>
              <w:rPr>
                <w:rFonts w:ascii="Cambria Math" w:hAnsi="Cambria Math" w:cs="Times New Roman"/>
                <w:i/>
                <w:color w:val="auto"/>
                <w:szCs w:val="21"/>
                <w:highlight w:val="none"/>
              </w:rPr>
            </m:ctrlPr>
          </m:sup>
          <m:e>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sik</m:t>
                </m:r>
                <m:ctrlPr>
                  <w:rPr>
                    <w:rFonts w:ascii="Cambria Math" w:hAnsi="Cambria Math" w:cs="Times New Roman"/>
                    <w:i/>
                    <w:color w:val="auto"/>
                    <w:szCs w:val="21"/>
                    <w:highlight w:val="none"/>
                  </w:rPr>
                </m:ctrlPr>
              </m:sub>
            </m:sSub>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l</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i</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q</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pk</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j</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λ</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r>
                  <m:rPr/>
                  <w:rPr>
                    <w:rFonts w:hint="default" w:ascii="Cambria Math" w:hAnsi="Cambria Math" w:cs="Times New Roman"/>
                    <w:color w:val="auto"/>
                    <w:szCs w:val="21"/>
                    <w:highlight w:val="none"/>
                    <w:lang w:val="en-US" w:eastAsia="zh-CN"/>
                  </w:rPr>
                  <m:t>1</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e>
        </m:nary>
      </m:oMath>
      <w:r>
        <w:rPr>
          <w:rFonts w:hint="eastAsia" w:hAnsi="Cambria Math"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45</w:t>
      </w:r>
      <w:r>
        <w:rPr>
          <w:rFonts w:hint="eastAsia" w:ascii="Times New Roman" w:hAnsi="Times New Roman" w:eastAsia="宋体" w:cs="Times New Roman"/>
          <w:color w:val="auto"/>
          <w:szCs w:val="21"/>
          <w:highlight w:val="none"/>
          <w:lang w:eastAsia="zh-CN"/>
        </w:rPr>
        <w:t>）</w:t>
      </w:r>
    </w:p>
    <w:p w14:paraId="7052F36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6744A5D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sik</w:t>
      </w:r>
      <w:r>
        <w:rPr>
          <w:rFonts w:ascii="Times New Roman" w:hAnsi="Times New Roman" w:eastAsia="宋体" w:cs="Times New Roman"/>
          <w:color w:val="auto"/>
          <w:szCs w:val="21"/>
          <w:highlight w:val="none"/>
        </w:rPr>
        <w:t>——极限桩侧阻力标准值（kPa）；</w:t>
      </w:r>
    </w:p>
    <w:p w14:paraId="5CEE238C">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q</w:t>
      </w:r>
      <w:r>
        <w:rPr>
          <w:rFonts w:ascii="Times New Roman" w:hAnsi="Times New Roman" w:eastAsia="宋体" w:cs="Times New Roman"/>
          <w:color w:val="auto"/>
          <w:szCs w:val="21"/>
          <w:highlight w:val="none"/>
          <w:vertAlign w:val="subscript"/>
        </w:rPr>
        <w:t>pk</w:t>
      </w:r>
      <w:r>
        <w:rPr>
          <w:rFonts w:ascii="Times New Roman" w:hAnsi="Times New Roman" w:eastAsia="宋体" w:cs="Times New Roman"/>
          <w:color w:val="auto"/>
          <w:szCs w:val="21"/>
          <w:highlight w:val="none"/>
        </w:rPr>
        <w:t>——极限端阻力标准值（kPa）；</w:t>
      </w:r>
    </w:p>
    <w:p w14:paraId="4420387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l</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——桩周第i层土的厚度（m）；</w:t>
      </w:r>
    </w:p>
    <w:p w14:paraId="189E9F26">
      <w:pPr>
        <w:spacing w:line="360" w:lineRule="auto"/>
        <w:ind w:firstLine="420" w:firstLineChars="200"/>
        <w:rPr>
          <w:rFonts w:ascii="Times New Roman" w:hAnsi="Times New Roman" w:cs="Times New Roman"/>
          <w:color w:val="auto"/>
          <w:szCs w:val="21"/>
          <w:highlight w:val="none"/>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p</w:t>
      </w:r>
      <w:r>
        <w:rPr>
          <w:rFonts w:hint="eastAsia" w:ascii="Times New Roman" w:hAnsi="Times New Roman" w:eastAsia="宋体" w:cs="Times New Roman"/>
          <w:color w:val="auto"/>
          <w:szCs w:val="21"/>
          <w:highlight w:val="none"/>
          <w:vertAlign w:val="subscript"/>
          <w:lang w:val="en-US" w:eastAsia="zh-CN"/>
        </w:rPr>
        <w:t>1</w:t>
      </w:r>
      <w:r>
        <w:rPr>
          <w:rFonts w:ascii="Times New Roman" w:hAnsi="Times New Roman" w:eastAsia="宋体" w:cs="Times New Roman"/>
          <w:color w:val="auto"/>
          <w:szCs w:val="21"/>
          <w:highlight w:val="none"/>
        </w:rPr>
        <w:t>——空心桩敞口面积，</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p1</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π</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4</m:t>
            </m:r>
            <m:ctrlPr>
              <w:rPr>
                <w:rFonts w:ascii="Cambria Math" w:hAnsi="Cambria Math" w:cs="Times New Roman"/>
                <w:i/>
                <w:color w:val="auto"/>
                <w:szCs w:val="21"/>
                <w:highlight w:val="none"/>
              </w:rPr>
            </m:ctrlPr>
          </m:den>
        </m:f>
        <m:sSubSup>
          <m:sSubSupPr>
            <m:ctrlPr>
              <w:rPr>
                <w:rFonts w:ascii="Cambria Math" w:hAnsi="Cambria Math" w:cs="Times New Roman"/>
                <w:i/>
                <w:color w:val="auto"/>
                <w:szCs w:val="21"/>
                <w:highlight w:val="none"/>
              </w:rPr>
            </m:ctrlPr>
          </m:sSubSupPr>
          <m:e>
            <m:r>
              <m:rPr/>
              <w:rPr>
                <w:rFonts w:ascii="Cambria Math" w:hAnsi="Cambria Math" w:cs="Times New Roman"/>
                <w:color w:val="auto"/>
                <w:szCs w:val="21"/>
                <w:highlight w:val="none"/>
              </w:rPr>
              <m:t>d</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bSup>
      </m:oMath>
      <w:r>
        <w:rPr>
          <w:rFonts w:ascii="Times New Roman" w:hAnsi="Times New Roman" w:cs="Times New Roman"/>
          <w:color w:val="auto"/>
          <w:szCs w:val="21"/>
          <w:highlight w:val="none"/>
        </w:rPr>
        <w:t>；</w:t>
      </w:r>
    </w:p>
    <w:p w14:paraId="526D526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ascii="Times New Roman" w:hAnsi="Times New Roman" w:eastAsia="宋体" w:cs="Times New Roman"/>
          <w:color w:val="auto"/>
          <w:szCs w:val="21"/>
          <w:highlight w:val="none"/>
          <w:vertAlign w:val="subscript"/>
        </w:rPr>
        <w:t>j</w:t>
      </w:r>
      <w:r>
        <w:rPr>
          <w:rFonts w:ascii="Times New Roman" w:hAnsi="Times New Roman" w:eastAsia="宋体" w:cs="Times New Roman"/>
          <w:color w:val="auto"/>
          <w:szCs w:val="21"/>
          <w:highlight w:val="none"/>
        </w:rPr>
        <w:t>——空心桩柱端净面积，管桩</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j</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π</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4</m:t>
            </m:r>
            <m:ctrlPr>
              <w:rPr>
                <w:rFonts w:ascii="Cambria Math" w:hAnsi="Cambria Math" w:cs="Times New Roman"/>
                <w:i/>
                <w:color w:val="auto"/>
                <w:szCs w:val="21"/>
                <w:highlight w:val="none"/>
              </w:rPr>
            </m:ctrlPr>
          </m:den>
        </m:f>
        <m:sSubSup>
          <m:sSubSupPr>
            <m:ctrlPr>
              <w:rPr>
                <w:rFonts w:ascii="Cambria Math" w:hAnsi="Cambria Math" w:cs="Times New Roman"/>
                <w:i/>
                <w:color w:val="auto"/>
                <w:szCs w:val="21"/>
                <w:highlight w:val="none"/>
              </w:rPr>
            </m:ctrlPr>
          </m:sSubSupPr>
          <m:e>
            <m:r>
              <m:rPr/>
              <w:rPr>
                <w:rFonts w:ascii="Cambria Math" w:hAnsi="Cambria Math" w:cs="Times New Roman"/>
                <w:color w:val="auto"/>
                <w:szCs w:val="21"/>
                <w:highlight w:val="none"/>
              </w:rPr>
              <m:t>(</m:t>
            </m:r>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d</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r>
              <m:rPr/>
              <w:rPr>
                <w:rFonts w:ascii="Cambria Math" w:hAnsi="Cambria Math" w:cs="Times New Roman"/>
                <w:color w:val="auto"/>
                <w:szCs w:val="21"/>
                <w:highlight w:val="none"/>
              </w:rPr>
              <m:t>−d</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bSup>
        <m:r>
          <m:rPr/>
          <w:rPr>
            <w:rFonts w:ascii="Cambria Math" w:hAnsi="Cambria Math" w:cs="Times New Roman"/>
            <w:color w:val="auto"/>
            <w:szCs w:val="21"/>
            <w:highlight w:val="none"/>
          </w:rPr>
          <m:t>)</m:t>
        </m:r>
      </m:oMath>
      <w:r>
        <w:rPr>
          <w:rFonts w:ascii="Times New Roman" w:hAnsi="Times New Roman" w:eastAsia="宋体" w:cs="Times New Roman"/>
          <w:color w:val="auto"/>
          <w:szCs w:val="21"/>
          <w:highlight w:val="none"/>
        </w:rPr>
        <w:t>，空心方桩</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j</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b</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π</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4</m:t>
            </m:r>
            <m:ctrlPr>
              <w:rPr>
                <w:rFonts w:ascii="Cambria Math" w:hAnsi="Cambria Math" w:cs="Times New Roman"/>
                <w:i/>
                <w:color w:val="auto"/>
                <w:szCs w:val="21"/>
                <w:highlight w:val="none"/>
              </w:rPr>
            </m:ctrlPr>
          </m:den>
        </m:f>
        <m:sSubSup>
          <m:sSubSupPr>
            <m:ctrlPr>
              <w:rPr>
                <w:rFonts w:ascii="Cambria Math" w:hAnsi="Cambria Math" w:cs="Times New Roman"/>
                <w:i/>
                <w:color w:val="auto"/>
                <w:szCs w:val="21"/>
                <w:highlight w:val="none"/>
              </w:rPr>
            </m:ctrlPr>
          </m:sSubSupPr>
          <m:e>
            <m:r>
              <m:rPr/>
              <w:rPr>
                <w:rFonts w:ascii="Cambria Math" w:hAnsi="Cambria Math" w:cs="Times New Roman"/>
                <w:color w:val="auto"/>
                <w:szCs w:val="21"/>
                <w:highlight w:val="none"/>
              </w:rPr>
              <m:t>d</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bSup>
      </m:oMath>
      <w:r>
        <w:rPr>
          <w:rFonts w:ascii="Times New Roman" w:hAnsi="Times New Roman" w:eastAsia="宋体" w:cs="Times New Roman"/>
          <w:color w:val="auto"/>
          <w:szCs w:val="21"/>
          <w:highlight w:val="none"/>
        </w:rPr>
        <w:t>；</w:t>
      </w:r>
    </w:p>
    <w:p w14:paraId="55A17AE0">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λ</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——桩端土塞效应系数；当h</w:t>
      </w:r>
      <w:r>
        <w:rPr>
          <w:rFonts w:ascii="Times New Roman" w:hAnsi="Times New Roman" w:eastAsia="宋体" w:cs="Times New Roman"/>
          <w:color w:val="auto"/>
          <w:szCs w:val="21"/>
          <w:highlight w:val="none"/>
          <w:vertAlign w:val="subscript"/>
        </w:rPr>
        <w:t>b</w:t>
      </w:r>
      <w:r>
        <w:rPr>
          <w:rFonts w:ascii="Times New Roman" w:hAnsi="Times New Roman" w:eastAsia="宋体" w:cs="Times New Roman"/>
          <w:color w:val="auto"/>
          <w:szCs w:val="21"/>
          <w:highlight w:val="none"/>
        </w:rPr>
        <w:t>/d＜5时，</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λ</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＝0.16h</w:t>
      </w:r>
      <w:r>
        <w:rPr>
          <w:rFonts w:ascii="Times New Roman" w:hAnsi="Times New Roman" w:eastAsia="宋体" w:cs="Times New Roman"/>
          <w:color w:val="auto"/>
          <w:szCs w:val="21"/>
          <w:highlight w:val="none"/>
          <w:vertAlign w:val="subscript"/>
        </w:rPr>
        <w:t>b</w:t>
      </w:r>
      <w:r>
        <w:rPr>
          <w:rFonts w:ascii="Times New Roman" w:hAnsi="Times New Roman" w:eastAsia="宋体" w:cs="Times New Roman"/>
          <w:color w:val="auto"/>
          <w:szCs w:val="21"/>
          <w:highlight w:val="none"/>
        </w:rPr>
        <w:t>/d；当h</w:t>
      </w:r>
      <w:r>
        <w:rPr>
          <w:rFonts w:ascii="Times New Roman" w:hAnsi="Times New Roman" w:eastAsia="宋体" w:cs="Times New Roman"/>
          <w:color w:val="auto"/>
          <w:szCs w:val="21"/>
          <w:highlight w:val="none"/>
          <w:vertAlign w:val="subscript"/>
        </w:rPr>
        <w:t>b</w:t>
      </w:r>
      <w:r>
        <w:rPr>
          <w:rFonts w:ascii="Times New Roman" w:hAnsi="Times New Roman" w:eastAsia="宋体" w:cs="Times New Roman"/>
          <w:color w:val="auto"/>
          <w:szCs w:val="21"/>
          <w:highlight w:val="none"/>
        </w:rPr>
        <w:t>／d≥5时，</w:t>
      </w: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λ</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p</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＝0.8；</w:t>
      </w:r>
    </w:p>
    <w:p w14:paraId="72A952BD">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vertAlign w:val="subscript"/>
        </w:rPr>
        <w:t>b</w:t>
      </w:r>
      <w:r>
        <w:rPr>
          <w:rFonts w:ascii="Times New Roman" w:hAnsi="Times New Roman" w:eastAsia="宋体" w:cs="Times New Roman"/>
          <w:color w:val="auto"/>
          <w:szCs w:val="21"/>
          <w:highlight w:val="none"/>
        </w:rPr>
        <w:t>——桩端进入持力层深度（m）；</w:t>
      </w:r>
    </w:p>
    <w:p w14:paraId="3046319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d、d</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——分别为管桩外径和内径（m）。</w:t>
      </w:r>
    </w:p>
    <w:p w14:paraId="563A3B71">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6.4.3.10</w:t>
      </w:r>
      <w:r>
        <w:rPr>
          <w:rFonts w:ascii="Times New Roman" w:hAnsi="Times New Roman" w:eastAsia="宋体" w:cs="Times New Roman"/>
          <w:color w:val="auto"/>
          <w:szCs w:val="21"/>
          <w:highlight w:val="none"/>
        </w:rPr>
        <w:t xml:space="preserve"> 素混凝土桩和水泥粉煤灰碎石桩（CFG桩）等强度较高刚性桩沉降与稳定计算方法可采用与加固土桩相同的方法。</w:t>
      </w:r>
    </w:p>
    <w:p w14:paraId="276E836E">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6.4.3.11</w:t>
      </w:r>
      <w:r>
        <w:rPr>
          <w:rFonts w:ascii="Times New Roman" w:hAnsi="Times New Roman" w:eastAsia="宋体" w:cs="Times New Roman"/>
          <w:color w:val="auto"/>
          <w:szCs w:val="21"/>
          <w:highlight w:val="none"/>
        </w:rPr>
        <w:t xml:space="preserve"> 带桩帽的高强度预应力管桩类刚性桩可不考虑桩间土压缩变形对沉降的影响，采用</w:t>
      </w:r>
      <w:r>
        <w:rPr>
          <w:rFonts w:hint="eastAsia" w:ascii="Times New Roman" w:hAnsi="Times New Roman" w:eastAsia="宋体" w:cs="Times New Roman"/>
          <w:color w:val="auto"/>
          <w:szCs w:val="21"/>
          <w:highlight w:val="none"/>
          <w:lang w:val="en-US" w:eastAsia="zh-CN"/>
        </w:rPr>
        <w:t>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46</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进行沉降计算。</w:t>
      </w:r>
    </w:p>
    <w:p w14:paraId="3FED5542">
      <w:pPr>
        <w:spacing w:line="360" w:lineRule="auto"/>
        <w:ind w:firstLine="2940" w:firstLineChars="1400"/>
        <w:rPr>
          <w:rFonts w:ascii="Times New Roman" w:hAnsi="Times New Roman" w:eastAsia="宋体" w:cs="Times New Roman"/>
          <w:color w:val="auto"/>
          <w:szCs w:val="21"/>
          <w:highlight w:val="none"/>
        </w:rPr>
      </w:pPr>
      <m:oMath>
        <m:r>
          <m:rPr>
            <m:sty m:val="p"/>
          </m:rPr>
          <w:rPr>
            <w:rFonts w:ascii="Cambria Math" w:hAnsi="Cambria Math" w:eastAsia="宋体" w:cs="Times New Roman"/>
            <w:color w:val="auto"/>
            <w:szCs w:val="21"/>
            <w:highlight w:val="none"/>
          </w:rPr>
          <m:t>S=</m:t>
        </m:r>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ψ</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p</m:t>
            </m:r>
            <m:ctrlPr>
              <w:rPr>
                <w:rFonts w:ascii="Cambria Math" w:hAnsi="Cambria Math" w:eastAsia="宋体" w:cs="Times New Roman"/>
                <w:color w:val="auto"/>
                <w:szCs w:val="21"/>
                <w:highlight w:val="none"/>
              </w:rPr>
            </m:ctrlPr>
          </m:sub>
        </m:sSub>
        <m:nary>
          <m:naryPr>
            <m:chr m:val="∑"/>
            <m:limLoc m:val="undOvr"/>
            <m:ctrlPr>
              <w:rPr>
                <w:rFonts w:ascii="Cambria Math" w:hAnsi="Cambria Math" w:eastAsia="宋体" w:cs="Times New Roman"/>
                <w:color w:val="auto"/>
                <w:szCs w:val="21"/>
                <w:highlight w:val="none"/>
              </w:rPr>
            </m:ctrlPr>
          </m:naryPr>
          <m:sub>
            <m:r>
              <m:rPr>
                <m:sty m:val="p"/>
              </m:rPr>
              <w:rPr>
                <w:rFonts w:ascii="Cambria Math" w:hAnsi="Cambria Math" w:eastAsia="宋体" w:cs="Times New Roman"/>
                <w:color w:val="auto"/>
                <w:szCs w:val="21"/>
                <w:highlight w:val="none"/>
              </w:rPr>
              <m:t>j=1</m:t>
            </m:r>
            <m:ctrlPr>
              <w:rPr>
                <w:rFonts w:ascii="Cambria Math" w:hAnsi="Cambria Math" w:eastAsia="宋体" w:cs="Times New Roman"/>
                <w:color w:val="auto"/>
                <w:szCs w:val="21"/>
                <w:highlight w:val="none"/>
              </w:rPr>
            </m:ctrlPr>
          </m:sub>
          <m:sup>
            <m:r>
              <m:rPr>
                <m:sty m:val="p"/>
              </m:rPr>
              <w:rPr>
                <w:rFonts w:ascii="Cambria Math" w:hAnsi="Cambria Math" w:eastAsia="宋体" w:cs="Times New Roman"/>
                <w:color w:val="auto"/>
                <w:szCs w:val="21"/>
                <w:highlight w:val="none"/>
              </w:rPr>
              <m:t>m</m:t>
            </m:r>
            <m:ctrlPr>
              <w:rPr>
                <w:rFonts w:ascii="Cambria Math" w:hAnsi="Cambria Math" w:eastAsia="宋体" w:cs="Times New Roman"/>
                <w:color w:val="auto"/>
                <w:szCs w:val="21"/>
                <w:highlight w:val="none"/>
              </w:rPr>
            </m:ctrlPr>
          </m:sup>
          <m:e>
            <m:nary>
              <m:naryPr>
                <m:chr m:val="∑"/>
                <m:limLoc m:val="undOvr"/>
                <m:ctrlPr>
                  <w:rPr>
                    <w:rFonts w:ascii="Cambria Math" w:hAnsi="Cambria Math" w:eastAsia="宋体" w:cs="Times New Roman"/>
                    <w:color w:val="auto"/>
                    <w:szCs w:val="21"/>
                    <w:highlight w:val="none"/>
                  </w:rPr>
                </m:ctrlPr>
              </m:naryPr>
              <m:sub>
                <m:r>
                  <m:rPr>
                    <m:sty m:val="p"/>
                  </m:rPr>
                  <w:rPr>
                    <w:rFonts w:ascii="Cambria Math" w:hAnsi="Cambria Math" w:eastAsia="宋体" w:cs="Times New Roman"/>
                    <w:color w:val="auto"/>
                    <w:szCs w:val="21"/>
                    <w:highlight w:val="none"/>
                  </w:rPr>
                  <m:t>i=1</m:t>
                </m:r>
                <m:ctrlPr>
                  <w:rPr>
                    <w:rFonts w:ascii="Cambria Math" w:hAnsi="Cambria Math" w:eastAsia="宋体" w:cs="Times New Roman"/>
                    <w:color w:val="auto"/>
                    <w:szCs w:val="21"/>
                    <w:highlight w:val="none"/>
                  </w:rPr>
                </m:ctrlPr>
              </m:sub>
              <m:sup>
                <m:r>
                  <m:rPr>
                    <m:sty m:val="p"/>
                  </m:rPr>
                  <w:rPr>
                    <w:rFonts w:ascii="Cambria Math" w:hAnsi="Cambria Math" w:eastAsia="宋体" w:cs="Times New Roman"/>
                    <w:color w:val="auto"/>
                    <w:szCs w:val="21"/>
                    <w:highlight w:val="none"/>
                  </w:rPr>
                  <m:t>nj</m:t>
                </m:r>
                <m:ctrlPr>
                  <w:rPr>
                    <w:rFonts w:ascii="Cambria Math" w:hAnsi="Cambria Math" w:eastAsia="宋体" w:cs="Times New Roman"/>
                    <w:color w:val="auto"/>
                    <w:szCs w:val="21"/>
                    <w:highlight w:val="none"/>
                  </w:rPr>
                </m:ctrlPr>
              </m:sup>
              <m:e>
                <m:f>
                  <m:fPr>
                    <m:ctrlPr>
                      <w:rPr>
                        <w:rFonts w:ascii="Cambria Math" w:hAnsi="Cambria Math" w:eastAsia="宋体" w:cs="Times New Roman"/>
                        <w:color w:val="auto"/>
                        <w:szCs w:val="21"/>
                        <w:highlight w:val="none"/>
                      </w:rPr>
                    </m:ctrlPr>
                  </m:fPr>
                  <m:num>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σ</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j,i</m:t>
                        </m:r>
                        <m:ctrlPr>
                          <w:rPr>
                            <w:rFonts w:ascii="Cambria Math" w:hAnsi="Cambria Math" w:eastAsia="宋体" w:cs="Times New Roman"/>
                            <w:color w:val="auto"/>
                            <w:szCs w:val="21"/>
                            <w:highlight w:val="none"/>
                          </w:rPr>
                        </m:ctrlPr>
                      </m:sub>
                    </m:sSub>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Δh</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j,i</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num>
                  <m:den>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sj,i</m:t>
                        </m:r>
                        <m:ctrlPr>
                          <w:rPr>
                            <w:rFonts w:ascii="Cambria Math" w:hAnsi="Cambria Math" w:eastAsia="宋体" w:cs="Times New Roman"/>
                            <w:color w:val="auto"/>
                            <w:szCs w:val="21"/>
                            <w:highlight w:val="none"/>
                          </w:rPr>
                        </m:ctrlPr>
                      </m:sub>
                    </m:sSub>
                    <m:ctrlPr>
                      <w:rPr>
                        <w:rFonts w:ascii="Cambria Math" w:hAnsi="Cambria Math" w:eastAsia="宋体" w:cs="Times New Roman"/>
                        <w:color w:val="auto"/>
                        <w:szCs w:val="21"/>
                        <w:highlight w:val="none"/>
                      </w:rPr>
                    </m:ctrlPr>
                  </m:den>
                </m:f>
                <m:ctrlPr>
                  <w:rPr>
                    <w:rFonts w:ascii="Cambria Math" w:hAnsi="Cambria Math" w:eastAsia="宋体" w:cs="Times New Roman"/>
                    <w:color w:val="auto"/>
                    <w:szCs w:val="21"/>
                    <w:highlight w:val="none"/>
                  </w:rPr>
                </m:ctrlPr>
              </m:e>
            </m:nary>
            <m:ctrlPr>
              <w:rPr>
                <w:rFonts w:ascii="Cambria Math" w:hAnsi="Cambria Math" w:eastAsia="宋体" w:cs="Times New Roman"/>
                <w:color w:val="auto"/>
                <w:szCs w:val="21"/>
                <w:highlight w:val="none"/>
              </w:rPr>
            </m:ctrlPr>
          </m:e>
        </m:nary>
      </m:oMath>
      <w:r>
        <w:rPr>
          <w:rFonts w:hint="eastAsia" w:hAnsi="Cambria Math" w:eastAsia="宋体" w:cs="Times New Roman"/>
          <w:i w:val="0"/>
          <w:color w:val="auto"/>
          <w:szCs w:val="21"/>
          <w:highlight w:val="none"/>
          <w:lang w:val="en-US" w:eastAsia="zh-CN"/>
        </w:rPr>
        <w:t xml:space="preserve">  .....................................................</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46</w:t>
      </w:r>
      <w:r>
        <w:rPr>
          <w:rFonts w:hint="eastAsia" w:ascii="Times New Roman" w:hAnsi="Times New Roman" w:eastAsia="宋体" w:cs="Times New Roman"/>
          <w:color w:val="auto"/>
          <w:szCs w:val="21"/>
          <w:highlight w:val="none"/>
          <w:lang w:eastAsia="zh-CN"/>
        </w:rPr>
        <w:t>）</w:t>
      </w:r>
    </w:p>
    <w:p w14:paraId="481C1C0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395EF3CA">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S——桩基最终沉降(m)；</w:t>
      </w:r>
    </w:p>
    <w:p w14:paraId="2070997E">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ψ</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p</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——沉降经验系数，可根据工程实测资料确定；</w:t>
      </w:r>
    </w:p>
    <w:p w14:paraId="26204C93">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σ</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j,i</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——为桩端以下第j层第i分层的竖向附加应力(kPa)，可参考GB50007；</w:t>
      </w:r>
    </w:p>
    <w:p w14:paraId="03DDF7C3">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r>
              <m:rPr>
                <m:sty m:val="p"/>
              </m:rPr>
              <w:rPr>
                <w:rFonts w:ascii="Cambria Math" w:hAnsi="Cambria Math" w:cs="Times New Roman"/>
                <w:color w:val="auto"/>
                <w:szCs w:val="21"/>
                <w:highlight w:val="none"/>
              </w:rPr>
              <m:t>Δh</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j,i</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——桩端以下第j层第i分层的厚度(m)；</w:t>
      </w:r>
    </w:p>
    <w:p w14:paraId="2B0B0329">
      <w:pPr>
        <w:spacing w:line="360" w:lineRule="auto"/>
        <w:ind w:left="1050" w:leftChars="200" w:hanging="630" w:hangingChars="300"/>
        <w:rPr>
          <w:rFonts w:ascii="Times New Roman" w:hAnsi="Times New Roman" w:eastAsia="宋体" w:cs="Times New Roman"/>
          <w:color w:val="auto"/>
          <w:szCs w:val="21"/>
          <w:highlight w:val="none"/>
        </w:rPr>
      </w:pPr>
      <m:oMath>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E</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sj,i</m:t>
            </m:r>
            <m:ctrlPr>
              <w:rPr>
                <w:rFonts w:ascii="Cambria Math" w:hAnsi="Cambria Math" w:eastAsia="宋体" w:cs="Times New Roman"/>
                <w:color w:val="auto"/>
                <w:szCs w:val="21"/>
                <w:highlight w:val="none"/>
              </w:rPr>
            </m:ctrlPr>
          </m:sub>
        </m:sSub>
      </m:oMath>
      <w:r>
        <w:rPr>
          <w:rFonts w:ascii="Times New Roman" w:hAnsi="Times New Roman" w:eastAsia="宋体" w:cs="Times New Roman"/>
          <w:color w:val="auto"/>
          <w:szCs w:val="21"/>
          <w:highlight w:val="none"/>
        </w:rPr>
        <w:t>——桩端平面下第j层第</w:t>
      </w:r>
      <w:r>
        <w:rPr>
          <w:rFonts w:hint="eastAsia" w:ascii="Times New Roman" w:hAnsi="Times New Roman" w:eastAsia="宋体" w:cs="Times New Roman"/>
          <w:color w:val="auto"/>
          <w:szCs w:val="21"/>
          <w:highlight w:val="none"/>
          <w:lang w:val="en-US" w:eastAsia="zh-CN"/>
        </w:rPr>
        <w:t>i</w:t>
      </w:r>
      <w:r>
        <w:rPr>
          <w:rFonts w:ascii="Times New Roman" w:hAnsi="Times New Roman" w:eastAsia="宋体" w:cs="Times New Roman"/>
          <w:color w:val="auto"/>
          <w:szCs w:val="21"/>
          <w:highlight w:val="none"/>
        </w:rPr>
        <w:t>分</w:t>
      </w:r>
      <w:r>
        <w:rPr>
          <w:rFonts w:hint="eastAsia" w:ascii="Times New Roman" w:hAnsi="Times New Roman" w:eastAsia="宋体" w:cs="Times New Roman"/>
          <w:color w:val="auto"/>
          <w:szCs w:val="21"/>
          <w:highlight w:val="none"/>
          <w:lang w:val="en-US" w:eastAsia="zh-CN"/>
        </w:rPr>
        <w:t>层</w:t>
      </w:r>
      <w:r>
        <w:rPr>
          <w:rFonts w:ascii="Times New Roman" w:hAnsi="Times New Roman" w:eastAsia="宋体" w:cs="Times New Roman"/>
          <w:color w:val="auto"/>
          <w:szCs w:val="21"/>
          <w:highlight w:val="none"/>
        </w:rPr>
        <w:t>在自重应</w:t>
      </w:r>
      <w:r>
        <w:rPr>
          <w:rFonts w:hint="eastAsia" w:ascii="Times New Roman" w:hAnsi="Times New Roman" w:eastAsia="宋体" w:cs="Times New Roman"/>
          <w:color w:val="auto"/>
          <w:szCs w:val="21"/>
          <w:highlight w:val="none"/>
          <w:lang w:val="en-US" w:eastAsia="zh-CN"/>
        </w:rPr>
        <w:t>力至自重应力加附加应力作用段的</w:t>
      </w:r>
      <w:r>
        <w:rPr>
          <w:rFonts w:ascii="Times New Roman" w:hAnsi="Times New Roman" w:eastAsia="宋体" w:cs="Times New Roman"/>
          <w:color w:val="auto"/>
          <w:szCs w:val="21"/>
          <w:highlight w:val="none"/>
        </w:rPr>
        <w:t>压缩模量(MPa)。</w:t>
      </w:r>
    </w:p>
    <w:p w14:paraId="7F81960C">
      <w:pPr>
        <w:autoSpaceDE w:val="0"/>
        <w:autoSpaceDN w:val="0"/>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6.4.3.12</w:t>
      </w:r>
      <w:r>
        <w:rPr>
          <w:rFonts w:ascii="Times New Roman" w:hAnsi="Times New Roman" w:eastAsia="宋体" w:cs="Times New Roman"/>
          <w:color w:val="auto"/>
          <w:szCs w:val="21"/>
          <w:highlight w:val="none"/>
        </w:rPr>
        <w:t xml:space="preserve"> 刚性桩施工应符合下列规定：</w:t>
      </w:r>
    </w:p>
    <w:p w14:paraId="11EEB458">
      <w:pPr>
        <w:autoSpaceDE w:val="0"/>
        <w:autoSpaceDN w:val="0"/>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刚性桩施工应根据现场地质条件及工程特点选用成桩设备，预制桩可选用锤击打入法或静压法沉桩，灌注桩可选用沉管灌注和长螺旋钻孔灌注等方法，当软弱土深厚且布桩较密，或周边环境有严格要求时，不宜选用振动沉管灌注成桩法；</w:t>
      </w:r>
    </w:p>
    <w:p w14:paraId="59200E2D">
      <w:pPr>
        <w:autoSpaceDE w:val="0"/>
        <w:autoSpaceDN w:val="0"/>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持力层位置和施工桩长应根据现场地质条件和试桩结果确定</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灌注桩施工应根据地层和工艺试桩结果综合判断控制施工桩长；预制桩施工应以设计桩长控制为主，工艺试桩确定的收锤标准或压桩力控制为辅的方法控制施工桩长；</w:t>
      </w:r>
    </w:p>
    <w:p w14:paraId="2D09345D">
      <w:pPr>
        <w:autoSpaceDE w:val="0"/>
        <w:autoSpaceDN w:val="0"/>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饱和深厚软弱土地层挤土桩施工应选择合适的施工顺序，避免挤土效应，当设计桩间距较小时，宜按隔桩跳打的顺序施工，施打新桩与已打桩间隔的时间不应少于7d，加强对已施工桩及场地周边环境的监测；若桩较密集</w:t>
      </w:r>
      <w:r>
        <w:rPr>
          <w:rFonts w:hint="eastAsia" w:ascii="Times New Roman" w:hAnsi="Times New Roman" w:eastAsia="宋体" w:cs="Times New Roman"/>
          <w:color w:val="auto"/>
          <w:szCs w:val="21"/>
          <w:highlight w:val="none"/>
          <w:lang w:val="en-US" w:eastAsia="zh-CN"/>
        </w:rPr>
        <w:t>且</w:t>
      </w:r>
      <w:r>
        <w:rPr>
          <w:rFonts w:ascii="Times New Roman" w:hAnsi="Times New Roman" w:eastAsia="宋体" w:cs="Times New Roman"/>
          <w:color w:val="auto"/>
          <w:szCs w:val="21"/>
          <w:highlight w:val="none"/>
        </w:rPr>
        <w:t>一侧靠近建(构)筑物时，宜从毗邻建(构)筑物的一侧开始由近及远进行；</w:t>
      </w:r>
    </w:p>
    <w:p w14:paraId="01286666">
      <w:pPr>
        <w:autoSpaceDE w:val="0"/>
        <w:autoSpaceDN w:val="0"/>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素混凝土桩和水泥粉煤灰碎石桩(CFG桩)的强度宜为50MPa</w:t>
      </w:r>
      <w:r>
        <w:rPr>
          <w:rFonts w:hint="eastAsia" w:ascii="Times New Roman" w:hAnsi="Times New Roman" w:eastAsia="微软雅黑" w:cs="Times New Roman"/>
          <w:color w:val="auto"/>
          <w:szCs w:val="21"/>
          <w:highlight w:val="none"/>
          <w:lang w:eastAsia="zh-CN"/>
        </w:rPr>
        <w:t>～</w:t>
      </w:r>
      <w:r>
        <w:rPr>
          <w:rFonts w:ascii="Times New Roman" w:hAnsi="Times New Roman" w:eastAsia="宋体" w:cs="Times New Roman"/>
          <w:color w:val="auto"/>
          <w:szCs w:val="21"/>
          <w:highlight w:val="none"/>
        </w:rPr>
        <w:t>250MPa，桩体粗集料宜采用硬质碎石或砾石，CFG桩采用的</w:t>
      </w:r>
      <w:r>
        <w:rPr>
          <w:rFonts w:ascii="Times New Roman" w:hAnsi="Times New Roman" w:eastAsia="宋体" w:cs="Times New Roman"/>
          <w:color w:val="auto"/>
          <w:szCs w:val="21"/>
          <w:highlight w:val="none"/>
        </w:rPr>
        <w:t>粉煤灰</w:t>
      </w:r>
      <w:r>
        <w:rPr>
          <w:rFonts w:hint="eastAsia" w:ascii="Times New Roman" w:hAnsi="Times New Roman" w:eastAsia="宋体" w:cs="Times New Roman"/>
          <w:color w:val="auto"/>
          <w:szCs w:val="21"/>
          <w:highlight w:val="none"/>
          <w:lang w:val="en-US" w:eastAsia="zh-CN"/>
        </w:rPr>
        <w:t>宜</w:t>
      </w:r>
      <w:r>
        <w:rPr>
          <w:rFonts w:ascii="Times New Roman" w:hAnsi="Times New Roman" w:eastAsia="宋体" w:cs="Times New Roman"/>
          <w:color w:val="auto"/>
          <w:szCs w:val="21"/>
          <w:highlight w:val="none"/>
        </w:rPr>
        <w:t>为I级或</w:t>
      </w:r>
      <w:r>
        <w:rPr>
          <w:rFonts w:hint="eastAsia" w:ascii="Times New Roman" w:hAnsi="Times New Roman" w:eastAsia="宋体" w:cs="Times New Roman"/>
          <w:color w:val="auto"/>
          <w:szCs w:val="21"/>
          <w:highlight w:val="none"/>
        </w:rPr>
        <w:t>Ⅱ</w:t>
      </w:r>
      <w:r>
        <w:rPr>
          <w:rFonts w:ascii="Times New Roman" w:hAnsi="Times New Roman" w:eastAsia="宋体" w:cs="Times New Roman"/>
          <w:color w:val="auto"/>
          <w:szCs w:val="21"/>
          <w:highlight w:val="none"/>
        </w:rPr>
        <w:t>级粉煤灰；</w:t>
      </w:r>
      <w:r>
        <w:rPr>
          <w:rFonts w:ascii="Times New Roman" w:hAnsi="Times New Roman" w:eastAsia="宋体" w:cs="Times New Roman"/>
          <w:color w:val="auto"/>
          <w:szCs w:val="21"/>
          <w:highlight w:val="none"/>
        </w:rPr>
        <w:t>预制桩宜一次性连续沉桩至控制高程，沉桩过程中停歇时间不应过长；</w:t>
      </w:r>
    </w:p>
    <w:p w14:paraId="143B1F4E">
      <w:pPr>
        <w:autoSpaceDE w:val="0"/>
        <w:autoSpaceDN w:val="0"/>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e</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预制桩接桩时上、下节桩的中心线偏差不得大于5mm，节点弯曲矢高不得大于桩段的0.1%。桩接头焊好后应自然冷却至少5min</w:t>
      </w:r>
      <w:r>
        <w:rPr>
          <w:rFonts w:hint="eastAsia" w:ascii="Times New Roman" w:hAnsi="Times New Roman" w:eastAsia="微软雅黑" w:cs="Times New Roman"/>
          <w:color w:val="auto"/>
          <w:szCs w:val="21"/>
          <w:highlight w:val="none"/>
          <w:lang w:eastAsia="zh-CN"/>
        </w:rPr>
        <w:t>～</w:t>
      </w:r>
      <w:r>
        <w:rPr>
          <w:rFonts w:ascii="Times New Roman" w:hAnsi="Times New Roman" w:eastAsia="宋体" w:cs="Times New Roman"/>
          <w:color w:val="auto"/>
          <w:szCs w:val="21"/>
          <w:highlight w:val="none"/>
        </w:rPr>
        <w:t>8min，不得用水冷却；</w:t>
      </w:r>
    </w:p>
    <w:p w14:paraId="4F3FF8CB">
      <w:pPr>
        <w:autoSpaceDE w:val="0"/>
        <w:autoSpaceDN w:val="0"/>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f</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预制桩焊接接桩时，焊缝应连续饱满，满足二级焊缝的要求，因施工误差等因素造成的上、下桩端头间隙应采用厚薄适当的</w:t>
      </w:r>
      <w:r>
        <w:rPr>
          <w:rFonts w:hint="eastAsia" w:ascii="Times New Roman" w:hAnsi="Times New Roman" w:eastAsia="宋体" w:cs="Times New Roman"/>
          <w:color w:val="auto"/>
          <w:szCs w:val="21"/>
          <w:highlight w:val="none"/>
          <w:lang w:val="en-US" w:eastAsia="zh-CN"/>
        </w:rPr>
        <w:t>楔</w:t>
      </w:r>
      <w:r>
        <w:rPr>
          <w:rFonts w:ascii="Times New Roman" w:hAnsi="Times New Roman" w:eastAsia="宋体" w:cs="Times New Roman"/>
          <w:color w:val="auto"/>
          <w:szCs w:val="21"/>
          <w:highlight w:val="none"/>
        </w:rPr>
        <w:t>形铁片填实焊牢；</w:t>
      </w:r>
    </w:p>
    <w:p w14:paraId="27E16CB0">
      <w:pPr>
        <w:autoSpaceDE w:val="0"/>
        <w:autoSpaceDN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g</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预制桩在沉桩过程中遇到较难穿透的</w:t>
      </w:r>
      <w:r>
        <w:rPr>
          <w:rFonts w:hint="eastAsia" w:ascii="Times New Roman" w:hAnsi="Times New Roman" w:eastAsia="宋体" w:cs="Times New Roman"/>
          <w:color w:val="auto"/>
          <w:szCs w:val="21"/>
          <w:highlight w:val="none"/>
          <w:lang w:val="en-US" w:eastAsia="zh-CN"/>
        </w:rPr>
        <w:t>土</w:t>
      </w:r>
      <w:r>
        <w:rPr>
          <w:rFonts w:ascii="Times New Roman" w:hAnsi="Times New Roman" w:eastAsia="宋体" w:cs="Times New Roman"/>
          <w:color w:val="auto"/>
          <w:szCs w:val="21"/>
          <w:highlight w:val="none"/>
        </w:rPr>
        <w:t>层时，接桩</w:t>
      </w:r>
      <w:r>
        <w:rPr>
          <w:rFonts w:hint="eastAsia" w:ascii="Times New Roman" w:hAnsi="Times New Roman" w:eastAsia="宋体" w:cs="Times New Roman"/>
          <w:color w:val="auto"/>
          <w:szCs w:val="21"/>
          <w:highlight w:val="none"/>
          <w:lang w:val="en-US" w:eastAsia="zh-CN"/>
        </w:rPr>
        <w:t>宜</w:t>
      </w:r>
      <w:r>
        <w:rPr>
          <w:rFonts w:ascii="Times New Roman" w:hAnsi="Times New Roman" w:eastAsia="宋体" w:cs="Times New Roman"/>
          <w:color w:val="auto"/>
          <w:szCs w:val="21"/>
          <w:highlight w:val="none"/>
        </w:rPr>
        <w:t>在桩</w:t>
      </w:r>
      <w:r>
        <w:rPr>
          <w:rFonts w:hint="eastAsia" w:ascii="Times New Roman" w:hAnsi="Times New Roman" w:eastAsia="宋体" w:cs="Times New Roman"/>
          <w:color w:val="auto"/>
          <w:szCs w:val="21"/>
          <w:highlight w:val="none"/>
          <w:lang w:val="en-US" w:eastAsia="zh-CN"/>
        </w:rPr>
        <w:t>尖</w:t>
      </w:r>
      <w:r>
        <w:rPr>
          <w:rFonts w:ascii="Times New Roman" w:hAnsi="Times New Roman" w:eastAsia="宋体" w:cs="Times New Roman"/>
          <w:color w:val="auto"/>
          <w:szCs w:val="21"/>
          <w:highlight w:val="none"/>
        </w:rPr>
        <w:t>穿过该</w:t>
      </w:r>
      <w:r>
        <w:rPr>
          <w:rFonts w:hint="eastAsia" w:ascii="Times New Roman" w:hAnsi="Times New Roman" w:eastAsia="宋体" w:cs="Times New Roman"/>
          <w:color w:val="auto"/>
          <w:szCs w:val="21"/>
          <w:highlight w:val="none"/>
          <w:lang w:val="en-US" w:eastAsia="zh-CN"/>
        </w:rPr>
        <w:t>土</w:t>
      </w:r>
      <w:r>
        <w:rPr>
          <w:rFonts w:ascii="Times New Roman" w:hAnsi="Times New Roman" w:eastAsia="宋体" w:cs="Times New Roman"/>
          <w:color w:val="auto"/>
          <w:szCs w:val="21"/>
          <w:highlight w:val="none"/>
        </w:rPr>
        <w:t xml:space="preserve">层后进行； </w:t>
      </w:r>
    </w:p>
    <w:p w14:paraId="00F1F28A">
      <w:pPr>
        <w:autoSpaceDE w:val="0"/>
        <w:autoSpaceDN w:val="0"/>
        <w:spacing w:line="360" w:lineRule="auto"/>
        <w:ind w:left="840" w:leftChars="200" w:hanging="420" w:hanging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锤击法施工管桩遇上厚度较大的淤泥层或松软的回填</w:t>
      </w:r>
      <w:r>
        <w:rPr>
          <w:rFonts w:hint="eastAsia" w:ascii="Times New Roman" w:hAnsi="Times New Roman" w:eastAsia="宋体" w:cs="Times New Roman"/>
          <w:color w:val="auto"/>
          <w:szCs w:val="21"/>
          <w:highlight w:val="none"/>
          <w:lang w:val="en-US" w:eastAsia="zh-CN"/>
        </w:rPr>
        <w:t>层</w:t>
      </w:r>
      <w:r>
        <w:rPr>
          <w:rFonts w:ascii="Times New Roman" w:hAnsi="Times New Roman" w:eastAsia="宋体" w:cs="Times New Roman"/>
          <w:color w:val="auto"/>
          <w:szCs w:val="21"/>
          <w:highlight w:val="none"/>
        </w:rPr>
        <w:t>时,柴油锤宜采用不点火(空</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锤)的方式施打</w:t>
      </w:r>
      <w:r>
        <w:rPr>
          <w:rFonts w:ascii="Times New Roman" w:hAnsi="Times New Roman" w:eastAsia="宋体" w:cs="Times New Roman"/>
          <w:color w:val="auto"/>
          <w:szCs w:val="21"/>
          <w:highlight w:val="none"/>
        </w:rPr>
        <w:t>；液压锤应采用落距为20cm</w:t>
      </w:r>
      <w:r>
        <w:rPr>
          <w:rFonts w:hint="eastAsia" w:ascii="Times New Roman" w:hAnsi="Times New Roman" w:eastAsia="微软雅黑" w:cs="Times New Roman"/>
          <w:color w:val="auto"/>
          <w:szCs w:val="21"/>
          <w:highlight w:val="none"/>
          <w:lang w:eastAsia="zh-CN"/>
        </w:rPr>
        <w:t>～</w:t>
      </w:r>
      <w:r>
        <w:rPr>
          <w:rFonts w:ascii="Times New Roman" w:hAnsi="Times New Roman" w:eastAsia="宋体" w:cs="Times New Roman"/>
          <w:color w:val="auto"/>
          <w:szCs w:val="21"/>
          <w:highlight w:val="none"/>
        </w:rPr>
        <w:t>30cm的方式施打。</w:t>
      </w:r>
    </w:p>
    <w:p w14:paraId="3D6217F9">
      <w:pPr>
        <w:autoSpaceDE w:val="0"/>
        <w:autoSpaceDN w:val="0"/>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6.4.3.13 </w:t>
      </w:r>
      <w:r>
        <w:rPr>
          <w:rFonts w:ascii="Times New Roman" w:hAnsi="Times New Roman" w:eastAsia="宋体" w:cs="Times New Roman"/>
          <w:color w:val="auto"/>
          <w:szCs w:val="21"/>
          <w:highlight w:val="none"/>
        </w:rPr>
        <w:t>刚性桩质量检测应符合以下规定：</w:t>
      </w:r>
    </w:p>
    <w:p w14:paraId="196B1CE3">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刚性桩复合地基检测宜采用低应变、钻探取芯和承载力</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法等方法进行</w:t>
      </w:r>
      <w:r>
        <w:rPr>
          <w:rFonts w:hint="eastAsia" w:ascii="Times New Roman" w:hAnsi="Times New Roman" w:eastAsia="宋体" w:cs="Times New Roman"/>
          <w:color w:val="auto"/>
          <w:szCs w:val="21"/>
          <w:highlight w:val="none"/>
          <w:lang w:val="en-US" w:eastAsia="zh-CN"/>
        </w:rPr>
        <w:t>检测</w:t>
      </w:r>
      <w:r>
        <w:rPr>
          <w:rFonts w:ascii="Times New Roman" w:hAnsi="Times New Roman" w:eastAsia="宋体" w:cs="Times New Roman"/>
          <w:color w:val="auto"/>
          <w:szCs w:val="21"/>
          <w:highlight w:val="none"/>
        </w:rPr>
        <w:t xml:space="preserve">； </w:t>
      </w:r>
    </w:p>
    <w:p w14:paraId="3695B994">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对于素混凝土桩和水泥粉煤灰碎石桩(CFG桩)等粘结强度较高的刚性桩，在成桩28d后，可选用低应变法、钻探取芯法和</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法等方法进行质量检测，其中低应变法检测频率不少于1%</w:t>
      </w:r>
      <w:r>
        <w:rPr>
          <w:rFonts w:hint="eastAsia" w:ascii="Times New Roman" w:hAnsi="Times New Roman" w:eastAsia="微软雅黑" w:cs="Times New Roman"/>
          <w:color w:val="auto"/>
          <w:szCs w:val="21"/>
          <w:highlight w:val="none"/>
          <w:lang w:eastAsia="zh-CN"/>
        </w:rPr>
        <w:t>～</w:t>
      </w:r>
      <w:r>
        <w:rPr>
          <w:rFonts w:ascii="Times New Roman" w:hAnsi="Times New Roman" w:eastAsia="宋体" w:cs="Times New Roman"/>
          <w:color w:val="auto"/>
          <w:szCs w:val="21"/>
          <w:highlight w:val="none"/>
        </w:rPr>
        <w:t>5%，钻探取芯检测频率不少于0.5%，单</w:t>
      </w:r>
      <w:r>
        <w:rPr>
          <w:rFonts w:hint="eastAsia" w:ascii="Times New Roman" w:hAnsi="Times New Roman" w:eastAsia="宋体" w:cs="Times New Roman"/>
          <w:color w:val="auto"/>
          <w:szCs w:val="21"/>
          <w:highlight w:val="none"/>
          <w:lang w:val="en-US" w:eastAsia="zh-CN"/>
        </w:rPr>
        <w:t>桩</w:t>
      </w:r>
      <w:r>
        <w:rPr>
          <w:rFonts w:ascii="Times New Roman" w:hAnsi="Times New Roman" w:eastAsia="宋体" w:cs="Times New Roman"/>
          <w:color w:val="auto"/>
          <w:szCs w:val="21"/>
          <w:highlight w:val="none"/>
        </w:rPr>
        <w:t>承载力与复合地基承载力</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检测频率不少于0.1%，且同一路段不少于3根，测定的承载力应达到设计要求；</w:t>
      </w:r>
    </w:p>
    <w:p w14:paraId="551E3F8A">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对于高强度的预应力管桩等刚性桩，在成桩28d后，可选用低应变法和</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法等方法进行质量检测，其中低应变法检测频率不少于1%</w:t>
      </w:r>
      <w:r>
        <w:rPr>
          <w:rFonts w:hint="eastAsia" w:ascii="Times New Roman" w:hAnsi="Times New Roman" w:eastAsia="微软雅黑" w:cs="Times New Roman"/>
          <w:color w:val="auto"/>
          <w:szCs w:val="21"/>
          <w:highlight w:val="none"/>
          <w:lang w:eastAsia="zh-CN"/>
        </w:rPr>
        <w:t>～</w:t>
      </w:r>
      <w:r>
        <w:rPr>
          <w:rFonts w:ascii="Times New Roman" w:hAnsi="Times New Roman" w:eastAsia="宋体" w:cs="Times New Roman"/>
          <w:color w:val="auto"/>
          <w:szCs w:val="21"/>
          <w:highlight w:val="none"/>
        </w:rPr>
        <w:t>5%，单桩承载力与复合地基承载力</w:t>
      </w:r>
      <w:r>
        <w:rPr>
          <w:rFonts w:hint="eastAsia" w:ascii="Times New Roman" w:hAnsi="Times New Roman" w:eastAsia="宋体" w:cs="Times New Roman"/>
          <w:color w:val="auto"/>
          <w:szCs w:val="21"/>
          <w:highlight w:val="none"/>
          <w:lang w:eastAsia="zh-CN"/>
        </w:rPr>
        <w:t>载荷试验</w:t>
      </w:r>
      <w:r>
        <w:rPr>
          <w:rFonts w:ascii="Times New Roman" w:hAnsi="Times New Roman" w:eastAsia="宋体" w:cs="Times New Roman"/>
          <w:color w:val="auto"/>
          <w:szCs w:val="21"/>
          <w:highlight w:val="none"/>
        </w:rPr>
        <w:t>检测频率不少于0.2%</w:t>
      </w:r>
      <w:r>
        <w:rPr>
          <w:rFonts w:hint="eastAsia" w:ascii="Times New Roman" w:hAnsi="Times New Roman" w:eastAsia="微软雅黑" w:cs="Times New Roman"/>
          <w:color w:val="auto"/>
          <w:szCs w:val="21"/>
          <w:highlight w:val="none"/>
          <w:lang w:eastAsia="zh-CN"/>
        </w:rPr>
        <w:t>～</w:t>
      </w:r>
      <w:r>
        <w:rPr>
          <w:rFonts w:ascii="Times New Roman" w:hAnsi="Times New Roman" w:eastAsia="宋体" w:cs="Times New Roman"/>
          <w:color w:val="auto"/>
          <w:szCs w:val="21"/>
          <w:highlight w:val="none"/>
        </w:rPr>
        <w:t>0.5%，且同一路段不少于3根，测定承载力应达到设计要求。</w:t>
      </w:r>
      <w:bookmarkStart w:id="35" w:name="_Toc170244947"/>
    </w:p>
    <w:p w14:paraId="5B04D068">
      <w:pPr>
        <w:spacing w:line="360" w:lineRule="auto"/>
        <w:ind w:left="840" w:leftChars="200" w:hanging="420" w:hangingChars="200"/>
        <w:rPr>
          <w:rFonts w:ascii="Times New Roman" w:hAnsi="Times New Roman" w:eastAsia="宋体" w:cs="Times New Roman"/>
          <w:color w:val="auto"/>
          <w:szCs w:val="21"/>
          <w:highlight w:val="none"/>
        </w:rPr>
      </w:pPr>
    </w:p>
    <w:p w14:paraId="40673267">
      <w:pPr>
        <w:keepNext/>
        <w:keepLines w:val="0"/>
        <w:pageBreakBefore w:val="0"/>
        <w:widowControl w:val="0"/>
        <w:kinsoku/>
        <w:wordWrap/>
        <w:overflowPunct/>
        <w:topLinePunct w:val="0"/>
        <w:autoSpaceDE/>
        <w:autoSpaceDN/>
        <w:bidi w:val="0"/>
        <w:adjustRightInd/>
        <w:snapToGrid/>
        <w:spacing w:before="313" w:beforeLines="100" w:after="156" w:afterLines="50" w:line="360" w:lineRule="auto"/>
        <w:jc w:val="left"/>
        <w:textAlignment w:val="auto"/>
        <w:outlineLvl w:val="0"/>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7</w:t>
      </w:r>
      <w:r>
        <w:rPr>
          <w:rFonts w:hint="eastAsia" w:ascii="黑体" w:hAnsi="黑体" w:eastAsia="黑体" w:cs="黑体"/>
          <w:b w:val="0"/>
          <w:bCs w:val="0"/>
          <w:color w:val="auto"/>
          <w:sz w:val="24"/>
          <w:highlight w:val="none"/>
        </w:rPr>
        <w:t xml:space="preserve"> </w:t>
      </w:r>
      <w:r>
        <w:rPr>
          <w:rFonts w:hint="eastAsia" w:ascii="Times New Roman" w:hAnsi="Times New Roman" w:eastAsia="宋体" w:cs="Times New Roman"/>
          <w:b/>
          <w:bCs/>
          <w:color w:val="auto"/>
          <w:sz w:val="24"/>
          <w:highlight w:val="none"/>
          <w:lang w:val="en-US" w:eastAsia="zh-CN"/>
        </w:rPr>
        <w:t>动态监测与沉降预测</w:t>
      </w:r>
      <w:bookmarkEnd w:id="35"/>
    </w:p>
    <w:p w14:paraId="404D2343">
      <w:pPr>
        <w:keepNext/>
        <w:keepLines w:val="0"/>
        <w:pageBreakBefore w:val="0"/>
        <w:widowControl w:val="0"/>
        <w:kinsoku/>
        <w:wordWrap/>
        <w:overflowPunct/>
        <w:topLinePunct w:val="0"/>
        <w:autoSpaceDE/>
        <w:autoSpaceDN/>
        <w:bidi w:val="0"/>
        <w:adjustRightInd/>
        <w:snapToGrid/>
        <w:spacing w:before="313" w:beforeLines="100" w:after="156" w:afterLines="50" w:line="360" w:lineRule="auto"/>
        <w:jc w:val="left"/>
        <w:textAlignment w:val="auto"/>
        <w:outlineLvl w:val="0"/>
        <w:rPr>
          <w:rFonts w:hint="eastAsia" w:ascii="黑体" w:hAnsi="黑体" w:eastAsia="黑体" w:cs="黑体"/>
          <w:b w:val="0"/>
          <w:bCs w:val="0"/>
          <w:color w:val="auto"/>
          <w:sz w:val="24"/>
          <w:highlight w:val="none"/>
        </w:rPr>
      </w:pPr>
    </w:p>
    <w:p w14:paraId="34DE3FBA">
      <w:pPr>
        <w:keepNext w:val="0"/>
        <w:keepLines w:val="0"/>
        <w:pageBreakBefore w:val="0"/>
        <w:widowControl w:val="0"/>
        <w:kinsoku/>
        <w:wordWrap/>
        <w:overflowPunct/>
        <w:topLinePunct w:val="0"/>
        <w:autoSpaceDE w:val="0"/>
        <w:autoSpaceDN w:val="0"/>
        <w:bidi w:val="0"/>
        <w:adjustRightInd/>
        <w:snapToGrid/>
        <w:spacing w:after="157" w:afterLines="50" w:line="360" w:lineRule="auto"/>
        <w:textAlignment w:val="auto"/>
        <w:rPr>
          <w:rFonts w:hint="eastAsia" w:ascii="黑体" w:hAnsi="黑体" w:eastAsia="黑体" w:cs="黑体"/>
          <w:color w:val="auto"/>
          <w:szCs w:val="21"/>
          <w:highlight w:val="none"/>
          <w:lang w:val="en-US" w:eastAsia="zh-CN"/>
        </w:rPr>
      </w:pPr>
      <w:bookmarkStart w:id="36" w:name="_Toc170244948"/>
      <w:r>
        <w:rPr>
          <w:rFonts w:hint="eastAsia" w:ascii="黑体" w:hAnsi="黑体" w:eastAsia="黑体" w:cs="黑体"/>
          <w:color w:val="auto"/>
          <w:szCs w:val="21"/>
          <w:highlight w:val="none"/>
          <w:lang w:val="en-US" w:eastAsia="zh-CN"/>
        </w:rPr>
        <w:t>7.1 动态监测</w:t>
      </w:r>
      <w:bookmarkEnd w:id="36"/>
    </w:p>
    <w:p w14:paraId="1D1241CC">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w:t>
      </w:r>
      <w:r>
        <w:rPr>
          <w:rFonts w:hint="eastAsia" w:ascii="黑体" w:hAnsi="黑体" w:eastAsia="黑体" w:cs="黑体"/>
          <w:color w:val="auto"/>
          <w:szCs w:val="21"/>
          <w:highlight w:val="none"/>
        </w:rPr>
        <w:t>.1.1</w:t>
      </w:r>
      <w:r>
        <w:rPr>
          <w:rFonts w:ascii="Times New Roman" w:hAnsi="Times New Roman" w:eastAsia="宋体" w:cs="Times New Roman"/>
          <w:color w:val="auto"/>
          <w:szCs w:val="21"/>
          <w:highlight w:val="none"/>
        </w:rPr>
        <w:t xml:space="preserve"> 软弱土路基在施工期间应选择代表性的软弱土路段进行动态监测，其中，高速公路与一级公路应进行动态监测，其他等级公路可参照本章要求选择性的进行动态监测。</w:t>
      </w:r>
    </w:p>
    <w:p w14:paraId="62318338">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7.1.2 </w:t>
      </w:r>
      <w:r>
        <w:rPr>
          <w:rFonts w:ascii="Times New Roman" w:hAnsi="Times New Roman" w:eastAsia="宋体" w:cs="Times New Roman"/>
          <w:color w:val="auto"/>
          <w:szCs w:val="21"/>
          <w:highlight w:val="none"/>
        </w:rPr>
        <w:t>动态监测项目应根据软弱土性质、厚度、地基处理方法、路堤填土高度及监测对施工的影响程度等综合确定，软弱土路基动态监测项目选取原则如表</w:t>
      </w:r>
      <w:r>
        <w:rPr>
          <w:rFonts w:hint="eastAsia" w:ascii="Times New Roman" w:hAnsi="Times New Roman" w:eastAsia="宋体" w:cs="Times New Roman"/>
          <w:color w:val="auto"/>
          <w:szCs w:val="21"/>
          <w:highlight w:val="none"/>
          <w:lang w:val="en-US" w:eastAsia="zh-CN"/>
        </w:rPr>
        <w:t>20</w:t>
      </w:r>
      <w:r>
        <w:rPr>
          <w:rFonts w:ascii="Times New Roman" w:hAnsi="Times New Roman" w:eastAsia="宋体" w:cs="Times New Roman"/>
          <w:color w:val="auto"/>
          <w:szCs w:val="21"/>
          <w:highlight w:val="none"/>
        </w:rPr>
        <w:t>所示。</w:t>
      </w:r>
    </w:p>
    <w:p w14:paraId="2BB69C51">
      <w:pPr>
        <w:keepNext/>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lang w:val="en-US" w:eastAsia="zh-CN"/>
        </w:rPr>
        <w:t>20</w:t>
      </w:r>
      <w:r>
        <w:rPr>
          <w:rFonts w:ascii="Times New Roman" w:hAnsi="Times New Roman" w:eastAsia="宋体" w:cs="Times New Roman"/>
          <w:b/>
          <w:color w:val="auto"/>
          <w:szCs w:val="21"/>
          <w:highlight w:val="none"/>
        </w:rPr>
        <w:t xml:space="preserve">  软弱土路基动态监测项目表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621"/>
        <w:gridCol w:w="6"/>
        <w:gridCol w:w="1169"/>
        <w:gridCol w:w="2337"/>
        <w:gridCol w:w="3193"/>
      </w:tblGrid>
      <w:tr w14:paraId="76E2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0" w:hRule="atLeast"/>
        </w:trPr>
        <w:tc>
          <w:tcPr>
            <w:tcW w:w="1621" w:type="dxa"/>
            <w:vAlign w:val="center"/>
          </w:tcPr>
          <w:p w14:paraId="22C68E5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监测项目</w:t>
            </w:r>
          </w:p>
        </w:tc>
        <w:tc>
          <w:tcPr>
            <w:tcW w:w="1175" w:type="dxa"/>
            <w:gridSpan w:val="2"/>
            <w:vAlign w:val="center"/>
          </w:tcPr>
          <w:p w14:paraId="68B8E2F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仪器设备</w:t>
            </w:r>
          </w:p>
        </w:tc>
        <w:tc>
          <w:tcPr>
            <w:tcW w:w="2337" w:type="dxa"/>
            <w:vAlign w:val="center"/>
          </w:tcPr>
          <w:p w14:paraId="68A4547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监测目的</w:t>
            </w:r>
          </w:p>
        </w:tc>
        <w:tc>
          <w:tcPr>
            <w:tcW w:w="3193" w:type="dxa"/>
            <w:vAlign w:val="center"/>
          </w:tcPr>
          <w:p w14:paraId="725898C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主要适用条件</w:t>
            </w:r>
          </w:p>
        </w:tc>
      </w:tr>
      <w:tr w14:paraId="3AE5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2" w:hRule="atLeast"/>
        </w:trPr>
        <w:tc>
          <w:tcPr>
            <w:tcW w:w="1621" w:type="dxa"/>
            <w:vAlign w:val="center"/>
          </w:tcPr>
          <w:p w14:paraId="0005ECE4">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地表沉降</w:t>
            </w:r>
          </w:p>
          <w:p w14:paraId="7B24A5F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（必测项目）</w:t>
            </w:r>
          </w:p>
        </w:tc>
        <w:tc>
          <w:tcPr>
            <w:tcW w:w="1175" w:type="dxa"/>
            <w:gridSpan w:val="2"/>
            <w:vAlign w:val="center"/>
          </w:tcPr>
          <w:p w14:paraId="6AF2274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沉降板</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水准仪</w:t>
            </w:r>
          </w:p>
        </w:tc>
        <w:tc>
          <w:tcPr>
            <w:tcW w:w="2337" w:type="dxa"/>
            <w:vAlign w:val="center"/>
          </w:tcPr>
          <w:p w14:paraId="1BD62154">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1、观测地表沉降量及沉降速率，控制填土速度；</w:t>
            </w:r>
          </w:p>
          <w:p w14:paraId="7FD898A8">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2、预测沉降趋势，确定路面铺筑时间。</w:t>
            </w:r>
          </w:p>
        </w:tc>
        <w:tc>
          <w:tcPr>
            <w:tcW w:w="3193" w:type="dxa"/>
            <w:vMerge w:val="restart"/>
            <w:vAlign w:val="center"/>
          </w:tcPr>
          <w:p w14:paraId="620DA053">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1、适用所有地理处治方法，对复合地基路段应加强监测，对清淤换填彻底路段可适当放宽监测要求；</w:t>
            </w:r>
          </w:p>
          <w:p w14:paraId="2E599CCF">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2、适用填土高度：坡地软弱土填高≥6m，其他软弱土填高≥10m；</w:t>
            </w:r>
          </w:p>
          <w:p w14:paraId="0C8940A0">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3、软基长度宜大于100m；</w:t>
            </w:r>
          </w:p>
          <w:p w14:paraId="6A135784">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4、软弱土厚度与性质情况，对软弱土厚度大、性质差的路段应加强监测。</w:t>
            </w:r>
          </w:p>
        </w:tc>
      </w:tr>
      <w:tr w14:paraId="3BE2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92" w:hRule="atLeast"/>
        </w:trPr>
        <w:tc>
          <w:tcPr>
            <w:tcW w:w="1621" w:type="dxa"/>
            <w:vAlign w:val="center"/>
          </w:tcPr>
          <w:p w14:paraId="5A4981F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地表水平位移</w:t>
            </w:r>
          </w:p>
          <w:p w14:paraId="3AA94B3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（必测项目）</w:t>
            </w:r>
          </w:p>
        </w:tc>
        <w:tc>
          <w:tcPr>
            <w:tcW w:w="1175" w:type="dxa"/>
            <w:gridSpan w:val="2"/>
            <w:vAlign w:val="center"/>
          </w:tcPr>
          <w:p w14:paraId="0767F195">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水平位移桩、</w:t>
            </w:r>
          </w:p>
          <w:p w14:paraId="74AC810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测距仪、经纬</w:t>
            </w:r>
          </w:p>
          <w:p w14:paraId="75319000">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仪、钢尺</w:t>
            </w:r>
          </w:p>
        </w:tc>
        <w:tc>
          <w:tcPr>
            <w:tcW w:w="2337" w:type="dxa"/>
            <w:vAlign w:val="center"/>
          </w:tcPr>
          <w:p w14:paraId="5D6DCCC2">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1、观测路堤坡脚地表水平位移和隆起情况；</w:t>
            </w:r>
          </w:p>
          <w:p w14:paraId="347C9517">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2、用于路堤在施工过程中的安全与稳定判定。</w:t>
            </w:r>
          </w:p>
        </w:tc>
        <w:tc>
          <w:tcPr>
            <w:tcW w:w="3193" w:type="dxa"/>
            <w:vMerge w:val="continue"/>
            <w:vAlign w:val="center"/>
          </w:tcPr>
          <w:p w14:paraId="3B31ADF0">
            <w:pPr>
              <w:spacing w:line="360" w:lineRule="auto"/>
              <w:ind w:firstLine="360" w:firstLineChars="200"/>
              <w:rPr>
                <w:rFonts w:ascii="Times New Roman" w:hAnsi="Times New Roman" w:eastAsia="宋体" w:cs="Times New Roman"/>
                <w:color w:val="auto"/>
                <w:sz w:val="18"/>
                <w:szCs w:val="18"/>
                <w:highlight w:val="none"/>
              </w:rPr>
            </w:pPr>
          </w:p>
        </w:tc>
      </w:tr>
      <w:tr w14:paraId="1B5D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40" w:hRule="atLeast"/>
        </w:trPr>
        <w:tc>
          <w:tcPr>
            <w:tcW w:w="1621" w:type="dxa"/>
            <w:vAlign w:val="center"/>
          </w:tcPr>
          <w:p w14:paraId="376611E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深层侧向位移</w:t>
            </w:r>
          </w:p>
          <w:p w14:paraId="74BA4ED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（一般路基为选测项目，高填及特殊路基为必测项目）</w:t>
            </w:r>
          </w:p>
        </w:tc>
        <w:tc>
          <w:tcPr>
            <w:tcW w:w="1175" w:type="dxa"/>
            <w:gridSpan w:val="2"/>
            <w:vAlign w:val="center"/>
          </w:tcPr>
          <w:p w14:paraId="767E40D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测斜管</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测斜仪</w:t>
            </w:r>
          </w:p>
        </w:tc>
        <w:tc>
          <w:tcPr>
            <w:tcW w:w="2337" w:type="dxa"/>
            <w:vAlign w:val="center"/>
          </w:tcPr>
          <w:p w14:paraId="00F9A8D7">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1、观测深层地基土体侧向位移，用于掌握地基土潜在滑动面的发展变化，评价地基稳定性；</w:t>
            </w:r>
          </w:p>
          <w:p w14:paraId="1FB13399">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2、用于路堤施工过程中的稳定控制。</w:t>
            </w:r>
          </w:p>
        </w:tc>
        <w:tc>
          <w:tcPr>
            <w:tcW w:w="3193" w:type="dxa"/>
            <w:vAlign w:val="center"/>
          </w:tcPr>
          <w:p w14:paraId="17CFDD5F">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1、主要适用于复合地基处治方法，高填换填路段也应进行监测；</w:t>
            </w:r>
          </w:p>
          <w:p w14:paraId="3A1F8FFB">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2、适用填土高度（坡地软弱土填高≥15m，其他软弱土填高≥20m）宜进行监测；</w:t>
            </w:r>
          </w:p>
          <w:p w14:paraId="5C859CD1">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3、软弱土厚度与性质情况，对软弱土厚度大、性质差的路段宜进行监测。</w:t>
            </w:r>
          </w:p>
        </w:tc>
      </w:tr>
      <w:tr w14:paraId="314C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0" w:hRule="atLeast"/>
        </w:trPr>
        <w:tc>
          <w:tcPr>
            <w:tcW w:w="1621" w:type="dxa"/>
            <w:vAlign w:val="center"/>
          </w:tcPr>
          <w:p w14:paraId="6F4A1EE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地下分层沉降</w:t>
            </w:r>
          </w:p>
          <w:p w14:paraId="14DE8E8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（选测项目）</w:t>
            </w:r>
          </w:p>
        </w:tc>
        <w:tc>
          <w:tcPr>
            <w:tcW w:w="1175" w:type="dxa"/>
            <w:gridSpan w:val="2"/>
            <w:vAlign w:val="center"/>
          </w:tcPr>
          <w:p w14:paraId="105E68EB">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沉降磁环</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分层沉降仪</w:t>
            </w:r>
          </w:p>
        </w:tc>
        <w:tc>
          <w:tcPr>
            <w:tcW w:w="2337" w:type="dxa"/>
            <w:vAlign w:val="center"/>
          </w:tcPr>
          <w:p w14:paraId="56EBF9C9">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观测深层地基土不同层位的沉降量及沉降速率，预测分层土沉降趋势。</w:t>
            </w:r>
          </w:p>
        </w:tc>
        <w:tc>
          <w:tcPr>
            <w:tcW w:w="3193" w:type="dxa"/>
            <w:vAlign w:val="center"/>
          </w:tcPr>
          <w:p w14:paraId="6CABC7CB">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主要适用于复合地基处治方法，适用于有多层深厚软弱土分布的区域。</w:t>
            </w:r>
          </w:p>
        </w:tc>
      </w:tr>
      <w:tr w14:paraId="123B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0" w:hRule="atLeast"/>
        </w:trPr>
        <w:tc>
          <w:tcPr>
            <w:tcW w:w="1621" w:type="dxa"/>
            <w:vAlign w:val="center"/>
          </w:tcPr>
          <w:p w14:paraId="56E834D8">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孔隙水压力</w:t>
            </w:r>
          </w:p>
          <w:p w14:paraId="2B49512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（选测项目）</w:t>
            </w:r>
          </w:p>
        </w:tc>
        <w:tc>
          <w:tcPr>
            <w:tcW w:w="1175" w:type="dxa"/>
            <w:gridSpan w:val="2"/>
            <w:vAlign w:val="center"/>
          </w:tcPr>
          <w:p w14:paraId="4E6BD37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孔隙水压力计</w:t>
            </w:r>
          </w:p>
        </w:tc>
        <w:tc>
          <w:tcPr>
            <w:tcW w:w="2337" w:type="dxa"/>
            <w:vAlign w:val="center"/>
          </w:tcPr>
          <w:p w14:paraId="5569E6D0">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观测地基土孔隙水压力，分析超静孔压情况，预测地基土固结情况。</w:t>
            </w:r>
          </w:p>
        </w:tc>
        <w:tc>
          <w:tcPr>
            <w:tcW w:w="3193" w:type="dxa"/>
            <w:vAlign w:val="center"/>
          </w:tcPr>
          <w:p w14:paraId="11B4EBC0">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主要用于粒料桩、强夯和强夯置换、排水固结及各种打入桩的施工监测，适用于深厚淤泥或淤泥质土。</w:t>
            </w:r>
          </w:p>
        </w:tc>
      </w:tr>
      <w:tr w14:paraId="518D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0" w:hRule="atLeast"/>
        </w:trPr>
        <w:tc>
          <w:tcPr>
            <w:tcW w:w="1627" w:type="dxa"/>
            <w:gridSpan w:val="2"/>
            <w:vAlign w:val="center"/>
          </w:tcPr>
          <w:p w14:paraId="7ED0D0D7">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土压力</w:t>
            </w:r>
          </w:p>
          <w:p w14:paraId="6798C1E2">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（选测项目）</w:t>
            </w:r>
          </w:p>
        </w:tc>
        <w:tc>
          <w:tcPr>
            <w:tcW w:w="1169" w:type="dxa"/>
            <w:vAlign w:val="center"/>
          </w:tcPr>
          <w:p w14:paraId="332BBBDD">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土压力盒</w:t>
            </w:r>
          </w:p>
        </w:tc>
        <w:tc>
          <w:tcPr>
            <w:tcW w:w="2337" w:type="dxa"/>
            <w:vAlign w:val="center"/>
          </w:tcPr>
          <w:p w14:paraId="30CC5D4B">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观测软弱土和填土中的土体压力变化，分析桩土压力比。</w:t>
            </w:r>
          </w:p>
        </w:tc>
        <w:tc>
          <w:tcPr>
            <w:tcW w:w="3193" w:type="dxa"/>
            <w:vAlign w:val="center"/>
          </w:tcPr>
          <w:p w14:paraId="6F54F8BD">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适用于复合地基处治方法，埋设在桩顶和桩间土不同位置，主要用于刚性桩及桩承式</w:t>
            </w:r>
            <w:r>
              <w:rPr>
                <w:rFonts w:hint="eastAsia" w:ascii="Times New Roman" w:hAnsi="Times New Roman" w:eastAsia="宋体" w:cs="Times New Roman"/>
                <w:color w:val="auto"/>
                <w:sz w:val="18"/>
                <w:szCs w:val="18"/>
                <w:highlight w:val="none"/>
                <w:lang w:val="en-US" w:eastAsia="zh-CN"/>
              </w:rPr>
              <w:t>地基</w:t>
            </w:r>
            <w:r>
              <w:rPr>
                <w:rFonts w:ascii="Times New Roman" w:hAnsi="Times New Roman" w:eastAsia="宋体" w:cs="Times New Roman"/>
                <w:color w:val="auto"/>
                <w:sz w:val="18"/>
                <w:szCs w:val="18"/>
                <w:highlight w:val="none"/>
              </w:rPr>
              <w:t>中。</w:t>
            </w:r>
          </w:p>
        </w:tc>
      </w:tr>
      <w:tr w14:paraId="7D0B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0" w:hRule="atLeast"/>
        </w:trPr>
        <w:tc>
          <w:tcPr>
            <w:tcW w:w="1627" w:type="dxa"/>
            <w:gridSpan w:val="2"/>
            <w:vAlign w:val="center"/>
          </w:tcPr>
          <w:p w14:paraId="751AFF79">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土工格栅位移</w:t>
            </w:r>
          </w:p>
          <w:p w14:paraId="02311D5C">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（选测项目）</w:t>
            </w:r>
          </w:p>
        </w:tc>
        <w:tc>
          <w:tcPr>
            <w:tcW w:w="1169" w:type="dxa"/>
            <w:vAlign w:val="center"/>
          </w:tcPr>
          <w:p w14:paraId="49C104DF">
            <w:pPr>
              <w:spacing w:line="36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土工格栅位移计</w:t>
            </w:r>
          </w:p>
        </w:tc>
        <w:tc>
          <w:tcPr>
            <w:tcW w:w="2337" w:type="dxa"/>
            <w:vAlign w:val="center"/>
          </w:tcPr>
          <w:p w14:paraId="3973A5F6">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观测土工格栅在填土过程中的位移变化，分析土工格栅的受力。</w:t>
            </w:r>
          </w:p>
        </w:tc>
        <w:tc>
          <w:tcPr>
            <w:tcW w:w="3193" w:type="dxa"/>
            <w:vAlign w:val="center"/>
          </w:tcPr>
          <w:p w14:paraId="6D0E0A96">
            <w:pPr>
              <w:spacing w:line="360"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适用于加筋法和复合地基处治方法，埋设于土工格栅表面，主要用于观测不同位置土工格栅的变形和受力情况。</w:t>
            </w:r>
          </w:p>
        </w:tc>
      </w:tr>
    </w:tbl>
    <w:p w14:paraId="760530C3">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7.1.3</w:t>
      </w:r>
      <w:r>
        <w:rPr>
          <w:rFonts w:ascii="Times New Roman" w:hAnsi="Times New Roman" w:eastAsia="宋体" w:cs="Times New Roman"/>
          <w:color w:val="auto"/>
          <w:szCs w:val="21"/>
          <w:highlight w:val="none"/>
        </w:rPr>
        <w:t xml:space="preserve"> 地表沉降和地表水平位移为必测项目；高填软弱土路基及其他比较特殊软弱土路基应进行深层侧向位移观测；地下分层沉降、孔隙水压力、土压力、土工格栅位移等为选测项目，可用于深入研究和科研路段使用。</w:t>
      </w:r>
    </w:p>
    <w:p w14:paraId="0C852E0F">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7.1.4</w:t>
      </w:r>
      <w:r>
        <w:rPr>
          <w:rFonts w:ascii="Times New Roman" w:hAnsi="Times New Roman" w:eastAsia="宋体" w:cs="Times New Roman"/>
          <w:color w:val="auto"/>
          <w:szCs w:val="21"/>
          <w:highlight w:val="none"/>
        </w:rPr>
        <w:t xml:space="preserve"> 在代表性软弱土路段监测中，监测断面纵向间距宜为50m～100m，宜将监测点布置在预测变形比较大的位置，同时应兼顾桥头、涵洞、通道、不同地基处理方法等软弱土过渡</w:t>
      </w:r>
      <w:r>
        <w:rPr>
          <w:rFonts w:hint="eastAsia" w:ascii="Times New Roman" w:hAnsi="Times New Roman" w:eastAsia="宋体" w:cs="Times New Roman"/>
          <w:color w:val="auto"/>
          <w:szCs w:val="21"/>
          <w:highlight w:val="none"/>
          <w:lang w:val="en-US" w:eastAsia="zh-CN"/>
        </w:rPr>
        <w:t>段</w:t>
      </w:r>
      <w:r>
        <w:rPr>
          <w:rFonts w:ascii="Times New Roman" w:hAnsi="Times New Roman" w:eastAsia="宋体" w:cs="Times New Roman"/>
          <w:color w:val="auto"/>
          <w:szCs w:val="21"/>
          <w:highlight w:val="none"/>
        </w:rPr>
        <w:t>的监测。</w:t>
      </w:r>
    </w:p>
    <w:p w14:paraId="5AA28632">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7.1.5</w:t>
      </w:r>
      <w:r>
        <w:rPr>
          <w:rFonts w:ascii="Times New Roman" w:hAnsi="Times New Roman" w:eastAsia="宋体" w:cs="Times New Roman"/>
          <w:color w:val="auto"/>
          <w:szCs w:val="21"/>
          <w:highlight w:val="none"/>
        </w:rPr>
        <w:t xml:space="preserve"> 沉降监测断面上的沉降板宜设置在路基中心和路肩附近，沉降板底板尺寸不宜小于长50cm×宽50cm×厚10cm，测管宜采用直径4cm的钢管，保护套管尺寸应能套住测杆，并使标尺能进入套管，测杆每节长度不宜超过50cm。套管上应加盖封闭，避免填料落入管内影响测杆自由下沉。</w:t>
      </w:r>
    </w:p>
    <w:p w14:paraId="5DB08007">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7.1.6</w:t>
      </w:r>
      <w:r>
        <w:rPr>
          <w:rFonts w:ascii="Times New Roman" w:hAnsi="Times New Roman" w:eastAsia="宋体" w:cs="Times New Roman"/>
          <w:color w:val="auto"/>
          <w:szCs w:val="21"/>
          <w:highlight w:val="none"/>
        </w:rPr>
        <w:t xml:space="preserve"> 位移监测点的设置应符合下列要求：</w:t>
      </w:r>
    </w:p>
    <w:p w14:paraId="51096B7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水平位移观测桩宜设置于路堤边坡坡脚外10m范围内，每</w:t>
      </w:r>
      <w:r>
        <w:rPr>
          <w:rFonts w:hint="eastAsia" w:ascii="Times New Roman" w:hAnsi="Times New Roman" w:eastAsia="宋体" w:cs="Times New Roman"/>
          <w:color w:val="auto"/>
          <w:szCs w:val="21"/>
          <w:highlight w:val="none"/>
          <w:lang w:val="en-US" w:eastAsia="zh-CN"/>
        </w:rPr>
        <w:t>侧</w:t>
      </w:r>
      <w:r>
        <w:rPr>
          <w:rFonts w:ascii="Times New Roman" w:hAnsi="Times New Roman" w:eastAsia="宋体" w:cs="Times New Roman"/>
          <w:color w:val="auto"/>
          <w:szCs w:val="21"/>
          <w:highlight w:val="none"/>
        </w:rPr>
        <w:t>宜设置3～4个点；</w:t>
      </w:r>
    </w:p>
    <w:p w14:paraId="11C22247">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水平位移监测基桩应设置在地基变形影响范围之外；</w:t>
      </w:r>
    </w:p>
    <w:p w14:paraId="24C488B1">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水平位移观测桩宜采用5cm～10cm的预制方桩或木桩，长度不宜小于1.5m；</w:t>
      </w:r>
    </w:p>
    <w:p w14:paraId="214E59E9">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监测点位置应设置明显的警示标志，提醒施工人员及机械注意观察，以防止损坏监测点。</w:t>
      </w:r>
    </w:p>
    <w:p w14:paraId="093050D7">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7.1.7</w:t>
      </w:r>
      <w:r>
        <w:rPr>
          <w:rFonts w:ascii="Times New Roman" w:hAnsi="Times New Roman" w:eastAsia="宋体" w:cs="Times New Roman"/>
          <w:color w:val="auto"/>
          <w:szCs w:val="21"/>
          <w:highlight w:val="none"/>
        </w:rPr>
        <w:t xml:space="preserve"> 典型监测断面布置及监测设备大样示意如图</w:t>
      </w:r>
      <w:r>
        <w:rPr>
          <w:rFonts w:hint="eastAsia" w:ascii="Times New Roman" w:hAnsi="Times New Roman" w:eastAsia="宋体" w:cs="Times New Roman"/>
          <w:color w:val="auto"/>
          <w:szCs w:val="21"/>
          <w:highlight w:val="none"/>
          <w:lang w:val="en-US" w:eastAsia="zh-CN"/>
        </w:rPr>
        <w:t>19</w:t>
      </w:r>
      <w:r>
        <w:rPr>
          <w:rFonts w:ascii="Times New Roman" w:hAnsi="Times New Roman" w:eastAsia="宋体" w:cs="Times New Roman"/>
          <w:color w:val="auto"/>
          <w:szCs w:val="21"/>
          <w:highlight w:val="none"/>
        </w:rPr>
        <w:t>和图2</w:t>
      </w:r>
      <w:r>
        <w:rPr>
          <w:rFonts w:hint="eastAsia" w:ascii="Times New Roman" w:hAnsi="Times New Roman" w:eastAsia="宋体" w:cs="Times New Roman"/>
          <w:color w:val="auto"/>
          <w:szCs w:val="21"/>
          <w:highlight w:val="none"/>
          <w:lang w:val="en-US" w:eastAsia="zh-CN"/>
        </w:rPr>
        <w:t>0</w:t>
      </w:r>
      <w:r>
        <w:rPr>
          <w:rFonts w:ascii="Times New Roman" w:hAnsi="Times New Roman" w:eastAsia="宋体" w:cs="Times New Roman"/>
          <w:color w:val="auto"/>
          <w:szCs w:val="21"/>
          <w:highlight w:val="none"/>
        </w:rPr>
        <w:t>所示。</w:t>
      </w:r>
    </w:p>
    <w:p w14:paraId="5F1E5973">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5154930" cy="1627505"/>
            <wp:effectExtent l="0" t="0" r="11430" b="3175"/>
            <wp:docPr id="1" name="图片 1" descr="C:/Users/22308/Desktop/1f87dbec3c338ada695c16514ef4ef3.jpg1f87dbec3c338ada695c16514ef4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22308/Desktop/1f87dbec3c338ada695c16514ef4ef3.jpg1f87dbec3c338ada695c16514ef4ef3"/>
                    <pic:cNvPicPr>
                      <a:picLocks noChangeAspect="1"/>
                    </pic:cNvPicPr>
                  </pic:nvPicPr>
                  <pic:blipFill>
                    <a:blip r:embed="rId61"/>
                    <a:srcRect t="13" b="13"/>
                    <a:stretch>
                      <a:fillRect/>
                    </a:stretch>
                  </pic:blipFill>
                  <pic:spPr>
                    <a:xfrm>
                      <a:off x="0" y="0"/>
                      <a:ext cx="5154930" cy="1627505"/>
                    </a:xfrm>
                    <a:prstGeom prst="rect">
                      <a:avLst/>
                    </a:prstGeom>
                  </pic:spPr>
                </pic:pic>
              </a:graphicData>
            </a:graphic>
          </wp:inline>
        </w:drawing>
      </w:r>
    </w:p>
    <w:p w14:paraId="6F9C2B7B">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b/>
          <w:bCs/>
          <w:color w:val="auto"/>
          <w:szCs w:val="21"/>
          <w:highlight w:val="none"/>
        </w:rPr>
        <w:t>图</w:t>
      </w:r>
      <w:r>
        <w:rPr>
          <w:rFonts w:hint="eastAsia" w:ascii="Times New Roman" w:hAnsi="Times New Roman" w:eastAsia="宋体" w:cs="Times New Roman"/>
          <w:b/>
          <w:bCs/>
          <w:color w:val="auto"/>
          <w:szCs w:val="21"/>
          <w:highlight w:val="none"/>
          <w:lang w:val="en-US" w:eastAsia="zh-CN"/>
        </w:rPr>
        <w:t>19</w:t>
      </w:r>
      <w:r>
        <w:rPr>
          <w:rFonts w:ascii="Times New Roman" w:hAnsi="Times New Roman" w:eastAsia="宋体" w:cs="Times New Roman"/>
          <w:b/>
          <w:bCs/>
          <w:color w:val="auto"/>
          <w:szCs w:val="21"/>
          <w:highlight w:val="none"/>
        </w:rPr>
        <w:t xml:space="preserve">  软弱土路基必测项目动态监测示意图</w:t>
      </w:r>
    </w:p>
    <w:p w14:paraId="392051C7">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5271770" cy="1774825"/>
            <wp:effectExtent l="0" t="0" r="11430" b="3175"/>
            <wp:docPr id="2" name="图片 2" descr="C:/Users/22308/Desktop/9e477f1fddb9b81cfa43805d2002ecc.jpg9e477f1fddb9b81cfa43805d2002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22308/Desktop/9e477f1fddb9b81cfa43805d2002ecc.jpg9e477f1fddb9b81cfa43805d2002ecc"/>
                    <pic:cNvPicPr>
                      <a:picLocks noChangeAspect="1"/>
                    </pic:cNvPicPr>
                  </pic:nvPicPr>
                  <pic:blipFill>
                    <a:blip r:embed="rId62"/>
                    <a:srcRect t="6" b="6"/>
                    <a:stretch>
                      <a:fillRect/>
                    </a:stretch>
                  </pic:blipFill>
                  <pic:spPr>
                    <a:xfrm>
                      <a:off x="0" y="0"/>
                      <a:ext cx="5271770" cy="1774825"/>
                    </a:xfrm>
                    <a:prstGeom prst="rect">
                      <a:avLst/>
                    </a:prstGeom>
                  </pic:spPr>
                </pic:pic>
              </a:graphicData>
            </a:graphic>
          </wp:inline>
        </w:drawing>
      </w:r>
    </w:p>
    <w:p w14:paraId="0E194AAA">
      <w:pPr>
        <w:spacing w:line="360" w:lineRule="auto"/>
        <w:ind w:firstLine="420" w:firstLineChars="200"/>
        <w:rPr>
          <w:rFonts w:ascii="Times New Roman" w:hAnsi="Times New Roman" w:eastAsia="宋体" w:cs="Times New Roman"/>
          <w:color w:val="auto"/>
          <w:szCs w:val="21"/>
          <w:highlight w:val="none"/>
        </w:rPr>
      </w:pPr>
      <w:r>
        <w:rPr>
          <w:rFonts w:hint="eastAsia" w:ascii="宋体" w:hAnsi="宋体" w:eastAsia="宋体" w:cs="宋体"/>
          <w:color w:val="auto"/>
          <w:szCs w:val="21"/>
          <w:highlight w:val="none"/>
        </w:rPr>
        <w:t xml:space="preserve">a）沉降板底座大样示意图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b）沉降板结构大样示意图</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c）位移桩大样示意图</w:t>
      </w:r>
    </w:p>
    <w:p w14:paraId="2070DC5D">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图2</w:t>
      </w:r>
      <w:r>
        <w:rPr>
          <w:rFonts w:hint="eastAsia" w:ascii="Times New Roman" w:hAnsi="Times New Roman" w:eastAsia="宋体" w:cs="Times New Roman"/>
          <w:b/>
          <w:bCs/>
          <w:color w:val="auto"/>
          <w:szCs w:val="21"/>
          <w:highlight w:val="none"/>
          <w:lang w:val="en-US" w:eastAsia="zh-CN"/>
        </w:rPr>
        <w:t>0</w:t>
      </w:r>
      <w:r>
        <w:rPr>
          <w:rFonts w:ascii="Times New Roman" w:hAnsi="Times New Roman" w:eastAsia="宋体" w:cs="Times New Roman"/>
          <w:b/>
          <w:bCs/>
          <w:color w:val="auto"/>
          <w:szCs w:val="21"/>
          <w:highlight w:val="none"/>
        </w:rPr>
        <w:t xml:space="preserve">  沉降板与位移桩大样示意图</w:t>
      </w:r>
    </w:p>
    <w:p w14:paraId="5C9D5E8F">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7.1.8</w:t>
      </w:r>
      <w:r>
        <w:rPr>
          <w:rFonts w:ascii="Times New Roman" w:hAnsi="Times New Roman" w:eastAsia="宋体" w:cs="Times New Roman"/>
          <w:color w:val="auto"/>
          <w:szCs w:val="21"/>
          <w:highlight w:val="none"/>
        </w:rPr>
        <w:t xml:space="preserve"> 软弱土路基观测在施工填土期应每填一层观测一次；临时中断施工或加载间隙期，可间隔3d观测一次；当路堤填土至路床顶后，在铺筑路面前的预压期内，宜根据软基沉降速率变化3d～15d观测一次。</w:t>
      </w:r>
    </w:p>
    <w:p w14:paraId="4F2998AB">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7.1.9</w:t>
      </w:r>
      <w:r>
        <w:rPr>
          <w:rFonts w:ascii="Times New Roman" w:hAnsi="Times New Roman" w:eastAsia="宋体" w:cs="Times New Roman"/>
          <w:color w:val="auto"/>
          <w:szCs w:val="21"/>
          <w:highlight w:val="none"/>
        </w:rPr>
        <w:t xml:space="preserve"> 软弱土路基动态监测指标应符合下列要求：</w:t>
      </w:r>
    </w:p>
    <w:p w14:paraId="36A85B86">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在路堤填筑期间，路堤中心沉降每昼夜不得大于10mm～15mm，边桩位移每昼夜不得大于5mm，当沉降或位移超标时，应立即停止路堤填筑；</w:t>
      </w:r>
    </w:p>
    <w:p w14:paraId="55906170">
      <w:pPr>
        <w:spacing w:line="360" w:lineRule="auto"/>
        <w:ind w:left="840" w:leftChars="200" w:hanging="420" w:hanging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szCs w:val="21"/>
          <w:highlight w:val="none"/>
        </w:rPr>
        <w:t>路面铺筑应在沉降稳定后进行，采用双标准控制：即推算的工后沉降量应小于设计容许值，同时连续2个月观测的月沉降量均不超过5mm，方可开始路面铺筑。</w:t>
      </w:r>
    </w:p>
    <w:p w14:paraId="5B9A58C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color w:val="auto"/>
          <w:szCs w:val="21"/>
          <w:highlight w:val="none"/>
          <w:lang w:val="en-US" w:eastAsia="zh-CN"/>
        </w:rPr>
      </w:pPr>
      <w:bookmarkStart w:id="37" w:name="_Toc170244949"/>
      <w:r>
        <w:rPr>
          <w:rFonts w:hint="eastAsia" w:ascii="黑体" w:hAnsi="黑体" w:eastAsia="黑体" w:cs="黑体"/>
          <w:color w:val="auto"/>
          <w:szCs w:val="21"/>
          <w:highlight w:val="none"/>
          <w:lang w:val="en-US" w:eastAsia="zh-CN"/>
        </w:rPr>
        <w:t>7.2 沉降预测</w:t>
      </w:r>
      <w:bookmarkEnd w:id="37"/>
    </w:p>
    <w:p w14:paraId="680529E9">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7.2.1</w:t>
      </w:r>
      <w:r>
        <w:rPr>
          <w:rFonts w:ascii="Times New Roman" w:hAnsi="Times New Roman" w:eastAsia="宋体" w:cs="Times New Roman"/>
          <w:color w:val="auto"/>
          <w:szCs w:val="21"/>
          <w:highlight w:val="none"/>
        </w:rPr>
        <w:t xml:space="preserve"> 利用软弱土路基沉降监测数据，可对软弱土路基应进行沉降预测分析，沉降预测方法有双曲线法、星野法和三点法等。</w:t>
      </w:r>
    </w:p>
    <w:p w14:paraId="1CCEACBB">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7.2.2 </w:t>
      </w:r>
      <w:r>
        <w:rPr>
          <w:rFonts w:ascii="Times New Roman" w:hAnsi="Times New Roman" w:eastAsia="宋体" w:cs="Times New Roman"/>
          <w:color w:val="auto"/>
          <w:szCs w:val="21"/>
          <w:highlight w:val="none"/>
        </w:rPr>
        <w:t>采用双曲线法进行沉降预测时，可</w:t>
      </w:r>
      <w:r>
        <w:rPr>
          <w:rFonts w:hint="eastAsia" w:ascii="Times New Roman" w:hAnsi="Times New Roman" w:eastAsia="宋体" w:cs="Times New Roman"/>
          <w:color w:val="auto"/>
          <w:szCs w:val="21"/>
          <w:highlight w:val="none"/>
          <w:lang w:val="en-US" w:eastAsia="zh-CN"/>
        </w:rPr>
        <w:t>按公式（47）</w:t>
      </w:r>
      <w:r>
        <w:rPr>
          <w:rFonts w:ascii="Times New Roman" w:hAnsi="Times New Roman" w:eastAsia="宋体" w:cs="Times New Roman"/>
          <w:color w:val="auto"/>
          <w:szCs w:val="21"/>
          <w:highlight w:val="none"/>
        </w:rPr>
        <w:t>进行施工过程中的沉降预测：</w:t>
      </w:r>
    </w:p>
    <w:p w14:paraId="04D1B85F">
      <w:pPr>
        <w:spacing w:line="360" w:lineRule="auto"/>
        <w:ind w:firstLine="3360" w:firstLineChars="16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α+β(t−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 （47）</w:t>
      </w:r>
    </w:p>
    <w:p w14:paraId="0EA1B21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采用</w:t>
      </w:r>
      <w:r>
        <w:rPr>
          <w:rFonts w:hint="eastAsia" w:ascii="Times New Roman" w:hAnsi="Times New Roman" w:eastAsia="宋体" w:cs="Times New Roman"/>
          <w:color w:val="auto"/>
          <w:szCs w:val="21"/>
          <w:highlight w:val="none"/>
          <w:lang w:val="en-US" w:eastAsia="zh-CN"/>
        </w:rPr>
        <w:t>公式（48）</w:t>
      </w:r>
      <w:r>
        <w:rPr>
          <w:rFonts w:ascii="Times New Roman" w:hAnsi="Times New Roman" w:eastAsia="宋体" w:cs="Times New Roman"/>
          <w:color w:val="auto"/>
          <w:szCs w:val="21"/>
          <w:highlight w:val="none"/>
        </w:rPr>
        <w:t>进行最终沉降预测：</w:t>
      </w:r>
    </w:p>
    <w:p w14:paraId="4B983BD4">
      <w:pPr>
        <w:spacing w:line="360" w:lineRule="auto"/>
        <w:ind w:firstLine="3570" w:firstLineChars="1700"/>
        <w:rPr>
          <w:rFonts w:hint="default" w:ascii="Times New Roman" w:hAnsi="Times New Roman" w:cs="Times New Roman" w:eastAsiaTheme="minorEastAsia"/>
          <w:color w:val="auto"/>
          <w:szCs w:val="21"/>
          <w:highlight w:val="none"/>
          <w:lang w:val="en-US" w:eastAsia="zh-CN"/>
        </w:rPr>
      </w:pPr>
      <m:oMath>
        <m:r>
          <m:rPr/>
          <w:rPr>
            <w:rFonts w:ascii="Cambria Math" w:hAnsi="Cambria Math" w:cs="Times New Roman"/>
            <w:color w:val="auto"/>
            <w:szCs w:val="21"/>
            <w:highlight w:val="none"/>
          </w:rPr>
          <m:t>S=</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α+β</m:t>
            </m:r>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 （48）</w:t>
      </w:r>
    </w:p>
    <w:p w14:paraId="59F8FCE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4CB7AB34">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a</w:t>
      </w:r>
      <w:r>
        <w:rPr>
          <w:rFonts w:ascii="Times New Roman" w:hAnsi="Times New Roman" w:eastAsia="宋体" w:cs="Times New Roman"/>
          <w:color w:val="auto"/>
          <w:szCs w:val="21"/>
          <w:highlight w:val="none"/>
        </w:rPr>
        <w:t>——拟合计算起始点参考点的观测时间与沉降值；</w:t>
      </w:r>
    </w:p>
    <w:p w14:paraId="174048A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t、S</w:t>
      </w:r>
      <w:r>
        <w:rPr>
          <w:rFonts w:ascii="Times New Roman" w:hAnsi="Times New Roman" w:eastAsia="宋体" w:cs="Times New Roman"/>
          <w:color w:val="auto"/>
          <w:szCs w:val="21"/>
          <w:highlight w:val="none"/>
          <w:vertAlign w:val="subscript"/>
        </w:rPr>
        <w:t>t</w:t>
      </w:r>
      <w:r>
        <w:rPr>
          <w:rFonts w:ascii="Times New Roman" w:hAnsi="Times New Roman" w:eastAsia="宋体" w:cs="Times New Roman"/>
          <w:color w:val="auto"/>
          <w:szCs w:val="21"/>
          <w:highlight w:val="none"/>
        </w:rPr>
        <w:t>——拟合曲线上任意点的时间</w:t>
      </w:r>
      <w:r>
        <w:rPr>
          <w:rFonts w:hint="eastAsia" w:ascii="Times New Roman" w:hAnsi="Times New Roman" w:eastAsia="宋体" w:cs="Times New Roman"/>
          <w:color w:val="auto"/>
          <w:szCs w:val="21"/>
          <w:highlight w:val="none"/>
          <w:lang w:val="en-US" w:eastAsia="zh-CN"/>
        </w:rPr>
        <w:t>及</w:t>
      </w:r>
      <w:r>
        <w:rPr>
          <w:rFonts w:ascii="Times New Roman" w:hAnsi="Times New Roman" w:eastAsia="宋体" w:cs="Times New Roman"/>
          <w:color w:val="auto"/>
          <w:szCs w:val="21"/>
          <w:highlight w:val="none"/>
        </w:rPr>
        <w:t>对应的沉降值；</w:t>
      </w:r>
    </w:p>
    <w:p w14:paraId="017CB618">
      <w:pPr>
        <w:spacing w:line="360" w:lineRule="auto"/>
        <w:ind w:firstLine="420" w:firstLineChars="200"/>
        <w:rPr>
          <w:rFonts w:ascii="Times New Roman" w:hAnsi="Times New Roman" w:eastAsia="宋体" w:cs="Times New Roman"/>
          <w:color w:val="auto"/>
          <w:szCs w:val="21"/>
          <w:highlight w:val="none"/>
        </w:rPr>
      </w:pPr>
      <m:oMath>
        <m:r>
          <m:rPr/>
          <w:rPr>
            <w:rFonts w:ascii="Cambria Math" w:hAnsi="Cambria Math" w:cs="Times New Roman"/>
            <w:color w:val="auto"/>
            <w:szCs w:val="21"/>
            <w:highlight w:val="none"/>
          </w:rPr>
          <m:t>α、β</m:t>
        </m:r>
      </m:oMath>
      <w:r>
        <w:rPr>
          <w:rFonts w:ascii="Times New Roman" w:hAnsi="Times New Roman" w:eastAsia="宋体" w:cs="Times New Roman"/>
          <w:color w:val="auto"/>
          <w:szCs w:val="21"/>
          <w:highlight w:val="none"/>
        </w:rPr>
        <w:t>——根据实测值求出的参数化为直线时直线的截距与斜率</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见</w:t>
      </w:r>
      <w:r>
        <w:rPr>
          <w:rFonts w:ascii="Times New Roman" w:hAnsi="Times New Roman" w:eastAsia="宋体" w:cs="Times New Roman"/>
          <w:color w:val="auto"/>
          <w:szCs w:val="21"/>
          <w:highlight w:val="none"/>
        </w:rPr>
        <w:t>图2</w:t>
      </w:r>
      <w:r>
        <w:rPr>
          <w:rFonts w:hint="eastAsia" w:ascii="Times New Roman" w:hAnsi="Times New Roman" w:eastAsia="宋体" w:cs="Times New Roman"/>
          <w:color w:val="auto"/>
          <w:szCs w:val="21"/>
          <w:highlight w:val="none"/>
          <w:lang w:val="en-US" w:eastAsia="zh-CN"/>
        </w:rPr>
        <w:t>1</w:t>
      </w:r>
      <w:r>
        <w:rPr>
          <w:rFonts w:ascii="Times New Roman" w:hAnsi="Times New Roman" w:eastAsia="宋体" w:cs="Times New Roman"/>
          <w:color w:val="auto"/>
          <w:szCs w:val="21"/>
          <w:highlight w:val="none"/>
        </w:rPr>
        <w:t>。</w:t>
      </w:r>
    </w:p>
    <w:p w14:paraId="003BEBB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2762885" cy="1895475"/>
            <wp:effectExtent l="0" t="0" r="5715" b="9525"/>
            <wp:docPr id="3" name="图片 3" descr="C:/Users/22308/Desktop/eee3ab16ad0150388f5eb4b3bf4f10f.jpgeee3ab16ad0150388f5eb4b3bf4f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2308/Desktop/eee3ab16ad0150388f5eb4b3bf4f10f.jpgeee3ab16ad0150388f5eb4b3bf4f10f"/>
                    <pic:cNvPicPr>
                      <a:picLocks noChangeAspect="1"/>
                    </pic:cNvPicPr>
                  </pic:nvPicPr>
                  <pic:blipFill>
                    <a:blip r:embed="rId63"/>
                    <a:srcRect l="117" r="117"/>
                    <a:stretch>
                      <a:fillRect/>
                    </a:stretch>
                  </pic:blipFill>
                  <pic:spPr>
                    <a:xfrm>
                      <a:off x="0" y="0"/>
                      <a:ext cx="2762885" cy="1895475"/>
                    </a:xfrm>
                    <a:prstGeom prst="rect">
                      <a:avLst/>
                    </a:prstGeom>
                  </pic:spPr>
                </pic:pic>
              </a:graphicData>
            </a:graphic>
          </wp:inline>
        </w:drawing>
      </w:r>
    </w:p>
    <w:p w14:paraId="12BC46D9">
      <w:pPr>
        <w:spacing w:line="360" w:lineRule="auto"/>
        <w:ind w:firstLine="422" w:firstLineChars="200"/>
        <w:jc w:val="center"/>
        <w:rPr>
          <w:rFonts w:ascii="Times New Roman" w:hAnsi="Times New Roman" w:eastAsia="宋体" w:cs="Times New Roman"/>
          <w:color w:val="auto"/>
          <w:szCs w:val="21"/>
          <w:highlight w:val="none"/>
        </w:rPr>
      </w:pPr>
      <w:r>
        <w:rPr>
          <w:rFonts w:ascii="Times New Roman" w:hAnsi="Times New Roman" w:eastAsia="宋体" w:cs="Times New Roman"/>
          <w:b/>
          <w:bCs/>
          <w:color w:val="auto"/>
          <w:szCs w:val="21"/>
          <w:highlight w:val="none"/>
        </w:rPr>
        <w:t>图2</w:t>
      </w:r>
      <w:r>
        <w:rPr>
          <w:rFonts w:hint="eastAsia" w:ascii="Times New Roman" w:hAnsi="Times New Roman" w:eastAsia="宋体" w:cs="Times New Roman"/>
          <w:b/>
          <w:bCs/>
          <w:color w:val="auto"/>
          <w:szCs w:val="21"/>
          <w:highlight w:val="none"/>
          <w:lang w:val="en-US" w:eastAsia="zh-CN"/>
        </w:rPr>
        <w:t>1</w:t>
      </w:r>
      <w:r>
        <w:rPr>
          <w:rFonts w:ascii="Times New Roman" w:hAnsi="Times New Roman" w:eastAsia="宋体" w:cs="Times New Roman"/>
          <w:b/>
          <w:bCs/>
          <w:color w:val="auto"/>
          <w:szCs w:val="21"/>
          <w:highlight w:val="none"/>
        </w:rPr>
        <w:t xml:space="preserve">  （t-t</w:t>
      </w:r>
      <w:r>
        <w:rPr>
          <w:rFonts w:ascii="Times New Roman" w:hAnsi="Times New Roman" w:eastAsia="宋体" w:cs="Times New Roman"/>
          <w:b/>
          <w:bCs/>
          <w:color w:val="auto"/>
          <w:szCs w:val="21"/>
          <w:highlight w:val="none"/>
          <w:vertAlign w:val="subscript"/>
        </w:rPr>
        <w:t>a</w:t>
      </w:r>
      <w:r>
        <w:rPr>
          <w:rFonts w:ascii="Times New Roman" w:hAnsi="Times New Roman" w:eastAsia="宋体" w:cs="Times New Roman"/>
          <w:b/>
          <w:bCs/>
          <w:color w:val="auto"/>
          <w:szCs w:val="21"/>
          <w:highlight w:val="none"/>
        </w:rPr>
        <w:t>）/（S-S</w:t>
      </w:r>
      <w:r>
        <w:rPr>
          <w:rFonts w:ascii="Times New Roman" w:hAnsi="Times New Roman" w:eastAsia="宋体" w:cs="Times New Roman"/>
          <w:b/>
          <w:bCs/>
          <w:color w:val="auto"/>
          <w:szCs w:val="21"/>
          <w:highlight w:val="none"/>
          <w:vertAlign w:val="subscript"/>
        </w:rPr>
        <w:t>a</w:t>
      </w:r>
      <w:r>
        <w:rPr>
          <w:rFonts w:ascii="Times New Roman" w:hAnsi="Times New Roman" w:eastAsia="宋体" w:cs="Times New Roman"/>
          <w:b/>
          <w:bCs/>
          <w:color w:val="auto"/>
          <w:szCs w:val="21"/>
          <w:highlight w:val="none"/>
        </w:rPr>
        <w:t>）与（t-t</w:t>
      </w:r>
      <w:r>
        <w:rPr>
          <w:rFonts w:ascii="Times New Roman" w:hAnsi="Times New Roman" w:eastAsia="宋体" w:cs="Times New Roman"/>
          <w:b/>
          <w:bCs/>
          <w:color w:val="auto"/>
          <w:szCs w:val="21"/>
          <w:highlight w:val="none"/>
          <w:vertAlign w:val="subscript"/>
        </w:rPr>
        <w:t>a</w:t>
      </w:r>
      <w:r>
        <w:rPr>
          <w:rFonts w:ascii="Times New Roman" w:hAnsi="Times New Roman" w:eastAsia="宋体" w:cs="Times New Roman"/>
          <w:b/>
          <w:bCs/>
          <w:color w:val="auto"/>
          <w:szCs w:val="21"/>
          <w:highlight w:val="none"/>
        </w:rPr>
        <w:t>）关系图</w:t>
      </w:r>
    </w:p>
    <w:p w14:paraId="224A267A">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 xml:space="preserve">7.2.3 </w:t>
      </w:r>
      <w:r>
        <w:rPr>
          <w:rFonts w:ascii="Times New Roman" w:hAnsi="Times New Roman" w:eastAsia="宋体" w:cs="Times New Roman"/>
          <w:color w:val="auto"/>
          <w:szCs w:val="21"/>
          <w:highlight w:val="none"/>
        </w:rPr>
        <w:t>采用星野法进行沉降预测时，可采用</w:t>
      </w:r>
      <w:r>
        <w:rPr>
          <w:rFonts w:hint="eastAsia" w:ascii="Times New Roman" w:hAnsi="Times New Roman" w:eastAsia="宋体" w:cs="Times New Roman"/>
          <w:color w:val="auto"/>
          <w:szCs w:val="21"/>
          <w:highlight w:val="none"/>
          <w:lang w:val="en-US" w:eastAsia="zh-CN"/>
        </w:rPr>
        <w:t>公式（49）</w:t>
      </w:r>
      <w:r>
        <w:rPr>
          <w:rFonts w:ascii="Times New Roman" w:hAnsi="Times New Roman" w:eastAsia="宋体" w:cs="Times New Roman"/>
          <w:color w:val="auto"/>
          <w:szCs w:val="21"/>
          <w:highlight w:val="none"/>
        </w:rPr>
        <w:t>进行施工期间的沉降预测：</w:t>
      </w:r>
    </w:p>
    <w:p w14:paraId="797C5CC4">
      <w:pPr>
        <w:spacing w:line="360" w:lineRule="auto"/>
        <w:ind w:firstLine="3150" w:firstLineChars="15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i</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AK</m:t>
            </m:r>
            <m:rad>
              <m:radPr>
                <m:degHide m:val="1"/>
                <m:ctrlPr>
                  <w:rPr>
                    <w:rFonts w:ascii="Cambria Math" w:hAnsi="Cambria Math" w:cs="Times New Roman"/>
                    <w:i/>
                    <w:color w:val="auto"/>
                    <w:szCs w:val="21"/>
                    <w:highlight w:val="none"/>
                  </w:rPr>
                </m:ctrlPr>
              </m:radPr>
              <m:deg>
                <m:ctrlPr>
                  <w:rPr>
                    <w:rFonts w:ascii="Cambria Math" w:hAnsi="Cambria Math" w:cs="Times New Roman"/>
                    <w:i/>
                    <w:color w:val="auto"/>
                    <w:szCs w:val="21"/>
                    <w:highlight w:val="none"/>
                  </w:rPr>
                </m:ctrlPr>
              </m:deg>
              <m:e>
                <m:r>
                  <m:rPr/>
                  <w:rPr>
                    <w:rFonts w:ascii="Cambria Math" w:hAnsi="Cambria Math" w:cs="Times New Roman"/>
                    <w:color w:val="auto"/>
                    <w:szCs w:val="21"/>
                    <w:highlight w:val="none"/>
                  </w:rPr>
                  <m:t>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0</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e>
            </m:rad>
            <m:ctrlPr>
              <w:rPr>
                <w:rFonts w:ascii="Cambria Math" w:hAnsi="Cambria Math" w:cs="Times New Roman"/>
                <w:i/>
                <w:color w:val="auto"/>
                <w:szCs w:val="21"/>
                <w:highlight w:val="none"/>
              </w:rPr>
            </m:ctrlPr>
          </m:num>
          <m:den>
            <m:rad>
              <m:radPr>
                <m:degHide m:val="1"/>
                <m:ctrlPr>
                  <w:rPr>
                    <w:rFonts w:ascii="Cambria Math" w:hAnsi="Cambria Math" w:cs="Times New Roman"/>
                    <w:i/>
                    <w:color w:val="auto"/>
                    <w:szCs w:val="21"/>
                    <w:highlight w:val="none"/>
                  </w:rPr>
                </m:ctrlPr>
              </m:radPr>
              <m:deg>
                <m:ctrlPr>
                  <w:rPr>
                    <w:rFonts w:ascii="Cambria Math" w:hAnsi="Cambria Math" w:cs="Times New Roman"/>
                    <w:i/>
                    <w:color w:val="auto"/>
                    <w:szCs w:val="21"/>
                    <w:highlight w:val="none"/>
                  </w:rPr>
                </m:ctrlPr>
              </m:deg>
              <m:e>
                <m:r>
                  <m:rPr/>
                  <w:rPr>
                    <w:rFonts w:ascii="Cambria Math" w:hAnsi="Cambria Math" w:cs="Times New Roman"/>
                    <w:color w:val="auto"/>
                    <w:szCs w:val="21"/>
                    <w:highlight w:val="none"/>
                  </w:rPr>
                  <m:t>1+</m:t>
                </m:r>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K</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r>
                  <m:rPr/>
                  <w:rPr>
                    <w:rFonts w:ascii="Cambria Math" w:hAnsi="Cambria Math" w:cs="Times New Roman"/>
                    <w:color w:val="auto"/>
                    <w:szCs w:val="21"/>
                    <w:highlight w:val="none"/>
                  </w:rPr>
                  <m:t>(t−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0</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e>
            </m:rad>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 （49）</w:t>
      </w:r>
    </w:p>
    <w:p w14:paraId="2AEC3CC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采用</w:t>
      </w:r>
      <w:r>
        <w:rPr>
          <w:rFonts w:hint="eastAsia" w:ascii="Times New Roman" w:hAnsi="Times New Roman" w:eastAsia="宋体" w:cs="Times New Roman"/>
          <w:color w:val="auto"/>
          <w:szCs w:val="21"/>
          <w:highlight w:val="none"/>
          <w:lang w:val="en-US" w:eastAsia="zh-CN"/>
        </w:rPr>
        <w:t>公式（50）</w:t>
      </w:r>
      <w:r>
        <w:rPr>
          <w:rFonts w:ascii="Times New Roman" w:hAnsi="Times New Roman" w:eastAsia="宋体" w:cs="Times New Roman"/>
          <w:color w:val="auto"/>
          <w:szCs w:val="21"/>
          <w:highlight w:val="none"/>
        </w:rPr>
        <w:t>进行最终沉降预测：</w:t>
      </w:r>
    </w:p>
    <w:p w14:paraId="56320377">
      <w:pPr>
        <w:spacing w:line="360" w:lineRule="auto"/>
        <w:ind w:firstLine="3570" w:firstLineChars="1700"/>
        <w:rPr>
          <w:rFonts w:hint="default" w:ascii="Times New Roman" w:hAnsi="Times New Roman" w:eastAsia="宋体" w:cs="Times New Roman"/>
          <w:color w:val="auto"/>
          <w:szCs w:val="21"/>
          <w:highlight w:val="none"/>
          <w:lang w:val="en-US" w:eastAsia="zh-CN"/>
        </w:rPr>
      </w:pPr>
      <m:oMath>
        <m:r>
          <m:rPr>
            <m:sty m:val="p"/>
          </m:rPr>
          <w:rPr>
            <w:rFonts w:ascii="Cambria Math" w:hAnsi="Cambria Math" w:eastAsia="宋体" w:cs="Times New Roman"/>
            <w:color w:val="auto"/>
            <w:szCs w:val="21"/>
            <w:highlight w:val="none"/>
          </w:rPr>
          <m:t>S=</m:t>
        </m:r>
        <m:sSub>
          <m:sSubPr>
            <m:ctrlPr>
              <w:rPr>
                <w:rFonts w:ascii="Cambria Math" w:hAnsi="Cambria Math" w:eastAsia="宋体" w:cs="Times New Roman"/>
                <w:color w:val="auto"/>
                <w:szCs w:val="21"/>
                <w:highlight w:val="none"/>
              </w:rPr>
            </m:ctrlPr>
          </m:sSubPr>
          <m:e>
            <m:r>
              <m:rPr>
                <m:sty m:val="p"/>
              </m:rPr>
              <w:rPr>
                <w:rFonts w:ascii="Cambria Math" w:hAnsi="Cambria Math" w:eastAsia="宋体" w:cs="Times New Roman"/>
                <w:color w:val="auto"/>
                <w:szCs w:val="21"/>
                <w:highlight w:val="none"/>
              </w:rPr>
              <m:t>S</m:t>
            </m:r>
            <m:ctrlPr>
              <w:rPr>
                <w:rFonts w:ascii="Cambria Math" w:hAnsi="Cambria Math" w:eastAsia="宋体" w:cs="Times New Roman"/>
                <w:color w:val="auto"/>
                <w:szCs w:val="21"/>
                <w:highlight w:val="none"/>
              </w:rPr>
            </m:ctrlPr>
          </m:e>
          <m:sub>
            <m:r>
              <m:rPr>
                <m:sty m:val="p"/>
              </m:rPr>
              <w:rPr>
                <w:rFonts w:ascii="Cambria Math" w:hAnsi="Cambria Math" w:eastAsia="宋体" w:cs="Times New Roman"/>
                <w:color w:val="auto"/>
                <w:szCs w:val="21"/>
                <w:highlight w:val="none"/>
              </w:rPr>
              <m:t>i</m:t>
            </m:r>
            <m:ctrlPr>
              <w:rPr>
                <w:rFonts w:ascii="Cambria Math" w:hAnsi="Cambria Math" w:eastAsia="宋体" w:cs="Times New Roman"/>
                <w:color w:val="auto"/>
                <w:szCs w:val="21"/>
                <w:highlight w:val="none"/>
              </w:rPr>
            </m:ctrlPr>
          </m:sub>
        </m:sSub>
        <m:r>
          <m:rPr>
            <m:sty m:val="p"/>
          </m:rPr>
          <w:rPr>
            <w:rFonts w:ascii="Cambria Math" w:hAnsi="Cambria Math" w:eastAsia="宋体" w:cs="Times New Roman"/>
            <w:color w:val="auto"/>
            <w:szCs w:val="21"/>
            <w:highlight w:val="none"/>
          </w:rPr>
          <m:t>+A</m:t>
        </m:r>
      </m:oMath>
      <w:r>
        <w:rPr>
          <w:rFonts w:hint="eastAsia" w:hAnsi="Cambria Math" w:eastAsia="宋体" w:cs="Times New Roman"/>
          <w:b w:val="0"/>
          <w:i w:val="0"/>
          <w:color w:val="auto"/>
          <w:szCs w:val="21"/>
          <w:highlight w:val="none"/>
          <w:lang w:val="en-US" w:eastAsia="zh-CN"/>
        </w:rPr>
        <w:t xml:space="preserve">  ........................................................... （50）</w:t>
      </w:r>
    </w:p>
    <w:p w14:paraId="19FD02E6">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3879820E">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0</w:t>
      </w: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i</w:t>
      </w:r>
      <w:r>
        <w:rPr>
          <w:rFonts w:ascii="Times New Roman" w:hAnsi="Times New Roman" w:eastAsia="宋体" w:cs="Times New Roman"/>
          <w:color w:val="auto"/>
          <w:szCs w:val="21"/>
          <w:highlight w:val="none"/>
        </w:rPr>
        <w:t>——拟合计算起始点参考点的观测时间与瞬时沉降值；</w:t>
      </w:r>
    </w:p>
    <w:p w14:paraId="72D196D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K——影响沉降速度的系数，可根据</w:t>
      </w:r>
      <m:oMath>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0</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i</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num>
          <m:den>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K</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num>
          <m:den>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0</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oMath>
      <w:r>
        <w:rPr>
          <w:rFonts w:ascii="Times New Roman" w:hAnsi="Times New Roman" w:eastAsia="宋体" w:cs="Times New Roman"/>
          <w:color w:val="auto"/>
          <w:szCs w:val="21"/>
          <w:highlight w:val="none"/>
        </w:rPr>
        <w:t>采用图解法(图2</w:t>
      </w:r>
      <w:r>
        <w:rPr>
          <w:rFonts w:hint="eastAsia" w:ascii="Times New Roman" w:hAnsi="Times New Roman" w:eastAsia="宋体" w:cs="Times New Roman"/>
          <w:color w:val="auto"/>
          <w:szCs w:val="21"/>
          <w:highlight w:val="none"/>
          <w:lang w:val="en-US" w:eastAsia="zh-CN"/>
        </w:rPr>
        <w:t>2</w:t>
      </w:r>
      <w:r>
        <w:rPr>
          <w:rFonts w:ascii="Times New Roman" w:hAnsi="Times New Roman" w:eastAsia="宋体" w:cs="Times New Roman"/>
          <w:color w:val="auto"/>
          <w:szCs w:val="21"/>
          <w:highlight w:val="none"/>
        </w:rPr>
        <w:t>)求得；</w:t>
      </w:r>
    </w:p>
    <w:p w14:paraId="6CE7C4C7">
      <w:pPr>
        <w:spacing w:line="360"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A——求t→∞时最终沉降值的系数，可根据</w:t>
      </w:r>
      <m:oMath>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0</m:t>
                </m:r>
                <m:ctrlPr>
                  <w:rPr>
                    <w:rFonts w:ascii="Cambria Math" w:hAnsi="Cambria Math" w:cs="Times New Roman"/>
                    <w:i/>
                    <w:color w:val="auto"/>
                    <w:szCs w:val="21"/>
                    <w:highlight w:val="none"/>
                  </w:rPr>
                </m:ctrlPr>
              </m:sub>
            </m:sSub>
            <m:ctrlPr>
              <w:rPr>
                <w:rFonts w:ascii="Cambria Math" w:hAnsi="Cambria Math" w:cs="Times New Roman"/>
                <w:i/>
                <w:color w:val="auto"/>
                <w:szCs w:val="21"/>
                <w:highlight w:val="none"/>
              </w:rPr>
            </m:ctrlPr>
          </m:num>
          <m:den>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i</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num>
          <m:den>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K</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num>
          <m:den>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A</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p>
            </m:sSup>
            <m:ctrlPr>
              <w:rPr>
                <w:rFonts w:ascii="Cambria Math" w:hAnsi="Cambria Math" w:cs="Times New Roman"/>
                <w:i/>
                <w:color w:val="auto"/>
                <w:szCs w:val="21"/>
                <w:highlight w:val="none"/>
              </w:rPr>
            </m:ctrlPr>
          </m:den>
        </m:f>
        <m:r>
          <m:rPr/>
          <w:rPr>
            <w:rFonts w:ascii="Cambria Math" w:hAnsi="Cambria Math" w:cs="Times New Roman"/>
            <w:color w:val="auto"/>
            <w:szCs w:val="21"/>
            <w:highlight w:val="none"/>
          </w:rPr>
          <m:t>(t−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0</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oMath>
      <w:r>
        <w:rPr>
          <w:rFonts w:ascii="Times New Roman" w:hAnsi="Times New Roman" w:eastAsia="宋体" w:cs="Times New Roman"/>
          <w:color w:val="auto"/>
          <w:szCs w:val="21"/>
          <w:highlight w:val="none"/>
        </w:rPr>
        <w:t>采用图解法求得</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见</w:t>
      </w:r>
      <w:r>
        <w:rPr>
          <w:rFonts w:ascii="Times New Roman" w:hAnsi="Times New Roman" w:eastAsia="宋体" w:cs="Times New Roman"/>
          <w:color w:val="auto"/>
          <w:szCs w:val="21"/>
          <w:highlight w:val="none"/>
        </w:rPr>
        <w:t>图23</w:t>
      </w:r>
      <w:r>
        <w:rPr>
          <w:rFonts w:hint="eastAsia" w:ascii="Times New Roman" w:hAnsi="Times New Roman" w:eastAsia="宋体" w:cs="Times New Roman"/>
          <w:color w:val="auto"/>
          <w:szCs w:val="21"/>
          <w:highlight w:val="none"/>
          <w:lang w:eastAsia="zh-CN"/>
        </w:rPr>
        <w:t>。</w:t>
      </w:r>
    </w:p>
    <w:p w14:paraId="1653E3F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drawing>
          <wp:inline distT="0" distB="0" distL="114300" distR="114300">
            <wp:extent cx="3077845" cy="1731645"/>
            <wp:effectExtent l="0" t="0" r="8255" b="8255"/>
            <wp:docPr id="5" name="图片 5" descr="C:/Users/22308/Desktop/0587b4a0ea8481a12333c8ae178bbfa.jpg0587b4a0ea8481a12333c8ae178b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22308/Desktop/0587b4a0ea8481a12333c8ae178bbfa.jpg0587b4a0ea8481a12333c8ae178bbfa"/>
                    <pic:cNvPicPr>
                      <a:picLocks noChangeAspect="1"/>
                    </pic:cNvPicPr>
                  </pic:nvPicPr>
                  <pic:blipFill>
                    <a:blip r:embed="rId64"/>
                    <a:srcRect t="10" b="10"/>
                    <a:stretch>
                      <a:fillRect/>
                    </a:stretch>
                  </pic:blipFill>
                  <pic:spPr>
                    <a:xfrm>
                      <a:off x="0" y="0"/>
                      <a:ext cx="3077845" cy="1731645"/>
                    </a:xfrm>
                    <a:prstGeom prst="rect">
                      <a:avLst/>
                    </a:prstGeom>
                  </pic:spPr>
                </pic:pic>
              </a:graphicData>
            </a:graphic>
          </wp:inline>
        </w:drawing>
      </w:r>
    </w:p>
    <w:p w14:paraId="0094AC36">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图2</w:t>
      </w:r>
      <w:r>
        <w:rPr>
          <w:rFonts w:hint="eastAsia" w:ascii="Times New Roman" w:hAnsi="Times New Roman" w:eastAsia="宋体" w:cs="Times New Roman"/>
          <w:b/>
          <w:bCs/>
          <w:color w:val="auto"/>
          <w:szCs w:val="21"/>
          <w:highlight w:val="none"/>
          <w:lang w:val="en-US" w:eastAsia="zh-CN"/>
        </w:rPr>
        <w:t>2</w:t>
      </w:r>
      <w:r>
        <w:rPr>
          <w:rFonts w:ascii="Times New Roman" w:hAnsi="Times New Roman" w:eastAsia="宋体" w:cs="Times New Roman"/>
          <w:b/>
          <w:bCs/>
          <w:color w:val="auto"/>
          <w:szCs w:val="21"/>
          <w:highlight w:val="none"/>
        </w:rPr>
        <w:t xml:space="preserve">  参数A、K的确定</w:t>
      </w:r>
    </w:p>
    <w:p w14:paraId="11E78EDB">
      <w:pPr>
        <w:spacing w:line="360" w:lineRule="auto"/>
        <w:rPr>
          <w:rFonts w:ascii="Times New Roman" w:hAnsi="Times New Roman" w:eastAsia="宋体" w:cs="Times New Roman"/>
          <w:color w:val="auto"/>
          <w:szCs w:val="21"/>
          <w:highlight w:val="none"/>
        </w:rPr>
      </w:pPr>
      <w:r>
        <w:rPr>
          <w:rFonts w:hint="eastAsia" w:ascii="黑体" w:hAnsi="黑体" w:eastAsia="黑体" w:cs="黑体"/>
          <w:color w:val="auto"/>
          <w:szCs w:val="21"/>
          <w:highlight w:val="none"/>
          <w:lang w:val="en-US" w:eastAsia="zh-CN"/>
        </w:rPr>
        <w:t>7.2.4</w:t>
      </w:r>
      <w:r>
        <w:rPr>
          <w:rFonts w:ascii="Times New Roman" w:hAnsi="Times New Roman" w:eastAsia="宋体" w:cs="Times New Roman"/>
          <w:color w:val="auto"/>
          <w:szCs w:val="21"/>
          <w:highlight w:val="none"/>
        </w:rPr>
        <w:t>采用三点法进行</w:t>
      </w:r>
      <w:r>
        <w:rPr>
          <w:rFonts w:hint="eastAsia" w:ascii="Times New Roman" w:hAnsi="Times New Roman" w:eastAsia="宋体" w:cs="Times New Roman"/>
          <w:color w:val="auto"/>
          <w:szCs w:val="21"/>
          <w:highlight w:val="none"/>
          <w:lang w:val="en-US" w:eastAsia="zh-CN"/>
        </w:rPr>
        <w:t>沉降</w:t>
      </w:r>
      <w:r>
        <w:rPr>
          <w:rFonts w:ascii="Times New Roman" w:hAnsi="Times New Roman" w:eastAsia="宋体" w:cs="Times New Roman"/>
          <w:color w:val="auto"/>
          <w:szCs w:val="21"/>
          <w:highlight w:val="none"/>
        </w:rPr>
        <w:t>预测时，可从</w:t>
      </w:r>
      <w:r>
        <w:rPr>
          <w:rFonts w:hint="eastAsia" w:ascii="Times New Roman" w:hAnsi="Times New Roman" w:eastAsia="宋体" w:cs="Times New Roman"/>
          <w:color w:val="auto"/>
          <w:szCs w:val="21"/>
          <w:highlight w:val="none"/>
          <w:lang w:val="en-US" w:eastAsia="zh-CN"/>
        </w:rPr>
        <w:t>沉降</w:t>
      </w:r>
      <w:r>
        <w:rPr>
          <w:rFonts w:ascii="Times New Roman" w:hAnsi="Times New Roman" w:eastAsia="宋体" w:cs="Times New Roman"/>
          <w:color w:val="auto"/>
          <w:szCs w:val="21"/>
          <w:highlight w:val="none"/>
        </w:rPr>
        <w:t>一时间关系曲线上，取最大恒载时间段内时间间隔相等的三点沉降值，采用</w:t>
      </w:r>
      <w:r>
        <w:rPr>
          <w:rFonts w:hint="eastAsia" w:ascii="Times New Roman" w:hAnsi="Times New Roman" w:eastAsia="宋体" w:cs="Times New Roman"/>
          <w:color w:val="auto"/>
          <w:szCs w:val="21"/>
          <w:highlight w:val="none"/>
          <w:lang w:val="en-US" w:eastAsia="zh-CN"/>
        </w:rPr>
        <w:t>公式（51）</w:t>
      </w:r>
      <w:r>
        <w:rPr>
          <w:rFonts w:ascii="Times New Roman" w:hAnsi="Times New Roman" w:eastAsia="宋体" w:cs="Times New Roman"/>
          <w:color w:val="auto"/>
          <w:szCs w:val="21"/>
          <w:highlight w:val="none"/>
        </w:rPr>
        <w:t>进行最终沉降预测：</w:t>
      </w:r>
    </w:p>
    <w:p w14:paraId="2075BD38">
      <w:pPr>
        <w:spacing w:line="360" w:lineRule="auto"/>
        <w:ind w:firstLine="2940" w:firstLineChars="14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f>
          <m:fPr>
            <m:ctrlPr>
              <w:rPr>
                <w:rFonts w:ascii="Cambria Math" w:hAnsi="Cambria Math" w:cs="Times New Roman"/>
                <w:i/>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3</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3</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num>
          <m:den>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3</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den>
        </m:f>
      </m:oMath>
      <w:r>
        <w:rPr>
          <w:rFonts w:hint="eastAsia" w:hAnsi="Cambria Math" w:cs="Times New Roman"/>
          <w:i w:val="0"/>
          <w:color w:val="auto"/>
          <w:szCs w:val="21"/>
          <w:highlight w:val="none"/>
          <w:lang w:val="en-US" w:eastAsia="zh-CN"/>
        </w:rPr>
        <w:t xml:space="preserve"> .................................................... （51）</w:t>
      </w:r>
    </w:p>
    <w:p w14:paraId="7E5BA765">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采用公式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52</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53</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计算任意时间沉降：</w:t>
      </w:r>
    </w:p>
    <w:p w14:paraId="50922C21">
      <w:pPr>
        <w:spacing w:line="360" w:lineRule="auto"/>
        <w:ind w:firstLine="3360" w:firstLineChars="1600"/>
        <w:rPr>
          <w:rFonts w:hint="default" w:ascii="Times New Roman" w:hAnsi="Times New Roman" w:cs="Times New Roman" w:eastAsiaTheme="minorEastAsia"/>
          <w:color w:val="auto"/>
          <w:szCs w:val="21"/>
          <w:highlight w:val="none"/>
          <w:lang w:val="en-US" w:eastAsia="zh-CN"/>
        </w:rPr>
      </w:pPr>
      <m:oMath>
        <m:r>
          <m:rPr>
            <m:sty m:val="p"/>
          </m:rPr>
          <w:rPr>
            <w:rFonts w:ascii="Cambria Math" w:hAnsi="Cambria Math" w:cs="Times New Roman"/>
            <w:color w:val="auto"/>
            <w:szCs w:val="21"/>
            <w:highlight w:val="none"/>
          </w:rPr>
          <m:t>β=</m:t>
        </m:r>
        <m:f>
          <m:fPr>
            <m:ctrlPr>
              <w:rPr>
                <w:rFonts w:ascii="Cambria Math" w:hAnsi="Cambria Math" w:cs="Times New Roman"/>
                <w:color w:val="auto"/>
                <w:szCs w:val="21"/>
                <w:highlight w:val="none"/>
              </w:rPr>
            </m:ctrlPr>
          </m:fPr>
          <m:num>
            <m:r>
              <m:rPr>
                <m:sty m:val="p"/>
              </m:rPr>
              <w:rPr>
                <w:rFonts w:ascii="Cambria Math" w:hAnsi="Cambria Math" w:cs="Times New Roman"/>
                <w:color w:val="auto"/>
                <w:szCs w:val="21"/>
                <w:highlight w:val="none"/>
              </w:rPr>
              <m:t>1</m:t>
            </m:r>
            <m:ctrlPr>
              <w:rPr>
                <w:rFonts w:ascii="Cambria Math" w:hAnsi="Cambria Math" w:cs="Times New Roman"/>
                <w:color w:val="auto"/>
                <w:szCs w:val="21"/>
                <w:highlight w:val="none"/>
              </w:rPr>
            </m:ctrlPr>
          </m:num>
          <m:den>
            <m:r>
              <m:rPr>
                <m:sty m:val="p"/>
              </m:rPr>
              <w:rPr>
                <w:rFonts w:ascii="Cambria Math" w:hAnsi="Cambria Math" w:cs="Times New Roman"/>
                <w:color w:val="auto"/>
                <w:szCs w:val="21"/>
                <w:highlight w:val="none"/>
              </w:rPr>
              <m:t>Δt</m:t>
            </m:r>
            <m:ctrlPr>
              <w:rPr>
                <w:rFonts w:ascii="Cambria Math" w:hAnsi="Cambria Math" w:cs="Times New Roman"/>
                <w:color w:val="auto"/>
                <w:szCs w:val="21"/>
                <w:highlight w:val="none"/>
              </w:rPr>
            </m:ctrlPr>
          </m:den>
        </m:f>
        <m:r>
          <m:rPr>
            <m:sty m:val="p"/>
          </m:rPr>
          <w:rPr>
            <w:rFonts w:ascii="Cambria Math" w:hAnsi="Cambria Math" w:cs="Times New Roman"/>
            <w:color w:val="auto"/>
            <w:szCs w:val="21"/>
            <w:highlight w:val="none"/>
          </w:rPr>
          <m:t>ln</m:t>
        </m:r>
        <m:f>
          <m:fPr>
            <m:ctrlPr>
              <w:rPr>
                <w:rFonts w:ascii="Cambria Math" w:hAnsi="Cambria Math" w:cs="Times New Roman"/>
                <w:color w:val="auto"/>
                <w:szCs w:val="21"/>
                <w:highlight w:val="none"/>
              </w:rPr>
            </m:ctrlPr>
          </m:fPr>
          <m:num>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1</m:t>
                </m:r>
                <m:ctrlPr>
                  <w:rPr>
                    <w:rFonts w:ascii="Cambria Math" w:hAnsi="Cambria Math" w:cs="Times New Roman"/>
                    <w:i/>
                    <w:color w:val="auto"/>
                    <w:szCs w:val="21"/>
                    <w:highlight w:val="none"/>
                  </w:rPr>
                </m:ctrlPr>
              </m:sub>
            </m:sSub>
            <m:ctrlPr>
              <w:rPr>
                <w:rFonts w:ascii="Cambria Math" w:hAnsi="Cambria Math" w:cs="Times New Roman"/>
                <w:color w:val="auto"/>
                <w:szCs w:val="21"/>
                <w:highlight w:val="none"/>
              </w:rPr>
            </m:ctrlPr>
          </m:num>
          <m:den>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3</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2</m:t>
                </m:r>
                <m:ctrlPr>
                  <w:rPr>
                    <w:rFonts w:ascii="Cambria Math" w:hAnsi="Cambria Math" w:cs="Times New Roman"/>
                    <w:i/>
                    <w:color w:val="auto"/>
                    <w:szCs w:val="21"/>
                    <w:highlight w:val="none"/>
                  </w:rPr>
                </m:ctrlPr>
              </m:sub>
            </m:sSub>
            <m:ctrlPr>
              <w:rPr>
                <w:rFonts w:ascii="Cambria Math" w:hAnsi="Cambria Math" w:cs="Times New Roman"/>
                <w:color w:val="auto"/>
                <w:szCs w:val="21"/>
                <w:highlight w:val="none"/>
              </w:rPr>
            </m:ctrlPr>
          </m:den>
        </m:f>
      </m:oMath>
      <w:r>
        <w:rPr>
          <w:rFonts w:hint="eastAsia" w:hAnsi="Cambria Math" w:cs="Times New Roman"/>
          <w:i w:val="0"/>
          <w:color w:val="auto"/>
          <w:szCs w:val="21"/>
          <w:highlight w:val="none"/>
          <w:lang w:val="en-US" w:eastAsia="zh-CN"/>
        </w:rPr>
        <w:t xml:space="preserve">  .......................................................... （52）</w:t>
      </w:r>
    </w:p>
    <w:p w14:paraId="2A1C0A04">
      <w:pPr>
        <w:spacing w:line="360" w:lineRule="auto"/>
        <w:ind w:firstLine="2940" w:firstLineChars="1400"/>
        <w:rPr>
          <w:rFonts w:hint="default" w:ascii="Times New Roman" w:hAnsi="Times New Roman" w:cs="Times New Roman" w:eastAsiaTheme="minorEastAsia"/>
          <w:color w:val="auto"/>
          <w:szCs w:val="21"/>
          <w:highlight w:val="none"/>
          <w:lang w:val="en-US" w:eastAsia="zh-CN"/>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U</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t</m:t>
            </m:r>
            <m:ctrlPr>
              <w:rPr>
                <w:rFonts w:ascii="Cambria Math" w:hAnsi="Cambria Math" w:cs="Times New Roman"/>
                <w:i/>
                <w:color w:val="auto"/>
                <w:szCs w:val="21"/>
                <w:highlight w:val="none"/>
              </w:rPr>
            </m:ctrlPr>
          </m:sub>
        </m:sSub>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sub>
        </m:sSub>
        <m:r>
          <m:rPr/>
          <w:rPr>
            <w:rFonts w:ascii="Cambria Math" w:hAnsi="Cambria Math" w:cs="Times New Roman"/>
            <w:color w:val="auto"/>
            <w:szCs w:val="21"/>
            <w:highlight w:val="none"/>
          </w:rPr>
          <m:t>=(1−α</m:t>
        </m:r>
        <m:sSup>
          <m:sSupPr>
            <m:ctrlPr>
              <w:rPr>
                <w:rFonts w:ascii="Cambria Math" w:hAnsi="Cambria Math" w:cs="Times New Roman"/>
                <w:i/>
                <w:color w:val="auto"/>
                <w:szCs w:val="21"/>
                <w:highlight w:val="none"/>
              </w:rPr>
            </m:ctrlPr>
          </m:sSupPr>
          <m:e>
            <m:r>
              <m:rPr/>
              <w:rPr>
                <w:rFonts w:ascii="Cambria Math" w:hAnsi="Cambria Math" w:cs="Times New Roman"/>
                <w:color w:val="auto"/>
                <w:szCs w:val="21"/>
                <w:highlight w:val="none"/>
              </w:rPr>
              <m:t>e</m:t>
            </m:r>
            <m:ctrlPr>
              <w:rPr>
                <w:rFonts w:ascii="Cambria Math" w:hAnsi="Cambria Math" w:cs="Times New Roman"/>
                <w:i/>
                <w:color w:val="auto"/>
                <w:szCs w:val="21"/>
                <w:highlight w:val="none"/>
              </w:rPr>
            </m:ctrlPr>
          </m:e>
          <m:sup>
            <m:r>
              <m:rPr/>
              <w:rPr>
                <w:rFonts w:ascii="Cambria Math" w:hAnsi="Cambria Math" w:cs="Times New Roman"/>
                <w:color w:val="auto"/>
                <w:szCs w:val="21"/>
                <w:highlight w:val="none"/>
              </w:rPr>
              <m:t>−βt</m:t>
            </m:r>
            <m:ctrlPr>
              <w:rPr>
                <w:rFonts w:ascii="Cambria Math" w:hAnsi="Cambria Math" w:cs="Times New Roman"/>
                <w:i/>
                <w:color w:val="auto"/>
                <w:szCs w:val="21"/>
                <w:highlight w:val="none"/>
              </w:rPr>
            </m:ctrlPr>
          </m:sup>
        </m:sSup>
        <m:r>
          <m:rPr/>
          <w:rPr>
            <w:rFonts w:ascii="Cambria Math" w:hAnsi="Cambria Math" w:cs="Times New Roman"/>
            <w:color w:val="auto"/>
            <w:szCs w:val="21"/>
            <w:highlight w:val="none"/>
          </w:rPr>
          <m:t>)</m:t>
        </m:r>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sub>
        </m:sSub>
      </m:oMath>
      <w:r>
        <w:rPr>
          <w:rFonts w:hint="eastAsia" w:hAnsi="Cambria Math" w:cs="Times New Roman"/>
          <w:i w:val="0"/>
          <w:color w:val="auto"/>
          <w:szCs w:val="21"/>
          <w:highlight w:val="none"/>
          <w:lang w:val="en-US" w:eastAsia="zh-CN"/>
        </w:rPr>
        <w:t xml:space="preserve"> ........................................  （53）</w:t>
      </w:r>
    </w:p>
    <w:p w14:paraId="2C40C532">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式中：</w:t>
      </w:r>
    </w:p>
    <w:p w14:paraId="147B3F84">
      <w:pPr>
        <w:spacing w:line="360" w:lineRule="auto"/>
        <w:ind w:firstLine="420" w:firstLineChars="200"/>
        <w:rPr>
          <w:rFonts w:ascii="Times New Roman" w:hAnsi="Times New Roman" w:eastAsia="宋体" w:cs="Times New Roman"/>
          <w:color w:val="auto"/>
          <w:szCs w:val="21"/>
          <w:highlight w:val="none"/>
        </w:rPr>
      </w:pPr>
      <m:oMath>
        <m:sSub>
          <m:sSubPr>
            <m:ctrlPr>
              <w:rPr>
                <w:rFonts w:ascii="Cambria Math" w:hAnsi="Cambria Math" w:cs="Times New Roman"/>
                <w:i/>
                <w:color w:val="auto"/>
                <w:szCs w:val="21"/>
                <w:highlight w:val="none"/>
              </w:rPr>
            </m:ctrlPr>
          </m:sSubPr>
          <m:e>
            <m:r>
              <m:rPr/>
              <w:rPr>
                <w:rFonts w:ascii="Cambria Math" w:hAnsi="Cambria Math" w:cs="Times New Roman"/>
                <w:color w:val="auto"/>
                <w:szCs w:val="21"/>
                <w:highlight w:val="none"/>
              </w:rPr>
              <m:t>S</m:t>
            </m:r>
            <m:ctrlPr>
              <w:rPr>
                <w:rFonts w:ascii="Cambria Math" w:hAnsi="Cambria Math" w:cs="Times New Roman"/>
                <w:i/>
                <w:color w:val="auto"/>
                <w:szCs w:val="21"/>
                <w:highlight w:val="none"/>
              </w:rPr>
            </m:ctrlPr>
          </m:e>
          <m:sub>
            <m:r>
              <m:rPr/>
              <w:rPr>
                <w:rFonts w:ascii="Cambria Math" w:hAnsi="Cambria Math" w:cs="Times New Roman"/>
                <w:color w:val="auto"/>
                <w:szCs w:val="21"/>
                <w:highlight w:val="none"/>
              </w:rPr>
              <m:t>∞</m:t>
            </m:r>
            <m:ctrlPr>
              <w:rPr>
                <w:rFonts w:ascii="Cambria Math" w:hAnsi="Cambria Math" w:cs="Times New Roman"/>
                <w:i/>
                <w:color w:val="auto"/>
                <w:szCs w:val="21"/>
                <w:highlight w:val="none"/>
              </w:rPr>
            </m:ctrlPr>
          </m:sub>
        </m:sSub>
      </m:oMath>
      <w:r>
        <w:rPr>
          <w:rFonts w:ascii="Times New Roman" w:hAnsi="Times New Roman" w:eastAsia="宋体" w:cs="Times New Roman"/>
          <w:color w:val="auto"/>
          <w:szCs w:val="21"/>
          <w:highlight w:val="none"/>
        </w:rPr>
        <w:t>——预测最终沉降量(mm)；</w:t>
      </w:r>
    </w:p>
    <w:p w14:paraId="24592625">
      <w:pPr>
        <w:spacing w:line="360" w:lineRule="auto"/>
        <w:ind w:left="1890" w:leftChars="200" w:hanging="1470" w:hangingChars="7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、S</w:t>
      </w:r>
      <w:r>
        <w:rPr>
          <w:rFonts w:ascii="Times New Roman" w:hAnsi="Times New Roman" w:eastAsia="宋体" w:cs="Times New Roman"/>
          <w:color w:val="auto"/>
          <w:szCs w:val="21"/>
          <w:highlight w:val="none"/>
          <w:vertAlign w:val="subscript"/>
        </w:rPr>
        <w:t>3</w:t>
      </w:r>
      <w:r>
        <w:rPr>
          <w:rFonts w:ascii="Times New Roman" w:hAnsi="Times New Roman" w:eastAsia="宋体" w:cs="Times New Roman"/>
          <w:color w:val="auto"/>
          <w:szCs w:val="21"/>
          <w:highlight w:val="none"/>
        </w:rPr>
        <w:t>——分别为路堤填筑停止后的最大恒载作用下，时间t</w:t>
      </w:r>
      <w:r>
        <w:rPr>
          <w:rFonts w:ascii="Times New Roman" w:hAnsi="Times New Roman" w:eastAsia="宋体" w:cs="Times New Roman"/>
          <w:color w:val="auto"/>
          <w:szCs w:val="21"/>
          <w:highlight w:val="none"/>
          <w:vertAlign w:val="subscript"/>
        </w:rPr>
        <w:t>1</w:t>
      </w: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3</w:t>
      </w:r>
      <w:r>
        <w:rPr>
          <w:rFonts w:ascii="Times New Roman" w:hAnsi="Times New Roman" w:eastAsia="宋体" w:cs="Times New Roman"/>
          <w:color w:val="auto"/>
          <w:szCs w:val="21"/>
          <w:highlight w:val="none"/>
        </w:rPr>
        <w:t>相对应的竖向变形观测值(mm)，同</w:t>
      </w:r>
      <w:r>
        <w:rPr>
          <w:rFonts w:hint="eastAsia" w:ascii="Times New Roman" w:hAnsi="Times New Roman" w:eastAsia="宋体" w:cs="Times New Roman"/>
          <w:color w:val="auto"/>
          <w:szCs w:val="21"/>
          <w:highlight w:val="none"/>
          <w:lang w:val="en-US" w:eastAsia="zh-CN"/>
        </w:rPr>
        <w:t>时</w:t>
      </w:r>
      <w:r>
        <w:rPr>
          <w:rFonts w:ascii="Times New Roman" w:hAnsi="Times New Roman" w:eastAsia="宋体" w:cs="Times New Roman"/>
          <w:color w:val="auto"/>
          <w:szCs w:val="21"/>
          <w:highlight w:val="none"/>
        </w:rPr>
        <w:t>满足时间间隔相等（t</w:t>
      </w:r>
      <w:r>
        <w:rPr>
          <w:rFonts w:ascii="Times New Roman" w:hAnsi="Times New Roman" w:eastAsia="宋体" w:cs="Times New Roman"/>
          <w:color w:val="auto"/>
          <w:szCs w:val="21"/>
          <w:highlight w:val="none"/>
          <w:vertAlign w:val="subscript"/>
        </w:rPr>
        <w:t>3</w:t>
      </w: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-t</w:t>
      </w:r>
      <w:r>
        <w:rPr>
          <w:rFonts w:ascii="Times New Roman" w:hAnsi="Times New Roman" w:eastAsia="宋体" w:cs="Times New Roman"/>
          <w:color w:val="auto"/>
          <w:szCs w:val="21"/>
          <w:highlight w:val="none"/>
          <w:vertAlign w:val="subscript"/>
        </w:rPr>
        <w:t>1=</w:t>
      </w:r>
      <w:r>
        <w:rPr>
          <w:rFonts w:ascii="Times New Roman" w:hAnsi="Times New Roman" w:eastAsia="微软雅黑" w:cs="Times New Roman"/>
          <w:color w:val="auto"/>
          <w:szCs w:val="21"/>
          <w:highlight w:val="none"/>
          <w:vertAlign w:val="subscript"/>
        </w:rPr>
        <w:t>∆</w:t>
      </w:r>
      <w:r>
        <w:rPr>
          <w:rFonts w:ascii="Times New Roman" w:hAnsi="Times New Roman" w:eastAsia="宋体" w:cs="Times New Roman"/>
          <w:color w:val="auto"/>
          <w:szCs w:val="21"/>
          <w:highlight w:val="none"/>
        </w:rPr>
        <w:t>t）的条件；</w:t>
      </w:r>
    </w:p>
    <w:p w14:paraId="4505F7BB">
      <w:pPr>
        <w:spacing w:line="360" w:lineRule="auto"/>
        <w:ind w:firstLine="420" w:firstLineChars="200"/>
        <w:rPr>
          <w:rFonts w:ascii="Times New Roman" w:hAnsi="Times New Roman" w:eastAsia="宋体" w:cs="Times New Roman"/>
          <w:color w:val="auto"/>
          <w:szCs w:val="21"/>
          <w:highlight w:val="none"/>
        </w:rPr>
      </w:pPr>
      <m:oMath>
        <m:r>
          <m:rPr>
            <m:sty m:val="p"/>
          </m:rPr>
          <w:rPr>
            <w:rFonts w:ascii="Cambria Math" w:hAnsi="Cambria Math" w:cs="Times New Roman"/>
            <w:color w:val="auto"/>
            <w:szCs w:val="21"/>
            <w:highlight w:val="none"/>
          </w:rPr>
          <m:t>β</m:t>
        </m:r>
      </m:oMath>
      <w:r>
        <w:rPr>
          <w:rFonts w:ascii="Times New Roman" w:hAnsi="Times New Roman" w:eastAsia="宋体" w:cs="Times New Roman"/>
          <w:color w:val="auto"/>
          <w:szCs w:val="21"/>
          <w:highlight w:val="none"/>
        </w:rPr>
        <w:t>、U</w:t>
      </w:r>
      <w:r>
        <w:rPr>
          <w:rFonts w:ascii="Times New Roman" w:hAnsi="Times New Roman" w:eastAsia="宋体" w:cs="Times New Roman"/>
          <w:color w:val="auto"/>
          <w:szCs w:val="21"/>
          <w:highlight w:val="none"/>
          <w:vertAlign w:val="subscript"/>
        </w:rPr>
        <w:t>t</w:t>
      </w:r>
      <w:r>
        <w:rPr>
          <w:rFonts w:ascii="Times New Roman" w:hAnsi="Times New Roman" w:eastAsia="宋体" w:cs="Times New Roman"/>
          <w:color w:val="auto"/>
          <w:szCs w:val="21"/>
          <w:highlight w:val="none"/>
        </w:rPr>
        <w:t>——分别为固结度计算系数和t时刻对应的地基固结度。</w:t>
      </w:r>
    </w:p>
    <w:p w14:paraId="565D4373">
      <w:pPr>
        <w:keepNext/>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outlineLvl w:val="1"/>
        <w:rPr>
          <w:rFonts w:ascii="Times New Roman" w:hAnsi="Times New Roman" w:eastAsia="宋体" w:cs="Times New Roman"/>
          <w:b/>
          <w:color w:val="auto"/>
          <w:szCs w:val="21"/>
          <w:highlight w:val="none"/>
        </w:rPr>
      </w:pPr>
      <w:bookmarkStart w:id="38" w:name="_Toc515568767"/>
      <w:bookmarkStart w:id="39" w:name="_Toc170244950"/>
      <w:bookmarkStart w:id="40" w:name="_Toc401242259"/>
      <w:r>
        <w:rPr>
          <w:rFonts w:hint="eastAsia" w:ascii="黑体" w:hAnsi="黑体" w:eastAsia="黑体" w:cs="黑体"/>
          <w:color w:val="auto"/>
          <w:szCs w:val="21"/>
          <w:highlight w:val="none"/>
          <w:lang w:val="en-US" w:eastAsia="zh-CN"/>
        </w:rPr>
        <w:t>7.3 弯沉</w:t>
      </w:r>
      <w:bookmarkEnd w:id="38"/>
      <w:r>
        <w:rPr>
          <w:rFonts w:hint="eastAsia" w:ascii="黑体" w:hAnsi="黑体" w:eastAsia="黑体" w:cs="黑体"/>
          <w:color w:val="auto"/>
          <w:szCs w:val="21"/>
          <w:highlight w:val="none"/>
          <w:lang w:val="en-US" w:eastAsia="zh-CN"/>
        </w:rPr>
        <w:t>检测</w:t>
      </w:r>
      <w:bookmarkEnd w:id="39"/>
      <w:r>
        <w:rPr>
          <w:rFonts w:hint="eastAsia" w:ascii="Times New Roman" w:hAnsi="Times New Roman" w:eastAsia="宋体" w:cs="Times New Roman"/>
          <w:b/>
          <w:color w:val="auto"/>
          <w:szCs w:val="21"/>
          <w:highlight w:val="none"/>
        </w:rPr>
        <w:t xml:space="preserve"> </w:t>
      </w:r>
    </w:p>
    <w:p w14:paraId="3C2644B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弯沉验收</w:t>
      </w:r>
      <w:r>
        <w:rPr>
          <w:rFonts w:hint="eastAsia" w:ascii="Times New Roman" w:hAnsi="Times New Roman" w:eastAsia="宋体" w:cs="Times New Roman"/>
          <w:color w:val="auto"/>
          <w:szCs w:val="21"/>
          <w:highlight w:val="none"/>
        </w:rPr>
        <w:t>使用</w:t>
      </w:r>
      <w:r>
        <w:rPr>
          <w:rFonts w:ascii="Times New Roman" w:hAnsi="Times New Roman" w:eastAsia="宋体" w:cs="Times New Roman"/>
          <w:color w:val="auto"/>
          <w:szCs w:val="21"/>
          <w:highlight w:val="none"/>
        </w:rPr>
        <w:t>贝克曼梁</w:t>
      </w:r>
      <w:r>
        <w:rPr>
          <w:rFonts w:hint="eastAsia" w:ascii="Times New Roman" w:hAnsi="Times New Roman" w:eastAsia="宋体" w:cs="Times New Roman"/>
          <w:color w:val="auto"/>
          <w:szCs w:val="21"/>
          <w:highlight w:val="none"/>
        </w:rPr>
        <w:t>或F</w:t>
      </w:r>
      <w:r>
        <w:rPr>
          <w:rFonts w:ascii="Times New Roman" w:hAnsi="Times New Roman" w:eastAsia="宋体" w:cs="Times New Roman"/>
          <w:color w:val="auto"/>
          <w:szCs w:val="21"/>
          <w:highlight w:val="none"/>
        </w:rPr>
        <w:t>WD进行检测，检测频率为：沿道路纵向每20m至少布置1个弯沉检测断面，每个检测断面沿道路横向左、中、右均匀布置3个弯沉测试点。</w:t>
      </w:r>
      <w:bookmarkEnd w:id="40"/>
      <w:bookmarkStart w:id="41" w:name="_Toc515568768"/>
      <w:bookmarkStart w:id="42" w:name="_Toc401242260"/>
    </w:p>
    <w:p w14:paraId="2B3CF8ED">
      <w:pPr>
        <w:keepNext/>
        <w:keepLines w:val="0"/>
        <w:pageBreakBefore w:val="0"/>
        <w:widowControl w:val="0"/>
        <w:kinsoku/>
        <w:wordWrap/>
        <w:overflowPunct/>
        <w:topLinePunct w:val="0"/>
        <w:autoSpaceDE/>
        <w:autoSpaceDN/>
        <w:bidi w:val="0"/>
        <w:adjustRightInd w:val="0"/>
        <w:snapToGrid w:val="0"/>
        <w:spacing w:before="156" w:beforeLines="50" w:after="157" w:afterLines="50" w:line="360" w:lineRule="auto"/>
        <w:textAlignment w:val="auto"/>
        <w:outlineLvl w:val="1"/>
        <w:rPr>
          <w:rFonts w:hint="eastAsia" w:ascii="黑体" w:hAnsi="黑体" w:eastAsia="黑体" w:cs="黑体"/>
          <w:color w:val="auto"/>
          <w:szCs w:val="21"/>
          <w:highlight w:val="none"/>
          <w:lang w:val="en-US" w:eastAsia="zh-CN"/>
        </w:rPr>
      </w:pPr>
      <w:bookmarkStart w:id="43" w:name="_Toc170244951"/>
      <w:r>
        <w:rPr>
          <w:rFonts w:hint="eastAsia" w:ascii="黑体" w:hAnsi="黑体" w:eastAsia="黑体" w:cs="黑体"/>
          <w:color w:val="auto"/>
          <w:szCs w:val="21"/>
          <w:highlight w:val="none"/>
          <w:lang w:val="en-US" w:eastAsia="zh-CN"/>
        </w:rPr>
        <w:t>7.4 压实度</w:t>
      </w:r>
      <w:bookmarkEnd w:id="41"/>
      <w:r>
        <w:rPr>
          <w:rFonts w:hint="eastAsia" w:ascii="黑体" w:hAnsi="黑体" w:eastAsia="黑体" w:cs="黑体"/>
          <w:color w:val="auto"/>
          <w:szCs w:val="21"/>
          <w:highlight w:val="none"/>
          <w:lang w:val="en-US" w:eastAsia="zh-CN"/>
        </w:rPr>
        <w:t>检测</w:t>
      </w:r>
      <w:bookmarkEnd w:id="43"/>
      <w:r>
        <w:rPr>
          <w:rFonts w:hint="eastAsia" w:ascii="黑体" w:hAnsi="黑体" w:eastAsia="黑体" w:cs="黑体"/>
          <w:color w:val="auto"/>
          <w:szCs w:val="21"/>
          <w:highlight w:val="none"/>
          <w:lang w:val="en-US" w:eastAsia="zh-CN"/>
        </w:rPr>
        <w:t xml:space="preserve"> </w:t>
      </w:r>
    </w:p>
    <w:p w14:paraId="15468AC9">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路基工作区的压实度应采用灌砂法</w:t>
      </w:r>
      <w:r>
        <w:rPr>
          <w:rFonts w:hint="eastAsia" w:ascii="Times New Roman" w:hAnsi="Times New Roman" w:eastAsia="宋体" w:cs="Times New Roman"/>
          <w:color w:val="auto"/>
          <w:szCs w:val="21"/>
          <w:highlight w:val="none"/>
        </w:rPr>
        <w:t>或灌砂法与无损检测相结合的方法进行</w:t>
      </w:r>
      <w:r>
        <w:rPr>
          <w:rFonts w:ascii="Times New Roman" w:hAnsi="Times New Roman" w:eastAsia="宋体" w:cs="Times New Roman"/>
          <w:color w:val="auto"/>
          <w:szCs w:val="21"/>
          <w:highlight w:val="none"/>
        </w:rPr>
        <w:t>检验。单幅每层每100m长度范围内检测3处，必要时可加密检测，检测压实度应不小于9</w:t>
      </w:r>
      <w:r>
        <w:rPr>
          <w:rFonts w:hint="eastAsia" w:ascii="Times New Roman" w:hAnsi="Times New Roman" w:eastAsia="宋体" w:cs="Times New Roman"/>
          <w:color w:val="auto"/>
          <w:szCs w:val="21"/>
          <w:highlight w:val="none"/>
        </w:rPr>
        <w:t>6</w:t>
      </w:r>
      <w:r>
        <w:rPr>
          <w:rFonts w:ascii="Times New Roman" w:hAnsi="Times New Roman" w:eastAsia="宋体" w:cs="Times New Roman"/>
          <w:color w:val="auto"/>
          <w:szCs w:val="21"/>
          <w:highlight w:val="none"/>
        </w:rPr>
        <w:t>%。</w:t>
      </w:r>
      <w:bookmarkEnd w:id="42"/>
      <w:r>
        <w:rPr>
          <w:rFonts w:ascii="Times New Roman" w:hAnsi="Times New Roman" w:eastAsia="宋体" w:cs="Times New Roman"/>
          <w:color w:val="auto"/>
          <w:szCs w:val="21"/>
          <w:highlight w:val="none"/>
        </w:rPr>
        <w:t>台背回填压实度检测频率为每50m</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检测1个点，不足50m</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的至少需要检验一个点</w:t>
      </w:r>
      <w:r>
        <w:rPr>
          <w:rFonts w:hint="eastAsia" w:ascii="Times New Roman" w:hAnsi="Times New Roman" w:eastAsia="宋体" w:cs="Times New Roman"/>
          <w:color w:val="auto"/>
          <w:szCs w:val="21"/>
          <w:highlight w:val="none"/>
        </w:rPr>
        <w:t>；其余每压实层每1</w:t>
      </w:r>
      <w:r>
        <w:rPr>
          <w:rFonts w:ascii="Times New Roman" w:hAnsi="Times New Roman" w:eastAsia="宋体" w:cs="Times New Roman"/>
          <w:color w:val="auto"/>
          <w:szCs w:val="21"/>
          <w:highlight w:val="none"/>
        </w:rPr>
        <w:t>00m</w:t>
      </w:r>
      <w:r>
        <w:rPr>
          <w:rFonts w:hint="eastAsia" w:ascii="Times New Roman" w:hAnsi="Times New Roman" w:eastAsia="宋体" w:cs="Times New Roman"/>
          <w:color w:val="auto"/>
          <w:szCs w:val="21"/>
          <w:highlight w:val="none"/>
        </w:rPr>
        <w:t>长度检测2点，以上检测各</w:t>
      </w:r>
      <w:r>
        <w:rPr>
          <w:rFonts w:ascii="Times New Roman" w:hAnsi="Times New Roman" w:eastAsia="宋体" w:cs="Times New Roman"/>
          <w:color w:val="auto"/>
          <w:szCs w:val="21"/>
          <w:highlight w:val="none"/>
        </w:rPr>
        <w:t>点均应合格。</w:t>
      </w:r>
    </w:p>
    <w:p w14:paraId="527EC1A5">
      <w:pPr>
        <w:spacing w:line="360" w:lineRule="auto"/>
        <w:ind w:left="1197" w:leftChars="570"/>
        <w:rPr>
          <w:rFonts w:ascii="Times New Roman" w:hAnsi="Times New Roman" w:eastAsia="宋体" w:cs="Times New Roman"/>
          <w:color w:val="auto"/>
          <w:sz w:val="24"/>
          <w:highlight w:val="none"/>
        </w:rPr>
        <w:sectPr>
          <w:footerReference r:id="rId5" w:type="default"/>
          <w:pgSz w:w="11906" w:h="16838"/>
          <w:pgMar w:top="1440" w:right="1706"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4610811">
      <w:pPr>
        <w:spacing w:line="360" w:lineRule="auto"/>
        <w:jc w:val="center"/>
        <w:outlineLvl w:val="0"/>
        <w:rPr>
          <w:rFonts w:ascii="Times New Roman" w:hAnsi="Times New Roman" w:cs="Times New Roman"/>
          <w:b/>
          <w:bCs/>
          <w:color w:val="auto"/>
          <w:sz w:val="24"/>
          <w:highlight w:val="none"/>
        </w:rPr>
      </w:pPr>
      <w:bookmarkStart w:id="44" w:name="_Toc170244952"/>
      <w:r>
        <w:rPr>
          <w:rFonts w:ascii="Times New Roman" w:hAnsi="Times New Roman" w:cs="Times New Roman"/>
          <w:b/>
          <w:bCs/>
          <w:color w:val="auto"/>
          <w:sz w:val="24"/>
          <w:highlight w:val="none"/>
        </w:rPr>
        <w:t>附  录 A</w:t>
      </w:r>
      <w:bookmarkEnd w:id="44"/>
    </w:p>
    <w:p w14:paraId="5C2880C9">
      <w:pPr>
        <w:spacing w:line="360" w:lineRule="auto"/>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（资料性附录）</w:t>
      </w:r>
    </w:p>
    <w:p w14:paraId="659CFE08">
      <w:pPr>
        <w:spacing w:line="360" w:lineRule="auto"/>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河北省软弱土工程特性</w:t>
      </w:r>
    </w:p>
    <w:p w14:paraId="3C8D5CB8">
      <w:pPr>
        <w:spacing w:line="360" w:lineRule="auto"/>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表A.1 河北省软弱土工程特性</w:t>
      </w:r>
    </w:p>
    <w:tbl>
      <w:tblPr>
        <w:tblStyle w:val="15"/>
        <w:tblW w:w="8339" w:type="dxa"/>
        <w:jc w:val="center"/>
        <w:tblLayout w:type="fixed"/>
        <w:tblCellMar>
          <w:top w:w="0" w:type="dxa"/>
          <w:left w:w="0" w:type="dxa"/>
          <w:bottom w:w="0" w:type="dxa"/>
          <w:right w:w="0" w:type="dxa"/>
        </w:tblCellMar>
      </w:tblPr>
      <w:tblGrid>
        <w:gridCol w:w="1308"/>
        <w:gridCol w:w="7031"/>
      </w:tblGrid>
      <w:tr w14:paraId="04B8C299">
        <w:tblPrEx>
          <w:tblCellMar>
            <w:top w:w="0" w:type="dxa"/>
            <w:left w:w="0" w:type="dxa"/>
            <w:bottom w:w="0" w:type="dxa"/>
            <w:right w:w="0" w:type="dxa"/>
          </w:tblCellMar>
        </w:tblPrEx>
        <w:trPr>
          <w:trHeight w:val="454" w:hRule="exact"/>
          <w:jc w:val="center"/>
        </w:trPr>
        <w:tc>
          <w:tcPr>
            <w:tcW w:w="1308" w:type="dxa"/>
            <w:tcBorders>
              <w:top w:val="single" w:color="000000" w:sz="2" w:space="0"/>
              <w:left w:val="single" w:color="000000" w:sz="2" w:space="0"/>
              <w:bottom w:val="single" w:color="000000" w:sz="2" w:space="0"/>
              <w:right w:val="single" w:color="000000" w:sz="2" w:space="0"/>
            </w:tcBorders>
            <w:vAlign w:val="center"/>
          </w:tcPr>
          <w:p w14:paraId="4A35320B">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软弱土特点</w:t>
            </w:r>
          </w:p>
        </w:tc>
        <w:tc>
          <w:tcPr>
            <w:tcW w:w="7031" w:type="dxa"/>
            <w:tcBorders>
              <w:top w:val="single" w:color="000000" w:sz="2" w:space="0"/>
              <w:left w:val="single" w:color="000000" w:sz="2" w:space="0"/>
              <w:bottom w:val="single" w:color="000000" w:sz="2" w:space="0"/>
              <w:right w:val="single" w:color="000000" w:sz="2" w:space="0"/>
            </w:tcBorders>
            <w:vAlign w:val="center"/>
          </w:tcPr>
          <w:p w14:paraId="3B473977">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工程性质</w:t>
            </w:r>
          </w:p>
        </w:tc>
      </w:tr>
      <w:tr w14:paraId="7DEAAFA2">
        <w:tblPrEx>
          <w:tblCellMar>
            <w:top w:w="0" w:type="dxa"/>
            <w:left w:w="0" w:type="dxa"/>
            <w:bottom w:w="0" w:type="dxa"/>
            <w:right w:w="0" w:type="dxa"/>
          </w:tblCellMar>
        </w:tblPrEx>
        <w:trPr>
          <w:trHeight w:val="907" w:hRule="exact"/>
          <w:jc w:val="center"/>
        </w:trPr>
        <w:tc>
          <w:tcPr>
            <w:tcW w:w="1308" w:type="dxa"/>
            <w:tcBorders>
              <w:top w:val="single" w:color="000000" w:sz="2" w:space="0"/>
              <w:left w:val="single" w:color="000000" w:sz="2" w:space="0"/>
              <w:bottom w:val="single" w:color="000000" w:sz="4" w:space="0"/>
              <w:right w:val="single" w:color="000000" w:sz="2" w:space="0"/>
            </w:tcBorders>
            <w:vAlign w:val="center"/>
          </w:tcPr>
          <w:p w14:paraId="29047CE0">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高含水率</w:t>
            </w:r>
          </w:p>
        </w:tc>
        <w:tc>
          <w:tcPr>
            <w:tcW w:w="7031" w:type="dxa"/>
            <w:tcBorders>
              <w:top w:val="single" w:color="000000" w:sz="2" w:space="0"/>
              <w:left w:val="single" w:color="000000" w:sz="2" w:space="0"/>
              <w:bottom w:val="single" w:color="000000" w:sz="4" w:space="0"/>
              <w:right w:val="single" w:color="000000" w:sz="2" w:space="0"/>
            </w:tcBorders>
            <w:vAlign w:val="center"/>
          </w:tcPr>
          <w:p w14:paraId="339EC33B">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天然含水率较大，多在 40%～70%之间，饱和度在90～100%，容重一般在 14.0 kN/m</w:t>
            </w:r>
            <w:r>
              <w:rPr>
                <w:rFonts w:ascii="Times New Roman" w:hAnsi="Times New Roman" w:cs="Times New Roman"/>
                <w:color w:val="auto"/>
                <w:sz w:val="18"/>
                <w:szCs w:val="18"/>
                <w:highlight w:val="none"/>
                <w:vertAlign w:val="superscript"/>
              </w:rPr>
              <w:t>3</w:t>
            </w:r>
            <w:r>
              <w:rPr>
                <w:rFonts w:ascii="Times New Roman" w:hAnsi="Times New Roman" w:cs="Times New Roman"/>
                <w:color w:val="auto"/>
                <w:sz w:val="18"/>
                <w:szCs w:val="18"/>
                <w:highlight w:val="none"/>
              </w:rPr>
              <w:t>～19.0kN/m</w:t>
            </w:r>
            <w:r>
              <w:rPr>
                <w:rFonts w:ascii="Times New Roman" w:hAnsi="Times New Roman" w:cs="Times New Roman"/>
                <w:color w:val="auto"/>
                <w:sz w:val="18"/>
                <w:szCs w:val="18"/>
                <w:highlight w:val="none"/>
                <w:vertAlign w:val="superscript"/>
              </w:rPr>
              <w:t>3</w:t>
            </w:r>
            <w:r>
              <w:rPr>
                <w:rFonts w:ascii="Times New Roman" w:hAnsi="Times New Roman" w:cs="Times New Roman"/>
                <w:color w:val="auto"/>
                <w:sz w:val="18"/>
                <w:szCs w:val="18"/>
                <w:highlight w:val="none"/>
              </w:rPr>
              <w:t>。</w:t>
            </w:r>
          </w:p>
        </w:tc>
      </w:tr>
      <w:tr w14:paraId="3699D861">
        <w:tblPrEx>
          <w:tblCellMar>
            <w:top w:w="0" w:type="dxa"/>
            <w:left w:w="0" w:type="dxa"/>
            <w:bottom w:w="0" w:type="dxa"/>
            <w:right w:w="0" w:type="dxa"/>
          </w:tblCellMar>
        </w:tblPrEx>
        <w:trPr>
          <w:trHeight w:val="1361" w:hRule="exact"/>
          <w:jc w:val="center"/>
        </w:trPr>
        <w:tc>
          <w:tcPr>
            <w:tcW w:w="1308" w:type="dxa"/>
            <w:tcBorders>
              <w:top w:val="single" w:color="000000" w:sz="4" w:space="0"/>
              <w:left w:val="single" w:color="000000" w:sz="2" w:space="0"/>
              <w:bottom w:val="single" w:color="000000" w:sz="2" w:space="0"/>
              <w:right w:val="single" w:color="000000" w:sz="2" w:space="0"/>
            </w:tcBorders>
            <w:vAlign w:val="center"/>
          </w:tcPr>
          <w:p w14:paraId="1A6D0EAE">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弱透水性</w:t>
            </w:r>
          </w:p>
          <w:p w14:paraId="130DD6D5">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固结速度缓慢</w:t>
            </w:r>
          </w:p>
        </w:tc>
        <w:tc>
          <w:tcPr>
            <w:tcW w:w="7031" w:type="dxa"/>
            <w:tcBorders>
              <w:top w:val="single" w:color="000000" w:sz="4" w:space="0"/>
              <w:left w:val="single" w:color="000000" w:sz="2" w:space="0"/>
              <w:bottom w:val="single" w:color="000000" w:sz="2" w:space="0"/>
              <w:right w:val="single" w:color="000000" w:sz="2" w:space="0"/>
            </w:tcBorders>
            <w:vAlign w:val="center"/>
          </w:tcPr>
          <w:p w14:paraId="52F9B387">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渗透系数较小，一般为 10</w:t>
            </w:r>
            <w:r>
              <w:rPr>
                <w:rFonts w:ascii="Times New Roman" w:hAnsi="Times New Roman" w:cs="Times New Roman"/>
                <w:color w:val="auto"/>
                <w:sz w:val="18"/>
                <w:szCs w:val="18"/>
                <w:highlight w:val="none"/>
                <w:vertAlign w:val="superscript"/>
              </w:rPr>
              <w:t>-6</w:t>
            </w:r>
            <w:r>
              <w:rPr>
                <w:rFonts w:ascii="Times New Roman" w:hAnsi="Times New Roman" w:cs="Times New Roman"/>
                <w:color w:val="auto"/>
                <w:sz w:val="18"/>
                <w:szCs w:val="18"/>
                <w:highlight w:val="none"/>
              </w:rPr>
              <w:t xml:space="preserve"> cm/s～10</w:t>
            </w:r>
            <w:r>
              <w:rPr>
                <w:rFonts w:ascii="Times New Roman" w:hAnsi="Times New Roman" w:cs="Times New Roman"/>
                <w:color w:val="auto"/>
                <w:sz w:val="18"/>
                <w:szCs w:val="18"/>
                <w:highlight w:val="none"/>
                <w:vertAlign w:val="superscript"/>
              </w:rPr>
              <w:t>-8</w:t>
            </w:r>
            <w:r>
              <w:rPr>
                <w:rFonts w:ascii="Times New Roman" w:hAnsi="Times New Roman" w:cs="Times New Roman"/>
                <w:color w:val="auto"/>
                <w:sz w:val="18"/>
                <w:szCs w:val="18"/>
                <w:highlight w:val="none"/>
              </w:rPr>
              <w:t>cm/s，对地基排水固结不利，路堤填筑后沉降延续时间长，尤其是高液限软弱土，大部分具结构性（蜂窝结构和絮凝结构）。部分海相软弱土间夹粉土或粉砂薄层，至使其水平渗透系数比垂直渗透系数差别悬殊。</w:t>
            </w:r>
          </w:p>
        </w:tc>
      </w:tr>
      <w:tr w14:paraId="56CB77B5">
        <w:tblPrEx>
          <w:tblCellMar>
            <w:top w:w="0" w:type="dxa"/>
            <w:left w:w="0" w:type="dxa"/>
            <w:bottom w:w="0" w:type="dxa"/>
            <w:right w:w="0" w:type="dxa"/>
          </w:tblCellMar>
        </w:tblPrEx>
        <w:trPr>
          <w:trHeight w:val="1361" w:hRule="exact"/>
          <w:jc w:val="center"/>
        </w:trPr>
        <w:tc>
          <w:tcPr>
            <w:tcW w:w="1308" w:type="dxa"/>
            <w:tcBorders>
              <w:top w:val="single" w:color="000000" w:sz="2" w:space="0"/>
              <w:left w:val="single" w:color="000000" w:sz="2" w:space="0"/>
              <w:bottom w:val="single" w:color="000000" w:sz="2" w:space="0"/>
              <w:right w:val="single" w:color="000000" w:sz="2" w:space="0"/>
            </w:tcBorders>
            <w:vAlign w:val="center"/>
          </w:tcPr>
          <w:p w14:paraId="3FE1ADB7">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大孔隙比</w:t>
            </w:r>
          </w:p>
          <w:p w14:paraId="0FCAACAC">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高压缩性</w:t>
            </w:r>
          </w:p>
        </w:tc>
        <w:tc>
          <w:tcPr>
            <w:tcW w:w="7031" w:type="dxa"/>
            <w:tcBorders>
              <w:top w:val="single" w:color="000000" w:sz="2" w:space="0"/>
              <w:left w:val="single" w:color="000000" w:sz="2" w:space="0"/>
              <w:bottom w:val="single" w:color="000000" w:sz="2" w:space="0"/>
              <w:right w:val="single" w:color="000000" w:sz="2" w:space="0"/>
            </w:tcBorders>
            <w:vAlign w:val="center"/>
          </w:tcPr>
          <w:p w14:paraId="21ACA8B6">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孔隙比大于 1.0，压缩系数a</w:t>
            </w:r>
            <w:r>
              <w:rPr>
                <w:rFonts w:ascii="Times New Roman" w:hAnsi="Times New Roman" w:cs="Times New Roman"/>
                <w:color w:val="auto"/>
                <w:sz w:val="18"/>
                <w:szCs w:val="18"/>
                <w:highlight w:val="none"/>
                <w:vertAlign w:val="subscript"/>
              </w:rPr>
              <w:t>1-2</w:t>
            </w:r>
            <w:r>
              <w:rPr>
                <w:rFonts w:ascii="Times New Roman" w:hAnsi="Times New Roman" w:cs="Times New Roman"/>
                <w:color w:val="auto"/>
                <w:sz w:val="18"/>
                <w:szCs w:val="18"/>
                <w:highlight w:val="none"/>
              </w:rPr>
              <w:t xml:space="preserve"> 一般大于 0.5MPa</w:t>
            </w:r>
            <w:r>
              <w:rPr>
                <w:rFonts w:ascii="Times New Roman" w:hAnsi="Times New Roman" w:cs="Times New Roman"/>
                <w:color w:val="auto"/>
                <w:sz w:val="18"/>
                <w:szCs w:val="18"/>
                <w:highlight w:val="none"/>
                <w:vertAlign w:val="superscript"/>
              </w:rPr>
              <w:t>-1</w:t>
            </w:r>
            <w:r>
              <w:rPr>
                <w:rFonts w:ascii="Times New Roman" w:hAnsi="Times New Roman" w:cs="Times New Roman"/>
                <w:color w:val="auto"/>
                <w:sz w:val="18"/>
                <w:szCs w:val="18"/>
                <w:highlight w:val="none"/>
              </w:rPr>
              <w:t>，最大可达 10MPa</w:t>
            </w:r>
            <w:r>
              <w:rPr>
                <w:rFonts w:ascii="Times New Roman" w:hAnsi="Times New Roman" w:cs="Times New Roman"/>
                <w:color w:val="auto"/>
                <w:sz w:val="18"/>
                <w:szCs w:val="18"/>
                <w:highlight w:val="none"/>
                <w:vertAlign w:val="superscript"/>
              </w:rPr>
              <w:t>-1</w:t>
            </w:r>
            <w:r>
              <w:rPr>
                <w:rFonts w:ascii="Times New Roman" w:hAnsi="Times New Roman" w:cs="Times New Roman"/>
                <w:color w:val="auto"/>
                <w:sz w:val="18"/>
                <w:szCs w:val="18"/>
                <w:highlight w:val="none"/>
              </w:rPr>
              <w:t xml:space="preserve"> 以上。软弱土在外力的作用下，最初外力全部由孔隙水承担，随着水分的排出，外力逐渐传递到土骨架上，孔隙水压力减少，有效应力增加。</w:t>
            </w:r>
          </w:p>
        </w:tc>
      </w:tr>
      <w:tr w14:paraId="607C8059">
        <w:tblPrEx>
          <w:tblCellMar>
            <w:top w:w="0" w:type="dxa"/>
            <w:left w:w="0" w:type="dxa"/>
            <w:bottom w:w="0" w:type="dxa"/>
            <w:right w:w="0" w:type="dxa"/>
          </w:tblCellMar>
        </w:tblPrEx>
        <w:trPr>
          <w:trHeight w:val="907" w:hRule="exact"/>
          <w:jc w:val="center"/>
        </w:trPr>
        <w:tc>
          <w:tcPr>
            <w:tcW w:w="1308" w:type="dxa"/>
            <w:tcBorders>
              <w:top w:val="single" w:color="000000" w:sz="2" w:space="0"/>
              <w:left w:val="single" w:color="000000" w:sz="2" w:space="0"/>
              <w:bottom w:val="single" w:color="000000" w:sz="2" w:space="0"/>
              <w:right w:val="single" w:color="000000" w:sz="2" w:space="0"/>
            </w:tcBorders>
            <w:vAlign w:val="center"/>
          </w:tcPr>
          <w:p w14:paraId="672CB05F">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低抗剪强度</w:t>
            </w:r>
          </w:p>
        </w:tc>
        <w:tc>
          <w:tcPr>
            <w:tcW w:w="7031" w:type="dxa"/>
            <w:tcBorders>
              <w:top w:val="single" w:color="000000" w:sz="2" w:space="0"/>
              <w:left w:val="single" w:color="000000" w:sz="2" w:space="0"/>
              <w:bottom w:val="single" w:color="000000" w:sz="2" w:space="0"/>
              <w:right w:val="single" w:color="000000" w:sz="2" w:space="0"/>
            </w:tcBorders>
            <w:vAlign w:val="center"/>
          </w:tcPr>
          <w:p w14:paraId="6AE8E19F">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十字板剪切强度＜35kPa。对排水条件较差，加荷速率较快的路堤，稳定计算时宜采用快剪强度指标。对排水条件较好，地基能达到一定程度固结时，可采用固结快剪强度指标。</w:t>
            </w:r>
          </w:p>
        </w:tc>
      </w:tr>
      <w:tr w14:paraId="328D19EE">
        <w:tblPrEx>
          <w:tblCellMar>
            <w:top w:w="0" w:type="dxa"/>
            <w:left w:w="0" w:type="dxa"/>
            <w:bottom w:w="0" w:type="dxa"/>
            <w:right w:w="0" w:type="dxa"/>
          </w:tblCellMar>
        </w:tblPrEx>
        <w:trPr>
          <w:trHeight w:val="907" w:hRule="exact"/>
          <w:jc w:val="center"/>
        </w:trPr>
        <w:tc>
          <w:tcPr>
            <w:tcW w:w="1308" w:type="dxa"/>
            <w:tcBorders>
              <w:top w:val="single" w:color="000000" w:sz="2" w:space="0"/>
              <w:left w:val="single" w:color="000000" w:sz="2" w:space="0"/>
              <w:bottom w:val="single" w:color="000000" w:sz="2" w:space="0"/>
              <w:right w:val="single" w:color="000000" w:sz="2" w:space="0"/>
            </w:tcBorders>
            <w:vAlign w:val="center"/>
          </w:tcPr>
          <w:p w14:paraId="2C59722C">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触变性</w:t>
            </w:r>
          </w:p>
        </w:tc>
        <w:tc>
          <w:tcPr>
            <w:tcW w:w="7031" w:type="dxa"/>
            <w:tcBorders>
              <w:top w:val="single" w:color="000000" w:sz="2" w:space="0"/>
              <w:left w:val="single" w:color="000000" w:sz="2" w:space="0"/>
              <w:bottom w:val="single" w:color="000000" w:sz="2" w:space="0"/>
              <w:right w:val="single" w:color="000000" w:sz="2" w:space="0"/>
            </w:tcBorders>
            <w:vAlign w:val="center"/>
          </w:tcPr>
          <w:p w14:paraId="17CABB99">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在天然状态下软弱土有一定的结构强度，但一经扰动或振动，结构便被破坏，强度显著降低，甚至呈流动状态。灵敏度一般为 2～6，最大达到 10 以上。</w:t>
            </w:r>
          </w:p>
        </w:tc>
      </w:tr>
      <w:tr w14:paraId="25D680C8">
        <w:tblPrEx>
          <w:tblCellMar>
            <w:top w:w="0" w:type="dxa"/>
            <w:left w:w="0" w:type="dxa"/>
            <w:bottom w:w="0" w:type="dxa"/>
            <w:right w:w="0" w:type="dxa"/>
          </w:tblCellMar>
        </w:tblPrEx>
        <w:trPr>
          <w:trHeight w:val="907" w:hRule="exact"/>
          <w:jc w:val="center"/>
        </w:trPr>
        <w:tc>
          <w:tcPr>
            <w:tcW w:w="1308" w:type="dxa"/>
            <w:tcBorders>
              <w:top w:val="single" w:color="000000" w:sz="2" w:space="0"/>
              <w:left w:val="single" w:color="000000" w:sz="2" w:space="0"/>
              <w:bottom w:val="single" w:color="000000" w:sz="2" w:space="0"/>
              <w:right w:val="single" w:color="000000" w:sz="2" w:space="0"/>
            </w:tcBorders>
            <w:vAlign w:val="center"/>
          </w:tcPr>
          <w:p w14:paraId="7C2803CF">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流变性</w:t>
            </w:r>
          </w:p>
        </w:tc>
        <w:tc>
          <w:tcPr>
            <w:tcW w:w="7031" w:type="dxa"/>
            <w:tcBorders>
              <w:top w:val="single" w:color="000000" w:sz="2" w:space="0"/>
              <w:left w:val="single" w:color="000000" w:sz="2" w:space="0"/>
              <w:bottom w:val="single" w:color="000000" w:sz="2" w:space="0"/>
              <w:right w:val="single" w:color="000000" w:sz="2" w:space="0"/>
            </w:tcBorders>
            <w:vAlign w:val="center"/>
          </w:tcPr>
          <w:p w14:paraId="6B52582F">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在荷载作用下，软弱土承受剪应力的作用产生缓慢而长期的剪切变形，并导致抗剪强度的衰减，在主固结沉降完成之后还可能继续产生较大的次固结沉降。</w:t>
            </w:r>
          </w:p>
        </w:tc>
      </w:tr>
      <w:tr w14:paraId="03E64F7A">
        <w:tblPrEx>
          <w:tblCellMar>
            <w:top w:w="0" w:type="dxa"/>
            <w:left w:w="0" w:type="dxa"/>
            <w:bottom w:w="0" w:type="dxa"/>
            <w:right w:w="0" w:type="dxa"/>
          </w:tblCellMar>
        </w:tblPrEx>
        <w:trPr>
          <w:trHeight w:val="454" w:hRule="exact"/>
          <w:jc w:val="center"/>
        </w:trPr>
        <w:tc>
          <w:tcPr>
            <w:tcW w:w="1308" w:type="dxa"/>
            <w:tcBorders>
              <w:top w:val="single" w:color="000000" w:sz="2" w:space="0"/>
              <w:left w:val="single" w:color="000000" w:sz="2" w:space="0"/>
              <w:bottom w:val="single" w:color="000000" w:sz="2" w:space="0"/>
              <w:right w:val="single" w:color="000000" w:sz="2" w:space="0"/>
            </w:tcBorders>
            <w:vAlign w:val="center"/>
          </w:tcPr>
          <w:p w14:paraId="1BA594C1">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有机质含量低</w:t>
            </w:r>
          </w:p>
        </w:tc>
        <w:tc>
          <w:tcPr>
            <w:tcW w:w="7031" w:type="dxa"/>
            <w:tcBorders>
              <w:top w:val="single" w:color="000000" w:sz="2" w:space="0"/>
              <w:left w:val="single" w:color="000000" w:sz="2" w:space="0"/>
              <w:bottom w:val="single" w:color="000000" w:sz="2" w:space="0"/>
              <w:right w:val="single" w:color="000000" w:sz="2" w:space="0"/>
            </w:tcBorders>
            <w:vAlign w:val="center"/>
          </w:tcPr>
          <w:p w14:paraId="06B126B8">
            <w:pPr>
              <w:spacing w:line="360" w:lineRule="auto"/>
              <w:ind w:firstLine="360" w:firstLineChars="20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有机质含量一般小于 10%，多为 2～5%。</w:t>
            </w:r>
          </w:p>
        </w:tc>
      </w:tr>
      <w:tr w14:paraId="3B0D3380">
        <w:tblPrEx>
          <w:tblCellMar>
            <w:top w:w="0" w:type="dxa"/>
            <w:left w:w="0" w:type="dxa"/>
            <w:bottom w:w="0" w:type="dxa"/>
            <w:right w:w="0" w:type="dxa"/>
          </w:tblCellMar>
        </w:tblPrEx>
        <w:trPr>
          <w:trHeight w:val="454" w:hRule="exact"/>
          <w:jc w:val="center"/>
        </w:trPr>
        <w:tc>
          <w:tcPr>
            <w:tcW w:w="1308" w:type="dxa"/>
            <w:tcBorders>
              <w:top w:val="single" w:color="000000" w:sz="2" w:space="0"/>
              <w:left w:val="single" w:color="000000" w:sz="2" w:space="0"/>
              <w:bottom w:val="single" w:color="000000" w:sz="2" w:space="0"/>
              <w:right w:val="single" w:color="000000" w:sz="2" w:space="0"/>
            </w:tcBorders>
            <w:vAlign w:val="center"/>
          </w:tcPr>
          <w:p w14:paraId="46D15AE8">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分布广、厚度大</w:t>
            </w:r>
          </w:p>
        </w:tc>
        <w:tc>
          <w:tcPr>
            <w:tcW w:w="7031" w:type="dxa"/>
            <w:tcBorders>
              <w:top w:val="single" w:color="000000" w:sz="2" w:space="0"/>
              <w:left w:val="single" w:color="000000" w:sz="2" w:space="0"/>
              <w:bottom w:val="single" w:color="000000" w:sz="2" w:space="0"/>
              <w:right w:val="single" w:color="000000" w:sz="2" w:space="0"/>
            </w:tcBorders>
            <w:vAlign w:val="center"/>
          </w:tcPr>
          <w:p w14:paraId="6383A80B">
            <w:pPr>
              <w:spacing w:line="360" w:lineRule="auto"/>
              <w:ind w:firstLine="360" w:firstLineChars="20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冀中平原区、沿海地区大面积分布，厚度一般 3～30m。</w:t>
            </w:r>
          </w:p>
        </w:tc>
      </w:tr>
    </w:tbl>
    <w:p w14:paraId="3CD66F74">
      <w:pPr>
        <w:rPr>
          <w:rFonts w:ascii="Times New Roman" w:hAnsi="Times New Roman" w:cs="Times New Roman"/>
          <w:color w:val="auto"/>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E61468F">
      <w:pPr>
        <w:spacing w:line="360" w:lineRule="auto"/>
        <w:jc w:val="center"/>
        <w:outlineLvl w:val="0"/>
        <w:rPr>
          <w:rFonts w:hint="eastAsia" w:ascii="Times New Roman" w:hAnsi="Times New Roman" w:cs="Times New Roman" w:eastAsiaTheme="minorEastAsia"/>
          <w:b/>
          <w:bCs/>
          <w:color w:val="auto"/>
          <w:sz w:val="24"/>
          <w:highlight w:val="none"/>
          <w:lang w:eastAsia="zh-CN"/>
        </w:rPr>
      </w:pPr>
      <w:bookmarkStart w:id="45" w:name="_Toc170244955"/>
      <w:r>
        <w:rPr>
          <w:rFonts w:ascii="Times New Roman" w:hAnsi="Times New Roman" w:cs="Times New Roman"/>
          <w:b/>
          <w:bCs/>
          <w:color w:val="auto"/>
          <w:sz w:val="24"/>
          <w:highlight w:val="none"/>
        </w:rPr>
        <w:t xml:space="preserve">附  录 </w:t>
      </w:r>
      <w:bookmarkEnd w:id="45"/>
      <w:r>
        <w:rPr>
          <w:rFonts w:hint="eastAsia" w:ascii="Times New Roman" w:hAnsi="Times New Roman" w:cs="Times New Roman"/>
          <w:b/>
          <w:bCs/>
          <w:color w:val="auto"/>
          <w:sz w:val="24"/>
          <w:highlight w:val="none"/>
          <w:lang w:val="en-US" w:eastAsia="zh-CN"/>
        </w:rPr>
        <w:t>B</w:t>
      </w:r>
    </w:p>
    <w:p w14:paraId="62788F37">
      <w:pPr>
        <w:spacing w:line="360" w:lineRule="auto"/>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（资料性附录）</w:t>
      </w:r>
    </w:p>
    <w:p w14:paraId="6F567C22">
      <w:pPr>
        <w:spacing w:line="360" w:lineRule="auto"/>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桩体荷载分担比系数表</w:t>
      </w:r>
    </w:p>
    <w:p w14:paraId="6E126193">
      <w:pPr>
        <w:spacing w:line="360" w:lineRule="auto"/>
        <w:jc w:val="center"/>
        <w:rPr>
          <w:rFonts w:ascii="Times New Roman" w:hAnsi="Times New Roman" w:eastAsia="宋体" w:cs="Times New Roman"/>
          <w:color w:val="auto"/>
          <w:sz w:val="24"/>
          <w:highlight w:val="none"/>
        </w:rPr>
      </w:pPr>
      <w:r>
        <w:rPr>
          <w:rFonts w:ascii="Times New Roman" w:hAnsi="Times New Roman" w:cs="Times New Roman"/>
          <w:b/>
          <w:bCs/>
          <w:color w:val="auto"/>
          <w:sz w:val="24"/>
          <w:highlight w:val="none"/>
        </w:rPr>
        <w:t xml:space="preserve">表 </w:t>
      </w:r>
      <w:r>
        <w:rPr>
          <w:rFonts w:hint="eastAsia" w:ascii="Times New Roman" w:hAnsi="Times New Roman" w:cs="Times New Roman"/>
          <w:b/>
          <w:bCs/>
          <w:color w:val="auto"/>
          <w:sz w:val="24"/>
          <w:highlight w:val="none"/>
          <w:lang w:val="en-US" w:eastAsia="zh-CN"/>
        </w:rPr>
        <w:t>B</w:t>
      </w:r>
      <w:r>
        <w:rPr>
          <w:rFonts w:ascii="Times New Roman" w:hAnsi="Times New Roman" w:cs="Times New Roman"/>
          <w:b/>
          <w:bCs/>
          <w:color w:val="auto"/>
          <w:sz w:val="24"/>
          <w:highlight w:val="none"/>
        </w:rPr>
        <w:t>. 1  桩体荷载分担比系数表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621"/>
        <w:gridCol w:w="2"/>
        <w:gridCol w:w="624"/>
        <w:gridCol w:w="2"/>
        <w:gridCol w:w="624"/>
        <w:gridCol w:w="2"/>
        <w:gridCol w:w="634"/>
        <w:gridCol w:w="2"/>
        <w:gridCol w:w="622"/>
        <w:gridCol w:w="2"/>
        <w:gridCol w:w="622"/>
        <w:gridCol w:w="2"/>
        <w:gridCol w:w="622"/>
        <w:gridCol w:w="2"/>
        <w:gridCol w:w="636"/>
        <w:gridCol w:w="3"/>
        <w:gridCol w:w="620"/>
        <w:gridCol w:w="3"/>
        <w:gridCol w:w="620"/>
        <w:gridCol w:w="3"/>
        <w:gridCol w:w="620"/>
        <w:gridCol w:w="7"/>
        <w:gridCol w:w="642"/>
      </w:tblGrid>
      <w:tr w14:paraId="1DB5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Merge w:val="restart"/>
            <w:tcBorders>
              <w:tl2br w:val="single" w:color="auto" w:sz="4" w:space="0"/>
            </w:tcBorders>
          </w:tcPr>
          <w:p w14:paraId="30A50EFD">
            <w:pPr>
              <w:keepNext w:val="0"/>
              <w:keepLines w:val="0"/>
              <w:pageBreakBefore w:val="0"/>
              <w:widowControl w:val="0"/>
              <w:kinsoku/>
              <w:wordWrap/>
              <w:overflowPunct/>
              <w:topLinePunct w:val="0"/>
              <w:autoSpaceDE w:val="0"/>
              <w:autoSpaceDN w:val="0"/>
              <w:bidi w:val="0"/>
              <w:adjustRightInd/>
              <w:snapToGrid w:val="0"/>
              <w:spacing w:line="192" w:lineRule="auto"/>
              <w:ind w:left="178" w:leftChars="85" w:firstLine="540" w:firstLineChars="300"/>
              <w:textAlignment w:val="auto"/>
              <w:rPr>
                <w:rFonts w:hint="default" w:ascii="Times New Roman" w:hAnsi="Times New Roman" w:eastAsia="宋体" w:cs="Times New Roman"/>
                <w:color w:val="auto"/>
                <w:sz w:val="18"/>
                <w:szCs w:val="18"/>
                <w:highlight w:val="none"/>
                <w:lang w:val="en-US" w:eastAsia="zh-CN"/>
              </w:rPr>
            </w:pPr>
          </w:p>
          <w:p w14:paraId="60AE85A9">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right"/>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position w:val="-10"/>
                <w:sz w:val="18"/>
                <w:szCs w:val="18"/>
                <w:highlight w:val="none"/>
                <w:lang w:val="en-US" w:eastAsia="zh-CN"/>
              </w:rPr>
              <w:object>
                <v:shape id="_x0000_i1037" o:spt="75" type="#_x0000_t75" style="height:13pt;width:11pt;" o:ole="t" filled="f" o:preferrelative="t" stroked="f" coordsize="21600,21600">
                  <v:path/>
                  <v:fill on="f" focussize="0,0"/>
                  <v:stroke on="f"/>
                  <v:imagedata r:id="rId66" o:title=""/>
                  <o:lock v:ext="edit" aspectratio="t"/>
                  <w10:wrap type="none"/>
                  <w10:anchorlock/>
                </v:shape>
                <o:OLEObject Type="Embed" ProgID="Equation.KSEE3" ShapeID="_x0000_i1037" DrawAspect="Content" ObjectID="_1468075738" r:id="rId65">
                  <o:LockedField>false</o:LockedField>
                </o:OLEObject>
              </w:object>
            </w:r>
          </w:p>
          <w:p w14:paraId="4043015B">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right"/>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eastAsia="宋体" w:cs="Times New Roman"/>
                <w:color w:val="auto"/>
                <w:sz w:val="18"/>
                <w:szCs w:val="18"/>
                <w:highlight w:val="none"/>
                <w:vertAlign w:val="subscript"/>
                <w:lang w:val="en-US" w:eastAsia="zh-CN"/>
              </w:rPr>
              <w:t>a</w:t>
            </w:r>
            <w:r>
              <w:rPr>
                <w:rFonts w:hint="eastAsia" w:ascii="Times New Roman" w:hAnsi="Times New Roman" w:eastAsia="宋体" w:cs="Times New Roman"/>
                <w:color w:val="auto"/>
                <w:sz w:val="18"/>
                <w:szCs w:val="18"/>
                <w:highlight w:val="none"/>
                <w:lang w:val="en-US" w:eastAsia="zh-CN"/>
              </w:rPr>
              <w:t>/H</w:t>
            </w:r>
          </w:p>
          <w:p w14:paraId="6B528E89">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right"/>
              <w:textAlignment w:val="auto"/>
              <w:rPr>
                <w:rFonts w:hint="default" w:ascii="Times New Roman" w:hAnsi="Times New Roman" w:eastAsia="宋体" w:cs="Times New Roman"/>
                <w:color w:val="auto"/>
                <w:sz w:val="18"/>
                <w:szCs w:val="18"/>
                <w:highlight w:val="none"/>
                <w:lang w:val="en-US" w:eastAsia="zh-CN"/>
              </w:rPr>
            </w:pPr>
          </w:p>
          <w:p w14:paraId="72FA25C2">
            <w:pPr>
              <w:keepNext w:val="0"/>
              <w:keepLines w:val="0"/>
              <w:pageBreakBefore w:val="0"/>
              <w:widowControl w:val="0"/>
              <w:kinsoku/>
              <w:wordWrap/>
              <w:overflowPunct/>
              <w:topLinePunct w:val="0"/>
              <w:autoSpaceDE w:val="0"/>
              <w:autoSpaceDN w:val="0"/>
              <w:bidi w:val="0"/>
              <w:adjustRightInd/>
              <w:snapToGrid w:val="0"/>
              <w:spacing w:line="192" w:lineRule="auto"/>
              <w:ind w:firstLine="180" w:firstLineChars="100"/>
              <w:jc w:val="both"/>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B</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eastAsia="宋体" w:cs="Times New Roman"/>
                <w:color w:val="auto"/>
                <w:sz w:val="18"/>
                <w:szCs w:val="18"/>
                <w:highlight w:val="none"/>
                <w:vertAlign w:val="subscript"/>
                <w:lang w:val="en-US" w:eastAsia="zh-CN"/>
              </w:rPr>
              <w:t>a</w:t>
            </w:r>
          </w:p>
          <w:p w14:paraId="56DAB8D0">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left"/>
              <w:textAlignment w:val="auto"/>
              <w:rPr>
                <w:rFonts w:hint="default" w:ascii="Times New Roman" w:hAnsi="Times New Roman" w:eastAsia="宋体" w:cs="Times New Roman"/>
                <w:color w:val="auto"/>
                <w:sz w:val="18"/>
                <w:szCs w:val="18"/>
                <w:highlight w:val="none"/>
              </w:rPr>
            </w:pPr>
          </w:p>
        </w:tc>
        <w:tc>
          <w:tcPr>
            <w:tcW w:w="1473" w:type="pct"/>
            <w:gridSpan w:val="8"/>
            <w:vAlign w:val="center"/>
          </w:tcPr>
          <w:p w14:paraId="4D5837A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1473" w:type="pct"/>
            <w:gridSpan w:val="8"/>
            <w:vAlign w:val="center"/>
          </w:tcPr>
          <w:p w14:paraId="58D3D04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w:t>
            </w:r>
          </w:p>
        </w:tc>
        <w:tc>
          <w:tcPr>
            <w:tcW w:w="1475" w:type="pct"/>
            <w:gridSpan w:val="7"/>
            <w:vAlign w:val="center"/>
          </w:tcPr>
          <w:p w14:paraId="2E58553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30°</w:t>
            </w:r>
          </w:p>
        </w:tc>
      </w:tr>
      <w:tr w14:paraId="7565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Merge w:val="continue"/>
          </w:tcPr>
          <w:p w14:paraId="126C8D5A">
            <w:pPr>
              <w:autoSpaceDE w:val="0"/>
              <w:autoSpaceDN w:val="0"/>
              <w:spacing w:line="360" w:lineRule="auto"/>
              <w:rPr>
                <w:rFonts w:hint="default" w:ascii="Times New Roman" w:hAnsi="Times New Roman" w:eastAsia="宋体" w:cs="Times New Roman"/>
                <w:color w:val="auto"/>
                <w:sz w:val="18"/>
                <w:szCs w:val="18"/>
                <w:highlight w:val="none"/>
              </w:rPr>
            </w:pPr>
          </w:p>
        </w:tc>
        <w:tc>
          <w:tcPr>
            <w:tcW w:w="366" w:type="pct"/>
            <w:gridSpan w:val="2"/>
            <w:vAlign w:val="center"/>
          </w:tcPr>
          <w:p w14:paraId="6FFD3E4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7" w:type="pct"/>
            <w:gridSpan w:val="2"/>
            <w:vAlign w:val="center"/>
          </w:tcPr>
          <w:p w14:paraId="02B2FB1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7" w:type="pct"/>
            <w:gridSpan w:val="2"/>
            <w:vAlign w:val="center"/>
          </w:tcPr>
          <w:p w14:paraId="5D06867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72" w:type="pct"/>
            <w:gridSpan w:val="2"/>
            <w:vAlign w:val="center"/>
          </w:tcPr>
          <w:p w14:paraId="47EFCF3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c>
          <w:tcPr>
            <w:tcW w:w="366" w:type="pct"/>
            <w:gridSpan w:val="2"/>
            <w:vAlign w:val="center"/>
          </w:tcPr>
          <w:p w14:paraId="7220AE2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6" w:type="pct"/>
            <w:gridSpan w:val="2"/>
            <w:vAlign w:val="center"/>
          </w:tcPr>
          <w:p w14:paraId="039FFD2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6" w:type="pct"/>
            <w:gridSpan w:val="2"/>
            <w:vAlign w:val="center"/>
          </w:tcPr>
          <w:p w14:paraId="6D444A8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72" w:type="pct"/>
            <w:gridSpan w:val="2"/>
            <w:vAlign w:val="center"/>
          </w:tcPr>
          <w:p w14:paraId="01B694E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c>
          <w:tcPr>
            <w:tcW w:w="366" w:type="pct"/>
            <w:gridSpan w:val="2"/>
            <w:vAlign w:val="center"/>
          </w:tcPr>
          <w:p w14:paraId="3287839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6" w:type="pct"/>
            <w:gridSpan w:val="2"/>
            <w:vAlign w:val="center"/>
          </w:tcPr>
          <w:p w14:paraId="0305FED1">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8" w:type="pct"/>
            <w:gridSpan w:val="2"/>
            <w:vAlign w:val="center"/>
          </w:tcPr>
          <w:p w14:paraId="1B2F781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73" w:type="pct"/>
            <w:vAlign w:val="center"/>
          </w:tcPr>
          <w:p w14:paraId="070BD99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r>
      <w:tr w14:paraId="0EE6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4560531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6" w:type="pct"/>
            <w:gridSpan w:val="2"/>
            <w:vAlign w:val="center"/>
          </w:tcPr>
          <w:p w14:paraId="444EAFA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0.321</w:t>
            </w:r>
          </w:p>
        </w:tc>
        <w:tc>
          <w:tcPr>
            <w:tcW w:w="367" w:type="pct"/>
            <w:gridSpan w:val="2"/>
            <w:vAlign w:val="center"/>
          </w:tcPr>
          <w:p w14:paraId="1D7D68F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0.494</w:t>
            </w:r>
          </w:p>
        </w:tc>
        <w:tc>
          <w:tcPr>
            <w:tcW w:w="367" w:type="pct"/>
            <w:gridSpan w:val="2"/>
            <w:vAlign w:val="center"/>
          </w:tcPr>
          <w:p w14:paraId="1271C92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0.652</w:t>
            </w:r>
          </w:p>
        </w:tc>
        <w:tc>
          <w:tcPr>
            <w:tcW w:w="372" w:type="pct"/>
            <w:gridSpan w:val="2"/>
            <w:vAlign w:val="center"/>
          </w:tcPr>
          <w:p w14:paraId="782790B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0.781</w:t>
            </w:r>
          </w:p>
        </w:tc>
        <w:tc>
          <w:tcPr>
            <w:tcW w:w="366" w:type="pct"/>
            <w:gridSpan w:val="2"/>
            <w:vAlign w:val="center"/>
          </w:tcPr>
          <w:p w14:paraId="1F09FA3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0.423</w:t>
            </w:r>
          </w:p>
        </w:tc>
        <w:tc>
          <w:tcPr>
            <w:tcW w:w="366" w:type="pct"/>
            <w:gridSpan w:val="2"/>
            <w:vAlign w:val="center"/>
          </w:tcPr>
          <w:p w14:paraId="0E4DAE6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0.609</w:t>
            </w:r>
          </w:p>
        </w:tc>
        <w:tc>
          <w:tcPr>
            <w:tcW w:w="366" w:type="pct"/>
            <w:gridSpan w:val="2"/>
            <w:vAlign w:val="center"/>
          </w:tcPr>
          <w:p w14:paraId="342D6D0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0.757</w:t>
            </w:r>
          </w:p>
        </w:tc>
        <w:tc>
          <w:tcPr>
            <w:tcW w:w="372" w:type="pct"/>
            <w:gridSpan w:val="2"/>
            <w:vAlign w:val="center"/>
          </w:tcPr>
          <w:p w14:paraId="2B53B81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0.863</w:t>
            </w:r>
          </w:p>
        </w:tc>
        <w:tc>
          <w:tcPr>
            <w:tcW w:w="366" w:type="pct"/>
            <w:gridSpan w:val="2"/>
            <w:vAlign w:val="center"/>
          </w:tcPr>
          <w:p w14:paraId="7640B63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0.540</w:t>
            </w:r>
          </w:p>
        </w:tc>
        <w:tc>
          <w:tcPr>
            <w:tcW w:w="366" w:type="pct"/>
            <w:gridSpan w:val="2"/>
            <w:vAlign w:val="center"/>
          </w:tcPr>
          <w:p w14:paraId="74C2DDD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0.722</w:t>
            </w:r>
          </w:p>
        </w:tc>
        <w:tc>
          <w:tcPr>
            <w:tcW w:w="368" w:type="pct"/>
            <w:gridSpan w:val="2"/>
            <w:vAlign w:val="center"/>
          </w:tcPr>
          <w:p w14:paraId="27F7066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0.846</w:t>
            </w:r>
          </w:p>
        </w:tc>
        <w:tc>
          <w:tcPr>
            <w:tcW w:w="373" w:type="pct"/>
            <w:vAlign w:val="center"/>
          </w:tcPr>
          <w:p w14:paraId="3F44E79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0.911</w:t>
            </w:r>
          </w:p>
        </w:tc>
      </w:tr>
      <w:tr w14:paraId="1D48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1722593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6" w:type="pct"/>
            <w:gridSpan w:val="2"/>
            <w:vAlign w:val="center"/>
          </w:tcPr>
          <w:p w14:paraId="71C2413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0.321</w:t>
            </w:r>
          </w:p>
        </w:tc>
        <w:tc>
          <w:tcPr>
            <w:tcW w:w="367" w:type="pct"/>
            <w:gridSpan w:val="2"/>
            <w:vAlign w:val="center"/>
          </w:tcPr>
          <w:p w14:paraId="49C0B78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0.494</w:t>
            </w:r>
          </w:p>
        </w:tc>
        <w:tc>
          <w:tcPr>
            <w:tcW w:w="367" w:type="pct"/>
            <w:gridSpan w:val="2"/>
            <w:vAlign w:val="center"/>
          </w:tcPr>
          <w:p w14:paraId="547E57B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0.652</w:t>
            </w:r>
          </w:p>
        </w:tc>
        <w:tc>
          <w:tcPr>
            <w:tcW w:w="372" w:type="pct"/>
            <w:gridSpan w:val="2"/>
            <w:vAlign w:val="center"/>
          </w:tcPr>
          <w:p w14:paraId="6B8D1C8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0.781</w:t>
            </w:r>
          </w:p>
        </w:tc>
        <w:tc>
          <w:tcPr>
            <w:tcW w:w="366" w:type="pct"/>
            <w:gridSpan w:val="2"/>
            <w:vAlign w:val="center"/>
          </w:tcPr>
          <w:p w14:paraId="7788B94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0.423</w:t>
            </w:r>
          </w:p>
        </w:tc>
        <w:tc>
          <w:tcPr>
            <w:tcW w:w="366" w:type="pct"/>
            <w:gridSpan w:val="2"/>
            <w:vAlign w:val="center"/>
          </w:tcPr>
          <w:p w14:paraId="4970E37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0.609</w:t>
            </w:r>
          </w:p>
        </w:tc>
        <w:tc>
          <w:tcPr>
            <w:tcW w:w="366" w:type="pct"/>
            <w:gridSpan w:val="2"/>
            <w:vAlign w:val="center"/>
          </w:tcPr>
          <w:p w14:paraId="5F13152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0.757</w:t>
            </w:r>
          </w:p>
        </w:tc>
        <w:tc>
          <w:tcPr>
            <w:tcW w:w="372" w:type="pct"/>
            <w:gridSpan w:val="2"/>
            <w:vAlign w:val="center"/>
          </w:tcPr>
          <w:p w14:paraId="46B99D7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0.863</w:t>
            </w:r>
          </w:p>
        </w:tc>
        <w:tc>
          <w:tcPr>
            <w:tcW w:w="366" w:type="pct"/>
            <w:gridSpan w:val="2"/>
            <w:vAlign w:val="center"/>
          </w:tcPr>
          <w:p w14:paraId="2A35545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0.540</w:t>
            </w:r>
          </w:p>
        </w:tc>
        <w:tc>
          <w:tcPr>
            <w:tcW w:w="366" w:type="pct"/>
            <w:gridSpan w:val="2"/>
            <w:vAlign w:val="center"/>
          </w:tcPr>
          <w:p w14:paraId="491E173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0.722</w:t>
            </w:r>
          </w:p>
        </w:tc>
        <w:tc>
          <w:tcPr>
            <w:tcW w:w="368" w:type="pct"/>
            <w:gridSpan w:val="2"/>
            <w:vAlign w:val="center"/>
          </w:tcPr>
          <w:p w14:paraId="44ED114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0.813</w:t>
            </w:r>
          </w:p>
        </w:tc>
        <w:tc>
          <w:tcPr>
            <w:tcW w:w="373" w:type="pct"/>
            <w:vAlign w:val="center"/>
          </w:tcPr>
          <w:p w14:paraId="595E15C8">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0.867</w:t>
            </w:r>
          </w:p>
        </w:tc>
      </w:tr>
      <w:tr w14:paraId="6C6F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2728F02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66" w:type="pct"/>
            <w:gridSpan w:val="2"/>
            <w:vAlign w:val="center"/>
          </w:tcPr>
          <w:p w14:paraId="2943086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0.321</w:t>
            </w:r>
          </w:p>
        </w:tc>
        <w:tc>
          <w:tcPr>
            <w:tcW w:w="367" w:type="pct"/>
            <w:gridSpan w:val="2"/>
            <w:vAlign w:val="center"/>
          </w:tcPr>
          <w:p w14:paraId="5230CDC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0.494</w:t>
            </w:r>
          </w:p>
        </w:tc>
        <w:tc>
          <w:tcPr>
            <w:tcW w:w="367" w:type="pct"/>
            <w:gridSpan w:val="2"/>
            <w:vAlign w:val="center"/>
          </w:tcPr>
          <w:p w14:paraId="506974B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0.652</w:t>
            </w:r>
          </w:p>
        </w:tc>
        <w:tc>
          <w:tcPr>
            <w:tcW w:w="372" w:type="pct"/>
            <w:gridSpan w:val="2"/>
            <w:vAlign w:val="center"/>
          </w:tcPr>
          <w:p w14:paraId="354EE64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0.781</w:t>
            </w:r>
          </w:p>
        </w:tc>
        <w:tc>
          <w:tcPr>
            <w:tcW w:w="366" w:type="pct"/>
            <w:gridSpan w:val="2"/>
            <w:vAlign w:val="center"/>
          </w:tcPr>
          <w:p w14:paraId="0514534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0.423</w:t>
            </w:r>
          </w:p>
        </w:tc>
        <w:tc>
          <w:tcPr>
            <w:tcW w:w="366" w:type="pct"/>
            <w:gridSpan w:val="2"/>
            <w:vAlign w:val="center"/>
          </w:tcPr>
          <w:p w14:paraId="35A175A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0.609</w:t>
            </w:r>
          </w:p>
        </w:tc>
        <w:tc>
          <w:tcPr>
            <w:tcW w:w="366" w:type="pct"/>
            <w:gridSpan w:val="2"/>
            <w:vAlign w:val="center"/>
          </w:tcPr>
          <w:p w14:paraId="3442114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0.748</w:t>
            </w:r>
          </w:p>
        </w:tc>
        <w:tc>
          <w:tcPr>
            <w:tcW w:w="372" w:type="pct"/>
            <w:gridSpan w:val="2"/>
            <w:vAlign w:val="center"/>
          </w:tcPr>
          <w:p w14:paraId="0B4F24C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0.817</w:t>
            </w:r>
          </w:p>
        </w:tc>
        <w:tc>
          <w:tcPr>
            <w:tcW w:w="366" w:type="pct"/>
            <w:gridSpan w:val="2"/>
            <w:vAlign w:val="center"/>
          </w:tcPr>
          <w:p w14:paraId="1652B0B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0.540</w:t>
            </w:r>
          </w:p>
        </w:tc>
        <w:tc>
          <w:tcPr>
            <w:tcW w:w="366" w:type="pct"/>
            <w:gridSpan w:val="2"/>
            <w:vAlign w:val="center"/>
          </w:tcPr>
          <w:p w14:paraId="503B3E2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0.686</w:t>
            </w:r>
          </w:p>
        </w:tc>
        <w:tc>
          <w:tcPr>
            <w:tcW w:w="368" w:type="pct"/>
            <w:gridSpan w:val="2"/>
            <w:vAlign w:val="center"/>
          </w:tcPr>
          <w:p w14:paraId="3E0E521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0.748</w:t>
            </w:r>
          </w:p>
        </w:tc>
        <w:tc>
          <w:tcPr>
            <w:tcW w:w="373" w:type="pct"/>
            <w:vAlign w:val="center"/>
          </w:tcPr>
          <w:p w14:paraId="4DFD361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0.817</w:t>
            </w:r>
          </w:p>
        </w:tc>
      </w:tr>
      <w:tr w14:paraId="3292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136CD24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c>
          <w:tcPr>
            <w:tcW w:w="366" w:type="pct"/>
            <w:gridSpan w:val="2"/>
            <w:vAlign w:val="center"/>
          </w:tcPr>
          <w:p w14:paraId="795FB53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0.321</w:t>
            </w:r>
          </w:p>
        </w:tc>
        <w:tc>
          <w:tcPr>
            <w:tcW w:w="367" w:type="pct"/>
            <w:gridSpan w:val="2"/>
            <w:vAlign w:val="center"/>
          </w:tcPr>
          <w:p w14:paraId="1880169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0.494</w:t>
            </w:r>
          </w:p>
        </w:tc>
        <w:tc>
          <w:tcPr>
            <w:tcW w:w="367" w:type="pct"/>
            <w:gridSpan w:val="2"/>
            <w:vAlign w:val="center"/>
          </w:tcPr>
          <w:p w14:paraId="32AAD22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0.652</w:t>
            </w:r>
          </w:p>
        </w:tc>
        <w:tc>
          <w:tcPr>
            <w:tcW w:w="372" w:type="pct"/>
            <w:gridSpan w:val="2"/>
            <w:vAlign w:val="center"/>
          </w:tcPr>
          <w:p w14:paraId="25A1E1F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0.760</w:t>
            </w:r>
          </w:p>
        </w:tc>
        <w:tc>
          <w:tcPr>
            <w:tcW w:w="366" w:type="pct"/>
            <w:gridSpan w:val="2"/>
            <w:vAlign w:val="center"/>
          </w:tcPr>
          <w:p w14:paraId="0973974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0.423</w:t>
            </w:r>
          </w:p>
        </w:tc>
        <w:tc>
          <w:tcPr>
            <w:tcW w:w="366" w:type="pct"/>
            <w:gridSpan w:val="2"/>
            <w:vAlign w:val="center"/>
          </w:tcPr>
          <w:p w14:paraId="2004B54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0.607</w:t>
            </w:r>
          </w:p>
        </w:tc>
        <w:tc>
          <w:tcPr>
            <w:tcW w:w="366" w:type="pct"/>
            <w:gridSpan w:val="2"/>
            <w:vAlign w:val="center"/>
          </w:tcPr>
          <w:p w14:paraId="15AB526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0.677</w:t>
            </w:r>
          </w:p>
        </w:tc>
        <w:tc>
          <w:tcPr>
            <w:tcW w:w="372" w:type="pct"/>
            <w:gridSpan w:val="2"/>
            <w:vAlign w:val="center"/>
          </w:tcPr>
          <w:p w14:paraId="6B70246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0.760</w:t>
            </w:r>
          </w:p>
        </w:tc>
        <w:tc>
          <w:tcPr>
            <w:tcW w:w="366" w:type="pct"/>
            <w:gridSpan w:val="2"/>
            <w:vAlign w:val="center"/>
          </w:tcPr>
          <w:p w14:paraId="390E42E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0.540</w:t>
            </w:r>
          </w:p>
        </w:tc>
        <w:tc>
          <w:tcPr>
            <w:tcW w:w="366" w:type="pct"/>
            <w:gridSpan w:val="2"/>
            <w:vAlign w:val="center"/>
          </w:tcPr>
          <w:p w14:paraId="646E64A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0.607</w:t>
            </w:r>
          </w:p>
        </w:tc>
        <w:tc>
          <w:tcPr>
            <w:tcW w:w="368" w:type="pct"/>
            <w:gridSpan w:val="2"/>
            <w:vAlign w:val="center"/>
          </w:tcPr>
          <w:p w14:paraId="2D6340A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0.677</w:t>
            </w:r>
          </w:p>
        </w:tc>
        <w:tc>
          <w:tcPr>
            <w:tcW w:w="373" w:type="pct"/>
            <w:vAlign w:val="center"/>
          </w:tcPr>
          <w:p w14:paraId="0AE16DE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0.817</w:t>
            </w:r>
          </w:p>
        </w:tc>
      </w:tr>
      <w:tr w14:paraId="1113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27122FE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w:t>
            </w:r>
          </w:p>
        </w:tc>
        <w:tc>
          <w:tcPr>
            <w:tcW w:w="366" w:type="pct"/>
            <w:gridSpan w:val="2"/>
            <w:vAlign w:val="center"/>
          </w:tcPr>
          <w:p w14:paraId="0C5382A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0.321</w:t>
            </w:r>
          </w:p>
        </w:tc>
        <w:tc>
          <w:tcPr>
            <w:tcW w:w="367" w:type="pct"/>
            <w:gridSpan w:val="2"/>
            <w:vAlign w:val="center"/>
          </w:tcPr>
          <w:p w14:paraId="5FED979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0.494</w:t>
            </w:r>
          </w:p>
        </w:tc>
        <w:tc>
          <w:tcPr>
            <w:tcW w:w="367" w:type="pct"/>
            <w:gridSpan w:val="2"/>
            <w:vAlign w:val="center"/>
          </w:tcPr>
          <w:p w14:paraId="264782A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0.603</w:t>
            </w:r>
          </w:p>
        </w:tc>
        <w:tc>
          <w:tcPr>
            <w:tcW w:w="372" w:type="pct"/>
            <w:gridSpan w:val="2"/>
            <w:vAlign w:val="center"/>
          </w:tcPr>
          <w:p w14:paraId="409518E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0.697</w:t>
            </w:r>
          </w:p>
        </w:tc>
        <w:tc>
          <w:tcPr>
            <w:tcW w:w="366" w:type="pct"/>
            <w:gridSpan w:val="2"/>
            <w:vAlign w:val="center"/>
          </w:tcPr>
          <w:p w14:paraId="2CD9B0A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0.423</w:t>
            </w:r>
          </w:p>
        </w:tc>
        <w:tc>
          <w:tcPr>
            <w:tcW w:w="366" w:type="pct"/>
            <w:gridSpan w:val="2"/>
            <w:vAlign w:val="center"/>
          </w:tcPr>
          <w:p w14:paraId="6E6D3D9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0.527</w:t>
            </w:r>
          </w:p>
        </w:tc>
        <w:tc>
          <w:tcPr>
            <w:tcW w:w="366" w:type="pct"/>
            <w:gridSpan w:val="2"/>
            <w:vAlign w:val="center"/>
          </w:tcPr>
          <w:p w14:paraId="0DC1D57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0.603</w:t>
            </w:r>
          </w:p>
        </w:tc>
        <w:tc>
          <w:tcPr>
            <w:tcW w:w="372" w:type="pct"/>
            <w:gridSpan w:val="2"/>
            <w:vAlign w:val="center"/>
          </w:tcPr>
          <w:p w14:paraId="1223E6E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0.697</w:t>
            </w:r>
          </w:p>
        </w:tc>
        <w:tc>
          <w:tcPr>
            <w:tcW w:w="366" w:type="pct"/>
            <w:gridSpan w:val="2"/>
            <w:vAlign w:val="center"/>
          </w:tcPr>
          <w:p w14:paraId="6FDB64C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0.468</w:t>
            </w:r>
          </w:p>
        </w:tc>
        <w:tc>
          <w:tcPr>
            <w:tcW w:w="366" w:type="pct"/>
            <w:gridSpan w:val="2"/>
            <w:vAlign w:val="center"/>
          </w:tcPr>
          <w:p w14:paraId="1C8DEBB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0.527</w:t>
            </w:r>
          </w:p>
        </w:tc>
        <w:tc>
          <w:tcPr>
            <w:tcW w:w="368" w:type="pct"/>
            <w:gridSpan w:val="2"/>
            <w:vAlign w:val="center"/>
          </w:tcPr>
          <w:p w14:paraId="74FCC81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0.603</w:t>
            </w:r>
          </w:p>
        </w:tc>
        <w:tc>
          <w:tcPr>
            <w:tcW w:w="373" w:type="pct"/>
            <w:vAlign w:val="center"/>
          </w:tcPr>
          <w:p w14:paraId="3F98C2B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0.697</w:t>
            </w:r>
          </w:p>
        </w:tc>
      </w:tr>
      <w:tr w14:paraId="769F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045FFC2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w:t>
            </w:r>
          </w:p>
        </w:tc>
        <w:tc>
          <w:tcPr>
            <w:tcW w:w="366" w:type="pct"/>
            <w:gridSpan w:val="2"/>
            <w:vAlign w:val="center"/>
          </w:tcPr>
          <w:p w14:paraId="717C4A9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0.321</w:t>
            </w:r>
          </w:p>
        </w:tc>
        <w:tc>
          <w:tcPr>
            <w:tcW w:w="367" w:type="pct"/>
            <w:gridSpan w:val="2"/>
            <w:vAlign w:val="center"/>
          </w:tcPr>
          <w:p w14:paraId="7834D32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0.447</w:t>
            </w:r>
          </w:p>
        </w:tc>
        <w:tc>
          <w:tcPr>
            <w:tcW w:w="367" w:type="pct"/>
            <w:gridSpan w:val="2"/>
            <w:vAlign w:val="center"/>
          </w:tcPr>
          <w:p w14:paraId="4B2189C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0.526</w:t>
            </w:r>
          </w:p>
        </w:tc>
        <w:tc>
          <w:tcPr>
            <w:tcW w:w="372" w:type="pct"/>
            <w:gridSpan w:val="2"/>
            <w:vAlign w:val="center"/>
          </w:tcPr>
          <w:p w14:paraId="34874F4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0.628</w:t>
            </w:r>
          </w:p>
        </w:tc>
        <w:tc>
          <w:tcPr>
            <w:tcW w:w="366" w:type="pct"/>
            <w:gridSpan w:val="2"/>
            <w:vAlign w:val="center"/>
          </w:tcPr>
          <w:p w14:paraId="622A37F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0.387</w:t>
            </w:r>
          </w:p>
        </w:tc>
        <w:tc>
          <w:tcPr>
            <w:tcW w:w="366" w:type="pct"/>
            <w:gridSpan w:val="2"/>
            <w:vAlign w:val="center"/>
          </w:tcPr>
          <w:p w14:paraId="1B48744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0.447</w:t>
            </w:r>
          </w:p>
        </w:tc>
        <w:tc>
          <w:tcPr>
            <w:tcW w:w="366" w:type="pct"/>
            <w:gridSpan w:val="2"/>
            <w:vAlign w:val="center"/>
          </w:tcPr>
          <w:p w14:paraId="6713F86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0.526</w:t>
            </w:r>
          </w:p>
        </w:tc>
        <w:tc>
          <w:tcPr>
            <w:tcW w:w="372" w:type="pct"/>
            <w:gridSpan w:val="2"/>
            <w:vAlign w:val="center"/>
          </w:tcPr>
          <w:p w14:paraId="74929A08">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0.628</w:t>
            </w:r>
          </w:p>
        </w:tc>
        <w:tc>
          <w:tcPr>
            <w:tcW w:w="366" w:type="pct"/>
            <w:gridSpan w:val="2"/>
            <w:vAlign w:val="center"/>
          </w:tcPr>
          <w:p w14:paraId="785C0C9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0.387</w:t>
            </w:r>
          </w:p>
        </w:tc>
        <w:tc>
          <w:tcPr>
            <w:tcW w:w="366" w:type="pct"/>
            <w:gridSpan w:val="2"/>
            <w:vAlign w:val="center"/>
          </w:tcPr>
          <w:p w14:paraId="04413F8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0.477</w:t>
            </w:r>
          </w:p>
        </w:tc>
        <w:tc>
          <w:tcPr>
            <w:tcW w:w="368" w:type="pct"/>
            <w:gridSpan w:val="2"/>
            <w:vAlign w:val="center"/>
          </w:tcPr>
          <w:p w14:paraId="13A94F4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0.526</w:t>
            </w:r>
          </w:p>
        </w:tc>
        <w:tc>
          <w:tcPr>
            <w:tcW w:w="373" w:type="pct"/>
            <w:vAlign w:val="center"/>
          </w:tcPr>
          <w:p w14:paraId="510AB84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0.628</w:t>
            </w:r>
          </w:p>
        </w:tc>
      </w:tr>
      <w:tr w14:paraId="2DF7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7D94432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0.9</w:t>
            </w:r>
          </w:p>
        </w:tc>
        <w:tc>
          <w:tcPr>
            <w:tcW w:w="366" w:type="pct"/>
            <w:gridSpan w:val="2"/>
            <w:vAlign w:val="center"/>
          </w:tcPr>
          <w:p w14:paraId="53B6FF0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0.310</w:t>
            </w:r>
          </w:p>
        </w:tc>
        <w:tc>
          <w:tcPr>
            <w:tcW w:w="367" w:type="pct"/>
            <w:gridSpan w:val="2"/>
            <w:vAlign w:val="center"/>
          </w:tcPr>
          <w:p w14:paraId="28B92B21">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0.368</w:t>
            </w:r>
          </w:p>
        </w:tc>
        <w:tc>
          <w:tcPr>
            <w:tcW w:w="367" w:type="pct"/>
            <w:gridSpan w:val="2"/>
            <w:vAlign w:val="center"/>
          </w:tcPr>
          <w:p w14:paraId="686D919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0.448</w:t>
            </w:r>
          </w:p>
        </w:tc>
        <w:tc>
          <w:tcPr>
            <w:tcW w:w="372" w:type="pct"/>
            <w:gridSpan w:val="2"/>
            <w:vAlign w:val="center"/>
          </w:tcPr>
          <w:p w14:paraId="47AF125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0.555</w:t>
            </w:r>
          </w:p>
        </w:tc>
        <w:tc>
          <w:tcPr>
            <w:tcW w:w="366" w:type="pct"/>
            <w:gridSpan w:val="2"/>
            <w:vAlign w:val="center"/>
          </w:tcPr>
          <w:p w14:paraId="3417FFF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0.310</w:t>
            </w:r>
          </w:p>
        </w:tc>
        <w:tc>
          <w:tcPr>
            <w:tcW w:w="366" w:type="pct"/>
            <w:gridSpan w:val="2"/>
            <w:vAlign w:val="center"/>
          </w:tcPr>
          <w:p w14:paraId="725A254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0.368</w:t>
            </w:r>
          </w:p>
        </w:tc>
        <w:tc>
          <w:tcPr>
            <w:tcW w:w="366" w:type="pct"/>
            <w:gridSpan w:val="2"/>
            <w:vAlign w:val="center"/>
          </w:tcPr>
          <w:p w14:paraId="73ABCB9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0.442</w:t>
            </w:r>
          </w:p>
        </w:tc>
        <w:tc>
          <w:tcPr>
            <w:tcW w:w="372" w:type="pct"/>
            <w:gridSpan w:val="2"/>
            <w:vAlign w:val="center"/>
          </w:tcPr>
          <w:p w14:paraId="0530072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0.555</w:t>
            </w:r>
          </w:p>
        </w:tc>
        <w:tc>
          <w:tcPr>
            <w:tcW w:w="366" w:type="pct"/>
            <w:gridSpan w:val="2"/>
            <w:vAlign w:val="center"/>
          </w:tcPr>
          <w:p w14:paraId="533976A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0.310</w:t>
            </w:r>
          </w:p>
        </w:tc>
        <w:tc>
          <w:tcPr>
            <w:tcW w:w="366" w:type="pct"/>
            <w:gridSpan w:val="2"/>
            <w:vAlign w:val="center"/>
          </w:tcPr>
          <w:p w14:paraId="1A06890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0.368</w:t>
            </w:r>
          </w:p>
        </w:tc>
        <w:tc>
          <w:tcPr>
            <w:tcW w:w="368" w:type="pct"/>
            <w:gridSpan w:val="2"/>
            <w:vAlign w:val="center"/>
          </w:tcPr>
          <w:p w14:paraId="2FCCE34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0.448</w:t>
            </w:r>
          </w:p>
        </w:tc>
        <w:tc>
          <w:tcPr>
            <w:tcW w:w="373" w:type="pct"/>
            <w:vAlign w:val="center"/>
          </w:tcPr>
          <w:p w14:paraId="21D60EF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0.555</w:t>
            </w:r>
          </w:p>
        </w:tc>
      </w:tr>
      <w:tr w14:paraId="1D5D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Merge w:val="restart"/>
            <w:tcBorders>
              <w:tl2br w:val="single" w:color="auto" w:sz="4" w:space="0"/>
            </w:tcBorders>
          </w:tcPr>
          <w:p w14:paraId="776BC15A">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right"/>
              <w:textAlignment w:val="auto"/>
              <w:rPr>
                <w:rFonts w:hint="eastAsia" w:ascii="宋体" w:hAnsi="宋体" w:eastAsia="宋体" w:cs="宋体"/>
                <w:color w:val="auto"/>
                <w:sz w:val="18"/>
                <w:szCs w:val="18"/>
                <w:highlight w:val="none"/>
              </w:rPr>
            </w:pPr>
          </w:p>
          <w:p w14:paraId="48B8E8A6">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right"/>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position w:val="-10"/>
                <w:sz w:val="18"/>
                <w:szCs w:val="18"/>
                <w:highlight w:val="none"/>
                <w:lang w:val="en-US" w:eastAsia="zh-CN"/>
              </w:rPr>
              <w:object>
                <v:shape id="_x0000_i1038" o:spt="75" type="#_x0000_t75" style="height:13pt;width:11pt;" o:ole="t" filled="f" o:preferrelative="t" stroked="f" coordsize="21600,21600">
                  <v:path/>
                  <v:fill on="f" focussize="0,0"/>
                  <v:stroke on="f"/>
                  <v:imagedata r:id="rId66" o:title=""/>
                  <o:lock v:ext="edit" aspectratio="t"/>
                  <w10:wrap type="none"/>
                  <w10:anchorlock/>
                </v:shape>
                <o:OLEObject Type="Embed" ProgID="Equation.KSEE3" ShapeID="_x0000_i1038" DrawAspect="Content" ObjectID="_1468075739" r:id="rId67">
                  <o:LockedField>false</o:LockedField>
                </o:OLEObject>
              </w:object>
            </w:r>
          </w:p>
          <w:p w14:paraId="186E5866">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right"/>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eastAsia="宋体" w:cs="Times New Roman"/>
                <w:color w:val="auto"/>
                <w:sz w:val="18"/>
                <w:szCs w:val="18"/>
                <w:highlight w:val="none"/>
                <w:vertAlign w:val="subscript"/>
                <w:lang w:val="en-US" w:eastAsia="zh-CN"/>
              </w:rPr>
              <w:t>a</w:t>
            </w:r>
            <w:r>
              <w:rPr>
                <w:rFonts w:hint="eastAsia" w:ascii="Times New Roman" w:hAnsi="Times New Roman" w:eastAsia="宋体" w:cs="Times New Roman"/>
                <w:color w:val="auto"/>
                <w:sz w:val="18"/>
                <w:szCs w:val="18"/>
                <w:highlight w:val="none"/>
                <w:lang w:val="en-US" w:eastAsia="zh-CN"/>
              </w:rPr>
              <w:t>/H</w:t>
            </w:r>
          </w:p>
          <w:p w14:paraId="5681FCF4">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right"/>
              <w:textAlignment w:val="auto"/>
              <w:rPr>
                <w:rFonts w:hint="default" w:ascii="Times New Roman" w:hAnsi="Times New Roman" w:eastAsia="宋体" w:cs="Times New Roman"/>
                <w:color w:val="auto"/>
                <w:sz w:val="18"/>
                <w:szCs w:val="18"/>
                <w:highlight w:val="none"/>
                <w:lang w:val="en-US" w:eastAsia="zh-CN"/>
              </w:rPr>
            </w:pPr>
          </w:p>
          <w:p w14:paraId="4EB22EAD">
            <w:pPr>
              <w:keepNext w:val="0"/>
              <w:keepLines w:val="0"/>
              <w:pageBreakBefore w:val="0"/>
              <w:widowControl w:val="0"/>
              <w:kinsoku/>
              <w:wordWrap/>
              <w:overflowPunct/>
              <w:topLinePunct w:val="0"/>
              <w:autoSpaceDE w:val="0"/>
              <w:autoSpaceDN w:val="0"/>
              <w:bidi w:val="0"/>
              <w:adjustRightInd/>
              <w:snapToGrid w:val="0"/>
              <w:spacing w:line="192" w:lineRule="auto"/>
              <w:ind w:firstLine="360" w:firstLineChars="200"/>
              <w:jc w:val="left"/>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B</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S</w:t>
            </w:r>
            <w:r>
              <w:rPr>
                <w:rFonts w:hint="eastAsia" w:ascii="Times New Roman" w:hAnsi="Times New Roman" w:eastAsia="宋体" w:cs="Times New Roman"/>
                <w:color w:val="auto"/>
                <w:sz w:val="18"/>
                <w:szCs w:val="18"/>
                <w:highlight w:val="none"/>
                <w:vertAlign w:val="subscript"/>
                <w:lang w:val="en-US" w:eastAsia="zh-CN"/>
              </w:rPr>
              <w:t>a</w:t>
            </w:r>
          </w:p>
        </w:tc>
        <w:tc>
          <w:tcPr>
            <w:tcW w:w="1472" w:type="pct"/>
            <w:gridSpan w:val="7"/>
            <w:vAlign w:val="center"/>
          </w:tcPr>
          <w:p w14:paraId="560AB74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35°</w:t>
            </w:r>
          </w:p>
        </w:tc>
        <w:tc>
          <w:tcPr>
            <w:tcW w:w="1472" w:type="pct"/>
            <w:gridSpan w:val="8"/>
            <w:vAlign w:val="center"/>
          </w:tcPr>
          <w:p w14:paraId="2A317A1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w:t>
            </w:r>
          </w:p>
        </w:tc>
        <w:tc>
          <w:tcPr>
            <w:tcW w:w="1478" w:type="pct"/>
            <w:gridSpan w:val="8"/>
            <w:vAlign w:val="center"/>
          </w:tcPr>
          <w:p w14:paraId="33E1368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45°</w:t>
            </w:r>
          </w:p>
        </w:tc>
      </w:tr>
      <w:tr w14:paraId="036E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Merge w:val="continue"/>
          </w:tcPr>
          <w:p w14:paraId="79E8A4CF">
            <w:pPr>
              <w:autoSpaceDE w:val="0"/>
              <w:autoSpaceDN w:val="0"/>
              <w:spacing w:line="360" w:lineRule="auto"/>
              <w:rPr>
                <w:rFonts w:hint="default" w:ascii="Times New Roman" w:hAnsi="Times New Roman" w:eastAsia="宋体" w:cs="Times New Roman"/>
                <w:color w:val="auto"/>
                <w:sz w:val="18"/>
                <w:szCs w:val="18"/>
                <w:highlight w:val="none"/>
              </w:rPr>
            </w:pPr>
          </w:p>
        </w:tc>
        <w:tc>
          <w:tcPr>
            <w:tcW w:w="365" w:type="pct"/>
            <w:vAlign w:val="center"/>
          </w:tcPr>
          <w:p w14:paraId="797AC758">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7" w:type="pct"/>
            <w:gridSpan w:val="2"/>
            <w:vAlign w:val="center"/>
          </w:tcPr>
          <w:p w14:paraId="50B8C43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7" w:type="pct"/>
            <w:gridSpan w:val="2"/>
            <w:vAlign w:val="center"/>
          </w:tcPr>
          <w:p w14:paraId="3236895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72" w:type="pct"/>
            <w:gridSpan w:val="2"/>
            <w:vAlign w:val="center"/>
          </w:tcPr>
          <w:p w14:paraId="1BCC9DE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c>
          <w:tcPr>
            <w:tcW w:w="366" w:type="pct"/>
            <w:gridSpan w:val="2"/>
            <w:vAlign w:val="center"/>
          </w:tcPr>
          <w:p w14:paraId="73A0781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6" w:type="pct"/>
            <w:gridSpan w:val="2"/>
            <w:vAlign w:val="center"/>
          </w:tcPr>
          <w:p w14:paraId="5655BC5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6" w:type="pct"/>
            <w:gridSpan w:val="2"/>
            <w:vAlign w:val="center"/>
          </w:tcPr>
          <w:p w14:paraId="76B5098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71" w:type="pct"/>
            <w:gridSpan w:val="2"/>
            <w:vAlign w:val="center"/>
          </w:tcPr>
          <w:p w14:paraId="62C26E1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c>
          <w:tcPr>
            <w:tcW w:w="366" w:type="pct"/>
            <w:gridSpan w:val="2"/>
            <w:vAlign w:val="center"/>
          </w:tcPr>
          <w:p w14:paraId="47ADD64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6" w:type="pct"/>
            <w:gridSpan w:val="2"/>
            <w:vAlign w:val="center"/>
          </w:tcPr>
          <w:p w14:paraId="19B4AA7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6" w:type="pct"/>
            <w:gridSpan w:val="2"/>
            <w:vAlign w:val="center"/>
          </w:tcPr>
          <w:p w14:paraId="0F0EB05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77" w:type="pct"/>
            <w:gridSpan w:val="2"/>
            <w:vAlign w:val="center"/>
          </w:tcPr>
          <w:p w14:paraId="4DC33DD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r>
      <w:tr w14:paraId="7AA5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134157F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365" w:type="pct"/>
            <w:vAlign w:val="center"/>
          </w:tcPr>
          <w:p w14:paraId="61C8298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0.663</w:t>
            </w:r>
          </w:p>
        </w:tc>
        <w:tc>
          <w:tcPr>
            <w:tcW w:w="367" w:type="pct"/>
            <w:gridSpan w:val="2"/>
            <w:vAlign w:val="center"/>
          </w:tcPr>
          <w:p w14:paraId="34D5CBD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0.822</w:t>
            </w:r>
          </w:p>
        </w:tc>
        <w:tc>
          <w:tcPr>
            <w:tcW w:w="367" w:type="pct"/>
            <w:gridSpan w:val="2"/>
            <w:vAlign w:val="center"/>
          </w:tcPr>
          <w:p w14:paraId="475EFE3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0.872</w:t>
            </w:r>
          </w:p>
        </w:tc>
        <w:tc>
          <w:tcPr>
            <w:tcW w:w="372" w:type="pct"/>
            <w:gridSpan w:val="2"/>
            <w:vAlign w:val="center"/>
          </w:tcPr>
          <w:p w14:paraId="7C9D238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0.911</w:t>
            </w:r>
          </w:p>
        </w:tc>
        <w:tc>
          <w:tcPr>
            <w:tcW w:w="366" w:type="pct"/>
            <w:gridSpan w:val="2"/>
            <w:vAlign w:val="center"/>
          </w:tcPr>
          <w:p w14:paraId="550955F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0.778</w:t>
            </w:r>
          </w:p>
        </w:tc>
        <w:tc>
          <w:tcPr>
            <w:tcW w:w="366" w:type="pct"/>
            <w:gridSpan w:val="2"/>
            <w:vAlign w:val="center"/>
          </w:tcPr>
          <w:p w14:paraId="0CAF0EE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0.843</w:t>
            </w:r>
          </w:p>
        </w:tc>
        <w:tc>
          <w:tcPr>
            <w:tcW w:w="366" w:type="pct"/>
            <w:gridSpan w:val="2"/>
            <w:vAlign w:val="center"/>
          </w:tcPr>
          <w:p w14:paraId="31C16F6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0.872</w:t>
            </w:r>
          </w:p>
        </w:tc>
        <w:tc>
          <w:tcPr>
            <w:tcW w:w="371" w:type="pct"/>
            <w:gridSpan w:val="2"/>
            <w:vAlign w:val="center"/>
          </w:tcPr>
          <w:p w14:paraId="605DDC2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0.911</w:t>
            </w:r>
          </w:p>
        </w:tc>
        <w:tc>
          <w:tcPr>
            <w:tcW w:w="366" w:type="pct"/>
            <w:gridSpan w:val="2"/>
            <w:vAlign w:val="center"/>
          </w:tcPr>
          <w:p w14:paraId="54D840B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0.799</w:t>
            </w:r>
          </w:p>
        </w:tc>
        <w:tc>
          <w:tcPr>
            <w:tcW w:w="366" w:type="pct"/>
            <w:gridSpan w:val="2"/>
            <w:vAlign w:val="center"/>
          </w:tcPr>
          <w:p w14:paraId="1FF1070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0.834</w:t>
            </w:r>
          </w:p>
        </w:tc>
        <w:tc>
          <w:tcPr>
            <w:tcW w:w="366" w:type="pct"/>
            <w:gridSpan w:val="2"/>
            <w:vAlign w:val="center"/>
          </w:tcPr>
          <w:p w14:paraId="5AF5D63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xml:space="preserve">0.872                            </w:t>
            </w:r>
          </w:p>
        </w:tc>
        <w:tc>
          <w:tcPr>
            <w:tcW w:w="377" w:type="pct"/>
            <w:gridSpan w:val="2"/>
            <w:vAlign w:val="center"/>
          </w:tcPr>
          <w:p w14:paraId="6B2596D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0.911</w:t>
            </w:r>
          </w:p>
        </w:tc>
      </w:tr>
      <w:tr w14:paraId="0887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1DACDB11">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365" w:type="pct"/>
            <w:vAlign w:val="center"/>
          </w:tcPr>
          <w:p w14:paraId="1D35A849">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0.663</w:t>
            </w:r>
          </w:p>
        </w:tc>
        <w:tc>
          <w:tcPr>
            <w:tcW w:w="367" w:type="pct"/>
            <w:gridSpan w:val="2"/>
            <w:vAlign w:val="center"/>
          </w:tcPr>
          <w:p w14:paraId="06688F2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0.762</w:t>
            </w:r>
          </w:p>
        </w:tc>
        <w:tc>
          <w:tcPr>
            <w:tcW w:w="367" w:type="pct"/>
            <w:gridSpan w:val="2"/>
            <w:vAlign w:val="center"/>
          </w:tcPr>
          <w:p w14:paraId="3021274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0.813</w:t>
            </w:r>
          </w:p>
        </w:tc>
        <w:tc>
          <w:tcPr>
            <w:tcW w:w="372" w:type="pct"/>
            <w:gridSpan w:val="2"/>
            <w:vAlign w:val="center"/>
          </w:tcPr>
          <w:p w14:paraId="4C110F5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0.867</w:t>
            </w:r>
          </w:p>
        </w:tc>
        <w:tc>
          <w:tcPr>
            <w:tcW w:w="366" w:type="pct"/>
            <w:gridSpan w:val="2"/>
            <w:vAlign w:val="center"/>
          </w:tcPr>
          <w:p w14:paraId="16C97AD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0.718</w:t>
            </w:r>
          </w:p>
        </w:tc>
        <w:tc>
          <w:tcPr>
            <w:tcW w:w="366" w:type="pct"/>
            <w:gridSpan w:val="2"/>
            <w:vAlign w:val="center"/>
          </w:tcPr>
          <w:p w14:paraId="40AAA38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0.762</w:t>
            </w:r>
          </w:p>
        </w:tc>
        <w:tc>
          <w:tcPr>
            <w:tcW w:w="366" w:type="pct"/>
            <w:gridSpan w:val="2"/>
            <w:vAlign w:val="center"/>
          </w:tcPr>
          <w:p w14:paraId="73B828F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0.813</w:t>
            </w:r>
          </w:p>
        </w:tc>
        <w:tc>
          <w:tcPr>
            <w:tcW w:w="371" w:type="pct"/>
            <w:gridSpan w:val="2"/>
            <w:vAlign w:val="center"/>
          </w:tcPr>
          <w:p w14:paraId="5EA69F08">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0.867</w:t>
            </w:r>
          </w:p>
        </w:tc>
        <w:tc>
          <w:tcPr>
            <w:tcW w:w="366" w:type="pct"/>
            <w:gridSpan w:val="2"/>
            <w:vAlign w:val="center"/>
          </w:tcPr>
          <w:p w14:paraId="5E5242D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0.718</w:t>
            </w:r>
          </w:p>
        </w:tc>
        <w:tc>
          <w:tcPr>
            <w:tcW w:w="366" w:type="pct"/>
            <w:gridSpan w:val="2"/>
            <w:vAlign w:val="center"/>
          </w:tcPr>
          <w:p w14:paraId="2711A83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0.762</w:t>
            </w:r>
          </w:p>
        </w:tc>
        <w:tc>
          <w:tcPr>
            <w:tcW w:w="366" w:type="pct"/>
            <w:gridSpan w:val="2"/>
            <w:vAlign w:val="center"/>
          </w:tcPr>
          <w:p w14:paraId="4208409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0.813</w:t>
            </w:r>
          </w:p>
        </w:tc>
        <w:tc>
          <w:tcPr>
            <w:tcW w:w="377" w:type="pct"/>
            <w:gridSpan w:val="2"/>
            <w:vAlign w:val="center"/>
          </w:tcPr>
          <w:p w14:paraId="27C8C51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0.867</w:t>
            </w:r>
          </w:p>
        </w:tc>
      </w:tr>
      <w:tr w14:paraId="0522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70FB586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65" w:type="pct"/>
            <w:vAlign w:val="center"/>
          </w:tcPr>
          <w:p w14:paraId="7385E96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0.634</w:t>
            </w:r>
          </w:p>
        </w:tc>
        <w:tc>
          <w:tcPr>
            <w:tcW w:w="367" w:type="pct"/>
            <w:gridSpan w:val="2"/>
            <w:vAlign w:val="center"/>
          </w:tcPr>
          <w:p w14:paraId="7D0D0B98">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0.636</w:t>
            </w:r>
          </w:p>
        </w:tc>
        <w:tc>
          <w:tcPr>
            <w:tcW w:w="367" w:type="pct"/>
            <w:gridSpan w:val="2"/>
            <w:vAlign w:val="center"/>
          </w:tcPr>
          <w:p w14:paraId="5F568C7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0.748</w:t>
            </w:r>
          </w:p>
        </w:tc>
        <w:tc>
          <w:tcPr>
            <w:tcW w:w="372" w:type="pct"/>
            <w:gridSpan w:val="2"/>
            <w:vAlign w:val="center"/>
          </w:tcPr>
          <w:p w14:paraId="18D0CBB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0.817</w:t>
            </w:r>
          </w:p>
        </w:tc>
        <w:tc>
          <w:tcPr>
            <w:tcW w:w="366" w:type="pct"/>
            <w:gridSpan w:val="2"/>
            <w:vAlign w:val="center"/>
          </w:tcPr>
          <w:p w14:paraId="20657C0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0.634</w:t>
            </w:r>
          </w:p>
        </w:tc>
        <w:tc>
          <w:tcPr>
            <w:tcW w:w="366" w:type="pct"/>
            <w:gridSpan w:val="2"/>
            <w:vAlign w:val="center"/>
          </w:tcPr>
          <w:p w14:paraId="235867D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0.686</w:t>
            </w:r>
          </w:p>
        </w:tc>
        <w:tc>
          <w:tcPr>
            <w:tcW w:w="366" w:type="pct"/>
            <w:gridSpan w:val="2"/>
            <w:vAlign w:val="center"/>
          </w:tcPr>
          <w:p w14:paraId="1913B95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0.748</w:t>
            </w:r>
          </w:p>
        </w:tc>
        <w:tc>
          <w:tcPr>
            <w:tcW w:w="371" w:type="pct"/>
            <w:gridSpan w:val="2"/>
            <w:vAlign w:val="center"/>
          </w:tcPr>
          <w:p w14:paraId="058D298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0.817</w:t>
            </w:r>
          </w:p>
        </w:tc>
        <w:tc>
          <w:tcPr>
            <w:tcW w:w="366" w:type="pct"/>
            <w:gridSpan w:val="2"/>
            <w:vAlign w:val="center"/>
          </w:tcPr>
          <w:p w14:paraId="0D42A24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0.634</w:t>
            </w:r>
          </w:p>
        </w:tc>
        <w:tc>
          <w:tcPr>
            <w:tcW w:w="366" w:type="pct"/>
            <w:gridSpan w:val="2"/>
            <w:vAlign w:val="center"/>
          </w:tcPr>
          <w:p w14:paraId="3B782F58">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0.686</w:t>
            </w:r>
          </w:p>
        </w:tc>
        <w:tc>
          <w:tcPr>
            <w:tcW w:w="366" w:type="pct"/>
            <w:gridSpan w:val="2"/>
            <w:vAlign w:val="center"/>
          </w:tcPr>
          <w:p w14:paraId="707F6F7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0.743</w:t>
            </w:r>
          </w:p>
        </w:tc>
        <w:tc>
          <w:tcPr>
            <w:tcW w:w="377" w:type="pct"/>
            <w:gridSpan w:val="2"/>
            <w:vAlign w:val="center"/>
          </w:tcPr>
          <w:p w14:paraId="29B94A1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0.817</w:t>
            </w:r>
          </w:p>
        </w:tc>
      </w:tr>
      <w:tr w14:paraId="2A2D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280C2FE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w:t>
            </w:r>
          </w:p>
        </w:tc>
        <w:tc>
          <w:tcPr>
            <w:tcW w:w="365" w:type="pct"/>
            <w:vAlign w:val="center"/>
          </w:tcPr>
          <w:p w14:paraId="53C9AD7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0.551</w:t>
            </w:r>
          </w:p>
        </w:tc>
        <w:tc>
          <w:tcPr>
            <w:tcW w:w="367" w:type="pct"/>
            <w:gridSpan w:val="2"/>
            <w:vAlign w:val="center"/>
          </w:tcPr>
          <w:p w14:paraId="01BB4121">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0.607</w:t>
            </w:r>
          </w:p>
        </w:tc>
        <w:tc>
          <w:tcPr>
            <w:tcW w:w="367" w:type="pct"/>
            <w:gridSpan w:val="2"/>
            <w:vAlign w:val="center"/>
          </w:tcPr>
          <w:p w14:paraId="6320021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0.677</w:t>
            </w:r>
          </w:p>
        </w:tc>
        <w:tc>
          <w:tcPr>
            <w:tcW w:w="372" w:type="pct"/>
            <w:gridSpan w:val="2"/>
            <w:vAlign w:val="center"/>
          </w:tcPr>
          <w:p w14:paraId="38978B9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0.760</w:t>
            </w:r>
          </w:p>
        </w:tc>
        <w:tc>
          <w:tcPr>
            <w:tcW w:w="366" w:type="pct"/>
            <w:gridSpan w:val="2"/>
            <w:vAlign w:val="center"/>
          </w:tcPr>
          <w:p w14:paraId="55EDB101">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0.551</w:t>
            </w:r>
          </w:p>
        </w:tc>
        <w:tc>
          <w:tcPr>
            <w:tcW w:w="366" w:type="pct"/>
            <w:gridSpan w:val="2"/>
            <w:vAlign w:val="center"/>
          </w:tcPr>
          <w:p w14:paraId="212931B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0.607</w:t>
            </w:r>
          </w:p>
        </w:tc>
        <w:tc>
          <w:tcPr>
            <w:tcW w:w="366" w:type="pct"/>
            <w:gridSpan w:val="2"/>
            <w:vAlign w:val="center"/>
          </w:tcPr>
          <w:p w14:paraId="7D6F91E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0.677</w:t>
            </w:r>
          </w:p>
        </w:tc>
        <w:tc>
          <w:tcPr>
            <w:tcW w:w="371" w:type="pct"/>
            <w:gridSpan w:val="2"/>
            <w:vAlign w:val="center"/>
          </w:tcPr>
          <w:p w14:paraId="517B7F8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0.760</w:t>
            </w:r>
          </w:p>
        </w:tc>
        <w:tc>
          <w:tcPr>
            <w:tcW w:w="366" w:type="pct"/>
            <w:gridSpan w:val="2"/>
            <w:vAlign w:val="center"/>
          </w:tcPr>
          <w:p w14:paraId="75B45E0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0.551</w:t>
            </w:r>
          </w:p>
        </w:tc>
        <w:tc>
          <w:tcPr>
            <w:tcW w:w="366" w:type="pct"/>
            <w:gridSpan w:val="2"/>
            <w:vAlign w:val="center"/>
          </w:tcPr>
          <w:p w14:paraId="1A891F8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0.607</w:t>
            </w:r>
          </w:p>
        </w:tc>
        <w:tc>
          <w:tcPr>
            <w:tcW w:w="366" w:type="pct"/>
            <w:gridSpan w:val="2"/>
            <w:vAlign w:val="center"/>
          </w:tcPr>
          <w:p w14:paraId="2C5B5B0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0.677</w:t>
            </w:r>
          </w:p>
        </w:tc>
        <w:tc>
          <w:tcPr>
            <w:tcW w:w="377" w:type="pct"/>
            <w:gridSpan w:val="2"/>
            <w:vAlign w:val="center"/>
          </w:tcPr>
          <w:p w14:paraId="0D4812F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0.760</w:t>
            </w:r>
          </w:p>
        </w:tc>
      </w:tr>
      <w:tr w14:paraId="5EFE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7523385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0.7</w:t>
            </w:r>
          </w:p>
        </w:tc>
        <w:tc>
          <w:tcPr>
            <w:tcW w:w="365" w:type="pct"/>
            <w:vAlign w:val="center"/>
          </w:tcPr>
          <w:p w14:paraId="5521E93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0.468</w:t>
            </w:r>
          </w:p>
        </w:tc>
        <w:tc>
          <w:tcPr>
            <w:tcW w:w="367" w:type="pct"/>
            <w:gridSpan w:val="2"/>
            <w:vAlign w:val="center"/>
          </w:tcPr>
          <w:p w14:paraId="6E56613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0.527</w:t>
            </w:r>
          </w:p>
        </w:tc>
        <w:tc>
          <w:tcPr>
            <w:tcW w:w="367" w:type="pct"/>
            <w:gridSpan w:val="2"/>
            <w:vAlign w:val="center"/>
          </w:tcPr>
          <w:p w14:paraId="6C4EF39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0.603</w:t>
            </w:r>
          </w:p>
        </w:tc>
        <w:tc>
          <w:tcPr>
            <w:tcW w:w="372" w:type="pct"/>
            <w:gridSpan w:val="2"/>
            <w:vAlign w:val="center"/>
          </w:tcPr>
          <w:p w14:paraId="0026B44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0.697</w:t>
            </w:r>
          </w:p>
        </w:tc>
        <w:tc>
          <w:tcPr>
            <w:tcW w:w="366" w:type="pct"/>
            <w:gridSpan w:val="2"/>
            <w:vAlign w:val="center"/>
          </w:tcPr>
          <w:p w14:paraId="583F18E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0.468</w:t>
            </w:r>
          </w:p>
        </w:tc>
        <w:tc>
          <w:tcPr>
            <w:tcW w:w="366" w:type="pct"/>
            <w:gridSpan w:val="2"/>
            <w:vAlign w:val="center"/>
          </w:tcPr>
          <w:p w14:paraId="132F8F3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0.527</w:t>
            </w:r>
          </w:p>
        </w:tc>
        <w:tc>
          <w:tcPr>
            <w:tcW w:w="366" w:type="pct"/>
            <w:gridSpan w:val="2"/>
            <w:vAlign w:val="center"/>
          </w:tcPr>
          <w:p w14:paraId="5D780E5D">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0.603</w:t>
            </w:r>
          </w:p>
        </w:tc>
        <w:tc>
          <w:tcPr>
            <w:tcW w:w="371" w:type="pct"/>
            <w:gridSpan w:val="2"/>
            <w:vAlign w:val="center"/>
          </w:tcPr>
          <w:p w14:paraId="74C0F48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0.697</w:t>
            </w:r>
          </w:p>
        </w:tc>
        <w:tc>
          <w:tcPr>
            <w:tcW w:w="366" w:type="pct"/>
            <w:gridSpan w:val="2"/>
            <w:vAlign w:val="center"/>
          </w:tcPr>
          <w:p w14:paraId="08063AA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0.468</w:t>
            </w:r>
          </w:p>
        </w:tc>
        <w:tc>
          <w:tcPr>
            <w:tcW w:w="366" w:type="pct"/>
            <w:gridSpan w:val="2"/>
            <w:vAlign w:val="center"/>
          </w:tcPr>
          <w:p w14:paraId="6B3B2FD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0.527</w:t>
            </w:r>
          </w:p>
        </w:tc>
        <w:tc>
          <w:tcPr>
            <w:tcW w:w="366" w:type="pct"/>
            <w:gridSpan w:val="2"/>
            <w:vAlign w:val="center"/>
          </w:tcPr>
          <w:p w14:paraId="1BC2B8C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0.603</w:t>
            </w:r>
          </w:p>
        </w:tc>
        <w:tc>
          <w:tcPr>
            <w:tcW w:w="377" w:type="pct"/>
            <w:gridSpan w:val="2"/>
            <w:vAlign w:val="center"/>
          </w:tcPr>
          <w:p w14:paraId="62B92148">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0.697</w:t>
            </w:r>
          </w:p>
        </w:tc>
      </w:tr>
      <w:tr w14:paraId="058D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40FCAF4C">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0.8</w:t>
            </w:r>
          </w:p>
        </w:tc>
        <w:tc>
          <w:tcPr>
            <w:tcW w:w="365" w:type="pct"/>
            <w:vAlign w:val="center"/>
          </w:tcPr>
          <w:p w14:paraId="5B20C383">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0.387</w:t>
            </w:r>
          </w:p>
        </w:tc>
        <w:tc>
          <w:tcPr>
            <w:tcW w:w="367" w:type="pct"/>
            <w:gridSpan w:val="2"/>
            <w:vAlign w:val="center"/>
          </w:tcPr>
          <w:p w14:paraId="7ACA36A2">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0.447</w:t>
            </w:r>
          </w:p>
        </w:tc>
        <w:tc>
          <w:tcPr>
            <w:tcW w:w="367" w:type="pct"/>
            <w:gridSpan w:val="2"/>
            <w:vAlign w:val="center"/>
          </w:tcPr>
          <w:p w14:paraId="64E3ABE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0.526</w:t>
            </w:r>
          </w:p>
        </w:tc>
        <w:tc>
          <w:tcPr>
            <w:tcW w:w="372" w:type="pct"/>
            <w:gridSpan w:val="2"/>
            <w:vAlign w:val="center"/>
          </w:tcPr>
          <w:p w14:paraId="6578DBE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0.628</w:t>
            </w:r>
          </w:p>
        </w:tc>
        <w:tc>
          <w:tcPr>
            <w:tcW w:w="366" w:type="pct"/>
            <w:gridSpan w:val="2"/>
            <w:vAlign w:val="center"/>
          </w:tcPr>
          <w:p w14:paraId="3AEB50F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0.387</w:t>
            </w:r>
          </w:p>
        </w:tc>
        <w:tc>
          <w:tcPr>
            <w:tcW w:w="366" w:type="pct"/>
            <w:gridSpan w:val="2"/>
            <w:vAlign w:val="center"/>
          </w:tcPr>
          <w:p w14:paraId="2855519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0.447</w:t>
            </w:r>
          </w:p>
        </w:tc>
        <w:tc>
          <w:tcPr>
            <w:tcW w:w="366" w:type="pct"/>
            <w:gridSpan w:val="2"/>
            <w:vAlign w:val="center"/>
          </w:tcPr>
          <w:p w14:paraId="7DF4E17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0.526</w:t>
            </w:r>
          </w:p>
        </w:tc>
        <w:tc>
          <w:tcPr>
            <w:tcW w:w="371" w:type="pct"/>
            <w:gridSpan w:val="2"/>
            <w:vAlign w:val="center"/>
          </w:tcPr>
          <w:p w14:paraId="1D443C4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0.628</w:t>
            </w:r>
          </w:p>
        </w:tc>
        <w:tc>
          <w:tcPr>
            <w:tcW w:w="366" w:type="pct"/>
            <w:gridSpan w:val="2"/>
            <w:vAlign w:val="center"/>
          </w:tcPr>
          <w:p w14:paraId="3256101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0.387</w:t>
            </w:r>
          </w:p>
        </w:tc>
        <w:tc>
          <w:tcPr>
            <w:tcW w:w="366" w:type="pct"/>
            <w:gridSpan w:val="2"/>
            <w:vAlign w:val="center"/>
          </w:tcPr>
          <w:p w14:paraId="2E3DA71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0.477</w:t>
            </w:r>
          </w:p>
        </w:tc>
        <w:tc>
          <w:tcPr>
            <w:tcW w:w="366" w:type="pct"/>
            <w:gridSpan w:val="2"/>
            <w:vAlign w:val="center"/>
          </w:tcPr>
          <w:p w14:paraId="05D0B39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0.523</w:t>
            </w:r>
          </w:p>
        </w:tc>
        <w:tc>
          <w:tcPr>
            <w:tcW w:w="377" w:type="pct"/>
            <w:gridSpan w:val="2"/>
            <w:vAlign w:val="center"/>
          </w:tcPr>
          <w:p w14:paraId="1EC565A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0.628</w:t>
            </w:r>
          </w:p>
        </w:tc>
      </w:tr>
      <w:tr w14:paraId="3D13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77" w:type="pct"/>
            <w:vAlign w:val="center"/>
          </w:tcPr>
          <w:p w14:paraId="3C554727">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0.9</w:t>
            </w:r>
          </w:p>
        </w:tc>
        <w:tc>
          <w:tcPr>
            <w:tcW w:w="365" w:type="pct"/>
            <w:vAlign w:val="center"/>
          </w:tcPr>
          <w:p w14:paraId="31C4BBC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0.310</w:t>
            </w:r>
          </w:p>
        </w:tc>
        <w:tc>
          <w:tcPr>
            <w:tcW w:w="367" w:type="pct"/>
            <w:gridSpan w:val="2"/>
            <w:vAlign w:val="center"/>
          </w:tcPr>
          <w:p w14:paraId="0E192191">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0.368</w:t>
            </w:r>
          </w:p>
        </w:tc>
        <w:tc>
          <w:tcPr>
            <w:tcW w:w="367" w:type="pct"/>
            <w:gridSpan w:val="2"/>
            <w:vAlign w:val="center"/>
          </w:tcPr>
          <w:p w14:paraId="346021F6">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0.448</w:t>
            </w:r>
          </w:p>
        </w:tc>
        <w:tc>
          <w:tcPr>
            <w:tcW w:w="372" w:type="pct"/>
            <w:gridSpan w:val="2"/>
            <w:vAlign w:val="center"/>
          </w:tcPr>
          <w:p w14:paraId="67E87D5A">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0.555</w:t>
            </w:r>
          </w:p>
        </w:tc>
        <w:tc>
          <w:tcPr>
            <w:tcW w:w="366" w:type="pct"/>
            <w:gridSpan w:val="2"/>
            <w:vAlign w:val="center"/>
          </w:tcPr>
          <w:p w14:paraId="620789FE">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0.310</w:t>
            </w:r>
          </w:p>
        </w:tc>
        <w:tc>
          <w:tcPr>
            <w:tcW w:w="366" w:type="pct"/>
            <w:gridSpan w:val="2"/>
            <w:vAlign w:val="center"/>
          </w:tcPr>
          <w:p w14:paraId="2E6CB671">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0.368</w:t>
            </w:r>
          </w:p>
        </w:tc>
        <w:tc>
          <w:tcPr>
            <w:tcW w:w="366" w:type="pct"/>
            <w:gridSpan w:val="2"/>
            <w:vAlign w:val="center"/>
          </w:tcPr>
          <w:p w14:paraId="0830C740">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0.448</w:t>
            </w:r>
          </w:p>
        </w:tc>
        <w:tc>
          <w:tcPr>
            <w:tcW w:w="371" w:type="pct"/>
            <w:gridSpan w:val="2"/>
            <w:vAlign w:val="center"/>
          </w:tcPr>
          <w:p w14:paraId="008A53D5">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0.555</w:t>
            </w:r>
          </w:p>
        </w:tc>
        <w:tc>
          <w:tcPr>
            <w:tcW w:w="366" w:type="pct"/>
            <w:gridSpan w:val="2"/>
            <w:vAlign w:val="center"/>
          </w:tcPr>
          <w:p w14:paraId="6B83A1C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0.310</w:t>
            </w:r>
          </w:p>
        </w:tc>
        <w:tc>
          <w:tcPr>
            <w:tcW w:w="366" w:type="pct"/>
            <w:gridSpan w:val="2"/>
            <w:vAlign w:val="center"/>
          </w:tcPr>
          <w:p w14:paraId="28B40B5F">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0.368</w:t>
            </w:r>
          </w:p>
        </w:tc>
        <w:tc>
          <w:tcPr>
            <w:tcW w:w="366" w:type="pct"/>
            <w:gridSpan w:val="2"/>
            <w:vAlign w:val="center"/>
          </w:tcPr>
          <w:p w14:paraId="7319570B">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0.443</w:t>
            </w:r>
          </w:p>
        </w:tc>
        <w:tc>
          <w:tcPr>
            <w:tcW w:w="377" w:type="pct"/>
            <w:gridSpan w:val="2"/>
            <w:vAlign w:val="center"/>
          </w:tcPr>
          <w:p w14:paraId="49A11B64">
            <w:pPr>
              <w:autoSpaceDE w:val="0"/>
              <w:autoSpaceDN w:val="0"/>
              <w:spacing w:line="36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0.555</w:t>
            </w:r>
          </w:p>
        </w:tc>
      </w:tr>
      <w:tr w14:paraId="2F7A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exact"/>
        </w:trPr>
        <w:tc>
          <w:tcPr>
            <w:tcW w:w="5000" w:type="pct"/>
            <w:gridSpan w:val="24"/>
            <w:vAlign w:val="center"/>
          </w:tcPr>
          <w:p w14:paraId="57A372FF">
            <w:pPr>
              <w:autoSpaceDE w:val="0"/>
              <w:autoSpaceDN w:val="0"/>
              <w:ind w:firstLine="360" w:firstLineChars="20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position w:val="-10"/>
                <w:sz w:val="18"/>
                <w:szCs w:val="18"/>
                <w:highlight w:val="none"/>
                <w:lang w:val="en-US" w:eastAsia="zh-CN"/>
              </w:rPr>
              <w:object>
                <v:shape id="_x0000_i1039" o:spt="75" type="#_x0000_t75" style="height:11.65pt;width:10.9pt;" o:ole="t" filled="f" o:preferrelative="t" stroked="f" coordsize="21600,21600">
                  <v:path/>
                  <v:fill on="f" focussize="0,0"/>
                  <v:stroke on="f"/>
                  <v:imagedata r:id="rId66" o:title=""/>
                  <o:lock v:ext="edit" aspectratio="t"/>
                  <w10:wrap type="none"/>
                  <w10:anchorlock/>
                </v:shape>
                <o:OLEObject Type="Embed" ProgID="Equation.KSEE3" ShapeID="_x0000_i1039" DrawAspect="Content" ObjectID="_1468075740" r:id="rId68">
                  <o:LockedField>false</o:LockedField>
                </o:OLEObject>
              </w:object>
            </w:r>
            <w:r>
              <w:rPr>
                <w:rFonts w:hint="eastAsia" w:asciiTheme="minorEastAsia" w:hAnsiTheme="minorEastAsia" w:eastAsiaTheme="minorEastAsia" w:cstheme="minorEastAsia"/>
                <w:color w:val="auto"/>
                <w:sz w:val="18"/>
                <w:szCs w:val="18"/>
                <w:highlight w:val="none"/>
              </w:rPr>
              <w:t>—路堤填料的内摩擦角（°）。</w:t>
            </w:r>
          </w:p>
          <w:p w14:paraId="0D1991B5">
            <w:pPr>
              <w:autoSpaceDE w:val="0"/>
              <w:autoSpaceDN w:val="0"/>
              <w:ind w:firstLine="360" w:firstLineChars="20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Sa</w:t>
            </w:r>
            <w:r>
              <w:rPr>
                <w:rFonts w:hint="eastAsia" w:asciiTheme="minorEastAsia" w:hAnsiTheme="minorEastAsia" w:eastAsiaTheme="minorEastAsia" w:cstheme="minorEastAsia"/>
                <w:color w:val="auto"/>
                <w:sz w:val="18"/>
                <w:szCs w:val="18"/>
                <w:highlight w:val="none"/>
              </w:rPr>
              <w:t>—桩的中心间距（m）。</w:t>
            </w:r>
          </w:p>
          <w:p w14:paraId="2D94E2E0">
            <w:pPr>
              <w:autoSpaceDE w:val="0"/>
              <w:autoSpaceDN w:val="0"/>
              <w:ind w:firstLine="360" w:firstLineChars="20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B</w:t>
            </w:r>
            <w:r>
              <w:rPr>
                <w:rFonts w:hint="eastAsia" w:asciiTheme="minorEastAsia" w:hAnsiTheme="minorEastAsia" w:eastAsiaTheme="minorEastAsia" w:cstheme="minorEastAsia"/>
                <w:color w:val="auto"/>
                <w:sz w:val="18"/>
                <w:szCs w:val="18"/>
                <w:highlight w:val="none"/>
              </w:rPr>
              <w:t>—方形桩帽的边长或圆形桩帽的等效</w:t>
            </w:r>
            <w:r>
              <w:rPr>
                <w:rFonts w:hint="eastAsia" w:asciiTheme="minorEastAsia" w:hAnsiTheme="minorEastAsia" w:eastAsiaTheme="minorEastAsia" w:cstheme="minorEastAsia"/>
                <w:color w:val="auto"/>
                <w:sz w:val="18"/>
                <w:szCs w:val="18"/>
                <w:highlight w:val="none"/>
                <w:lang w:val="en-US" w:eastAsia="zh-CN"/>
              </w:rPr>
              <w:t>边长</w:t>
            </w:r>
            <w:r>
              <w:rPr>
                <w:rFonts w:hint="eastAsia" w:asciiTheme="minorEastAsia" w:hAnsiTheme="minorEastAsia" w:eastAsiaTheme="minorEastAsia" w:cstheme="minorEastAsia"/>
                <w:color w:val="auto"/>
                <w:sz w:val="18"/>
                <w:szCs w:val="18"/>
                <w:highlight w:val="none"/>
              </w:rPr>
              <w:t>（m）。</w:t>
            </w:r>
          </w:p>
          <w:p w14:paraId="3AED50D9">
            <w:pPr>
              <w:autoSpaceDE w:val="0"/>
              <w:autoSpaceDN w:val="0"/>
              <w:ind w:firstLine="360" w:firstLineChars="200"/>
              <w:rPr>
                <w:rFonts w:hint="default" w:ascii="Times New Roman" w:hAnsi="Times New Roman" w:eastAsia="宋体" w:cs="Times New Roman"/>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H</w:t>
            </w:r>
            <w:r>
              <w:rPr>
                <w:rFonts w:hint="eastAsia" w:asciiTheme="minorEastAsia" w:hAnsiTheme="minorEastAsia" w:eastAsiaTheme="minorEastAsia" w:cstheme="minorEastAsia"/>
                <w:color w:val="auto"/>
                <w:sz w:val="18"/>
                <w:szCs w:val="18"/>
                <w:highlight w:val="none"/>
              </w:rPr>
              <w:t>—路堤填筑高度（m）。</w:t>
            </w:r>
          </w:p>
        </w:tc>
      </w:tr>
    </w:tbl>
    <w:p w14:paraId="40C6123F">
      <w:pPr>
        <w:rPr>
          <w:rFonts w:ascii="Times New Roman" w:hAnsi="Times New Roman" w:cs="Times New Roman"/>
          <w:color w:val="auto"/>
          <w:highlight w:val="none"/>
        </w:rPr>
      </w:pPr>
    </w:p>
    <w:p w14:paraId="0B7710F9">
      <w:pPr>
        <w:widowControl/>
        <w:jc w:val="left"/>
        <w:rPr>
          <w:rFonts w:ascii="Times New Roman" w:hAnsi="Times New Roman" w:cs="Times New Roman"/>
          <w:color w:val="auto"/>
          <w:highlight w:val="none"/>
        </w:rPr>
      </w:pPr>
    </w:p>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610B9">
    <w:r>
      <w:rPr>
        <w:sz w:val="21"/>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99CBE">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9899CBE">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B2D1C">
    <w:pPr>
      <w:rPr>
        <w:sz w:val="24"/>
        <w:szCs w:val="24"/>
      </w:rPr>
    </w:pPr>
    <w:r>
      <w:rPr>
        <w:sz w:val="24"/>
        <w:szCs w:val="24"/>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B7538">
                          <w:pPr>
                            <w:pStyle w:val="11"/>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3EB7538">
                    <w:pPr>
                      <w:pStyle w:val="11"/>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86A96">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0A9E3">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420A9E3">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1F136">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A4375">
                          <w:pPr>
                            <w:pStyle w:val="1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BFA4375">
                    <w:pPr>
                      <w:pStyle w:val="1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1EC68">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C270E">
                          <w:pPr>
                            <w:pStyle w:val="1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3E7C270E">
                    <w:pPr>
                      <w:pStyle w:val="1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E953E">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F298F"/>
    <w:multiLevelType w:val="singleLevel"/>
    <w:tmpl w:val="882F298F"/>
    <w:lvl w:ilvl="0" w:tentative="0">
      <w:start w:val="1"/>
      <w:numFmt w:val="lowerLetter"/>
      <w:suff w:val="space"/>
      <w:lvlText w:val="%1)"/>
      <w:lvlJc w:val="left"/>
    </w:lvl>
  </w:abstractNum>
  <w:abstractNum w:abstractNumId="1">
    <w:nsid w:val="AA2EDFD9"/>
    <w:multiLevelType w:val="singleLevel"/>
    <w:tmpl w:val="AA2EDFD9"/>
    <w:lvl w:ilvl="0" w:tentative="0">
      <w:start w:val="1"/>
      <w:numFmt w:val="lowerLetter"/>
      <w:suff w:val="space"/>
      <w:lvlText w:val="%1）"/>
      <w:lvlJc w:val="left"/>
    </w:lvl>
  </w:abstractNum>
  <w:abstractNum w:abstractNumId="2">
    <w:nsid w:val="50F4E84A"/>
    <w:multiLevelType w:val="singleLevel"/>
    <w:tmpl w:val="50F4E84A"/>
    <w:lvl w:ilvl="0" w:tentative="0">
      <w:start w:val="2"/>
      <w:numFmt w:val="decimal"/>
      <w:suff w:val="nothing"/>
      <w:lvlText w:val="%1）"/>
      <w:lvlJc w:val="left"/>
    </w:lvl>
  </w:abstractNum>
  <w:abstractNum w:abstractNumId="3">
    <w:nsid w:val="7FB86F31"/>
    <w:multiLevelType w:val="singleLevel"/>
    <w:tmpl w:val="7FB86F31"/>
    <w:lvl w:ilvl="0" w:tentative="0">
      <w:start w:val="1"/>
      <w:numFmt w:val="lowerLetter"/>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EyszA3NDI2MbM0MDNR0lEKTi0uzszPAykwrAUA/Fa5ESwAAAA="/>
    <w:docVar w:name="commondata" w:val="eyJoZGlkIjoiNzRhYmU5YTM4Nzk2ZGZiYzg4MDA5YTAxOTJjMDVhNWMifQ=="/>
  </w:docVars>
  <w:rsids>
    <w:rsidRoot w:val="26D57A60"/>
    <w:rsid w:val="00022504"/>
    <w:rsid w:val="00022A33"/>
    <w:rsid w:val="000271BB"/>
    <w:rsid w:val="0003455F"/>
    <w:rsid w:val="00053A20"/>
    <w:rsid w:val="00067E74"/>
    <w:rsid w:val="00073DE9"/>
    <w:rsid w:val="000A0827"/>
    <w:rsid w:val="000B186D"/>
    <w:rsid w:val="000C02D6"/>
    <w:rsid w:val="000C32C6"/>
    <w:rsid w:val="000D70AA"/>
    <w:rsid w:val="000F6201"/>
    <w:rsid w:val="00107966"/>
    <w:rsid w:val="0012136D"/>
    <w:rsid w:val="0012798F"/>
    <w:rsid w:val="00164269"/>
    <w:rsid w:val="00165D96"/>
    <w:rsid w:val="001725D7"/>
    <w:rsid w:val="0017711E"/>
    <w:rsid w:val="001B0A90"/>
    <w:rsid w:val="001B0C84"/>
    <w:rsid w:val="001C7639"/>
    <w:rsid w:val="001E1279"/>
    <w:rsid w:val="001E6168"/>
    <w:rsid w:val="001E6D6B"/>
    <w:rsid w:val="001F667B"/>
    <w:rsid w:val="0020316A"/>
    <w:rsid w:val="00211510"/>
    <w:rsid w:val="00212AFD"/>
    <w:rsid w:val="002136D5"/>
    <w:rsid w:val="002159C3"/>
    <w:rsid w:val="002235EE"/>
    <w:rsid w:val="00240A65"/>
    <w:rsid w:val="00302D7C"/>
    <w:rsid w:val="0032127C"/>
    <w:rsid w:val="00324401"/>
    <w:rsid w:val="00330C63"/>
    <w:rsid w:val="00333ABE"/>
    <w:rsid w:val="00342F05"/>
    <w:rsid w:val="003469BB"/>
    <w:rsid w:val="003761FC"/>
    <w:rsid w:val="00392A36"/>
    <w:rsid w:val="00395168"/>
    <w:rsid w:val="003A623D"/>
    <w:rsid w:val="003D2B6D"/>
    <w:rsid w:val="003D79C4"/>
    <w:rsid w:val="003E62B8"/>
    <w:rsid w:val="00401D93"/>
    <w:rsid w:val="00402888"/>
    <w:rsid w:val="00412D60"/>
    <w:rsid w:val="004328B6"/>
    <w:rsid w:val="004339AE"/>
    <w:rsid w:val="00442208"/>
    <w:rsid w:val="004503FD"/>
    <w:rsid w:val="004508F4"/>
    <w:rsid w:val="00453C95"/>
    <w:rsid w:val="00457773"/>
    <w:rsid w:val="00473364"/>
    <w:rsid w:val="00477268"/>
    <w:rsid w:val="00487E2D"/>
    <w:rsid w:val="004954CD"/>
    <w:rsid w:val="004A53B2"/>
    <w:rsid w:val="004B5C0F"/>
    <w:rsid w:val="004B6DA6"/>
    <w:rsid w:val="004D0174"/>
    <w:rsid w:val="004D1B34"/>
    <w:rsid w:val="004D6150"/>
    <w:rsid w:val="004E184B"/>
    <w:rsid w:val="00505F89"/>
    <w:rsid w:val="00520DDB"/>
    <w:rsid w:val="005337C0"/>
    <w:rsid w:val="005651D6"/>
    <w:rsid w:val="005661F1"/>
    <w:rsid w:val="00566C59"/>
    <w:rsid w:val="0058430E"/>
    <w:rsid w:val="005975A1"/>
    <w:rsid w:val="005A5144"/>
    <w:rsid w:val="005C5C72"/>
    <w:rsid w:val="005D1A30"/>
    <w:rsid w:val="005D5B3D"/>
    <w:rsid w:val="005F15B3"/>
    <w:rsid w:val="005F3EC5"/>
    <w:rsid w:val="0061128E"/>
    <w:rsid w:val="00625ADF"/>
    <w:rsid w:val="006425C7"/>
    <w:rsid w:val="0064339A"/>
    <w:rsid w:val="00650E12"/>
    <w:rsid w:val="00653223"/>
    <w:rsid w:val="006728F8"/>
    <w:rsid w:val="00687138"/>
    <w:rsid w:val="0069165B"/>
    <w:rsid w:val="006B74ED"/>
    <w:rsid w:val="006C32CA"/>
    <w:rsid w:val="006D1FBD"/>
    <w:rsid w:val="006D484A"/>
    <w:rsid w:val="006D6B1D"/>
    <w:rsid w:val="006E0212"/>
    <w:rsid w:val="006E529E"/>
    <w:rsid w:val="006F0BBF"/>
    <w:rsid w:val="00700748"/>
    <w:rsid w:val="0070148B"/>
    <w:rsid w:val="0070559C"/>
    <w:rsid w:val="00717710"/>
    <w:rsid w:val="007272ED"/>
    <w:rsid w:val="00742059"/>
    <w:rsid w:val="00752521"/>
    <w:rsid w:val="007B119D"/>
    <w:rsid w:val="007C77FD"/>
    <w:rsid w:val="007D7CC7"/>
    <w:rsid w:val="007E1EF6"/>
    <w:rsid w:val="007E3D72"/>
    <w:rsid w:val="007F1374"/>
    <w:rsid w:val="008102F1"/>
    <w:rsid w:val="00823462"/>
    <w:rsid w:val="00823DFA"/>
    <w:rsid w:val="00847298"/>
    <w:rsid w:val="008572A5"/>
    <w:rsid w:val="00863721"/>
    <w:rsid w:val="00865050"/>
    <w:rsid w:val="00877CAA"/>
    <w:rsid w:val="00882D77"/>
    <w:rsid w:val="008866D0"/>
    <w:rsid w:val="00894694"/>
    <w:rsid w:val="008A2EC0"/>
    <w:rsid w:val="008A674C"/>
    <w:rsid w:val="008E05B7"/>
    <w:rsid w:val="008F6701"/>
    <w:rsid w:val="00917C3E"/>
    <w:rsid w:val="009364A3"/>
    <w:rsid w:val="009414D4"/>
    <w:rsid w:val="00955208"/>
    <w:rsid w:val="009641BE"/>
    <w:rsid w:val="00980504"/>
    <w:rsid w:val="00982A07"/>
    <w:rsid w:val="00992087"/>
    <w:rsid w:val="00994ADF"/>
    <w:rsid w:val="009A3FA8"/>
    <w:rsid w:val="009B0A31"/>
    <w:rsid w:val="009B36EC"/>
    <w:rsid w:val="009B413E"/>
    <w:rsid w:val="009B7604"/>
    <w:rsid w:val="009C073C"/>
    <w:rsid w:val="009D46FA"/>
    <w:rsid w:val="009F2DD8"/>
    <w:rsid w:val="00A071DF"/>
    <w:rsid w:val="00A102BA"/>
    <w:rsid w:val="00A1624A"/>
    <w:rsid w:val="00A419AE"/>
    <w:rsid w:val="00A512FC"/>
    <w:rsid w:val="00A544AC"/>
    <w:rsid w:val="00A57C71"/>
    <w:rsid w:val="00A600FB"/>
    <w:rsid w:val="00A616BC"/>
    <w:rsid w:val="00A632F8"/>
    <w:rsid w:val="00A65009"/>
    <w:rsid w:val="00A76453"/>
    <w:rsid w:val="00A965CC"/>
    <w:rsid w:val="00AA02EC"/>
    <w:rsid w:val="00AA4774"/>
    <w:rsid w:val="00AB2161"/>
    <w:rsid w:val="00AB36D3"/>
    <w:rsid w:val="00AD002C"/>
    <w:rsid w:val="00AE734B"/>
    <w:rsid w:val="00B14627"/>
    <w:rsid w:val="00B20A73"/>
    <w:rsid w:val="00B306A9"/>
    <w:rsid w:val="00B41981"/>
    <w:rsid w:val="00B451E5"/>
    <w:rsid w:val="00B46F74"/>
    <w:rsid w:val="00B47AD9"/>
    <w:rsid w:val="00B667B3"/>
    <w:rsid w:val="00B71217"/>
    <w:rsid w:val="00B72E19"/>
    <w:rsid w:val="00B77EBC"/>
    <w:rsid w:val="00B878F0"/>
    <w:rsid w:val="00BA5003"/>
    <w:rsid w:val="00BB2610"/>
    <w:rsid w:val="00BC6219"/>
    <w:rsid w:val="00BD24CB"/>
    <w:rsid w:val="00BF1114"/>
    <w:rsid w:val="00BF45B0"/>
    <w:rsid w:val="00BF6D36"/>
    <w:rsid w:val="00C144A6"/>
    <w:rsid w:val="00C27EDC"/>
    <w:rsid w:val="00C31261"/>
    <w:rsid w:val="00C35FB2"/>
    <w:rsid w:val="00C543A4"/>
    <w:rsid w:val="00C654F8"/>
    <w:rsid w:val="00C71405"/>
    <w:rsid w:val="00C73075"/>
    <w:rsid w:val="00C7593D"/>
    <w:rsid w:val="00C7630C"/>
    <w:rsid w:val="00C92ADA"/>
    <w:rsid w:val="00C973AD"/>
    <w:rsid w:val="00CC0124"/>
    <w:rsid w:val="00CC69FE"/>
    <w:rsid w:val="00CC7083"/>
    <w:rsid w:val="00D35D67"/>
    <w:rsid w:val="00D361EA"/>
    <w:rsid w:val="00D37DDB"/>
    <w:rsid w:val="00D441D8"/>
    <w:rsid w:val="00D51F35"/>
    <w:rsid w:val="00D63610"/>
    <w:rsid w:val="00D90EBA"/>
    <w:rsid w:val="00DB20C7"/>
    <w:rsid w:val="00DB591D"/>
    <w:rsid w:val="00DC11C0"/>
    <w:rsid w:val="00DF1418"/>
    <w:rsid w:val="00E11DFA"/>
    <w:rsid w:val="00E16B26"/>
    <w:rsid w:val="00E434E3"/>
    <w:rsid w:val="00E6053F"/>
    <w:rsid w:val="00E60A79"/>
    <w:rsid w:val="00E8479E"/>
    <w:rsid w:val="00E93DED"/>
    <w:rsid w:val="00EA59C5"/>
    <w:rsid w:val="00EA65F3"/>
    <w:rsid w:val="00EA6794"/>
    <w:rsid w:val="00EA7B76"/>
    <w:rsid w:val="00EC4D1C"/>
    <w:rsid w:val="00EE2083"/>
    <w:rsid w:val="00EF56AE"/>
    <w:rsid w:val="00F03D72"/>
    <w:rsid w:val="00F16FF6"/>
    <w:rsid w:val="00F57348"/>
    <w:rsid w:val="00F702A8"/>
    <w:rsid w:val="00F75EA0"/>
    <w:rsid w:val="00F81BCC"/>
    <w:rsid w:val="00F90487"/>
    <w:rsid w:val="00F95293"/>
    <w:rsid w:val="00FA3392"/>
    <w:rsid w:val="00FB4A51"/>
    <w:rsid w:val="00FB713C"/>
    <w:rsid w:val="00FB77A8"/>
    <w:rsid w:val="00FB7B91"/>
    <w:rsid w:val="00FD5B14"/>
    <w:rsid w:val="00FE000C"/>
    <w:rsid w:val="00FE7663"/>
    <w:rsid w:val="00FE7B46"/>
    <w:rsid w:val="00FF10A1"/>
    <w:rsid w:val="00FF6ED2"/>
    <w:rsid w:val="01DC20F2"/>
    <w:rsid w:val="01E27A17"/>
    <w:rsid w:val="03177D4A"/>
    <w:rsid w:val="037021FA"/>
    <w:rsid w:val="03F82FC0"/>
    <w:rsid w:val="0406304E"/>
    <w:rsid w:val="04402271"/>
    <w:rsid w:val="0467251E"/>
    <w:rsid w:val="04922A0A"/>
    <w:rsid w:val="04B03804"/>
    <w:rsid w:val="050621A1"/>
    <w:rsid w:val="05375A47"/>
    <w:rsid w:val="053F78FC"/>
    <w:rsid w:val="06324F19"/>
    <w:rsid w:val="06796F64"/>
    <w:rsid w:val="06A569FB"/>
    <w:rsid w:val="06BA455D"/>
    <w:rsid w:val="06F270BC"/>
    <w:rsid w:val="06FA15EF"/>
    <w:rsid w:val="07630750"/>
    <w:rsid w:val="0848623A"/>
    <w:rsid w:val="09CF6F30"/>
    <w:rsid w:val="09FB7366"/>
    <w:rsid w:val="0A2550D4"/>
    <w:rsid w:val="0A9D5D12"/>
    <w:rsid w:val="0B3B623E"/>
    <w:rsid w:val="0B753148"/>
    <w:rsid w:val="0BC1013B"/>
    <w:rsid w:val="0C21225A"/>
    <w:rsid w:val="0DBE0DD6"/>
    <w:rsid w:val="0DEA55DE"/>
    <w:rsid w:val="0E151127"/>
    <w:rsid w:val="0E15651D"/>
    <w:rsid w:val="0E1A71D2"/>
    <w:rsid w:val="0E811E04"/>
    <w:rsid w:val="1021564D"/>
    <w:rsid w:val="10795489"/>
    <w:rsid w:val="11643A43"/>
    <w:rsid w:val="12695089"/>
    <w:rsid w:val="12C467A0"/>
    <w:rsid w:val="12F63104"/>
    <w:rsid w:val="13191AAE"/>
    <w:rsid w:val="13921C56"/>
    <w:rsid w:val="13AC327F"/>
    <w:rsid w:val="13CA2696"/>
    <w:rsid w:val="14461796"/>
    <w:rsid w:val="145B55E2"/>
    <w:rsid w:val="1494035C"/>
    <w:rsid w:val="153E0A4F"/>
    <w:rsid w:val="15420546"/>
    <w:rsid w:val="155C4C9A"/>
    <w:rsid w:val="15A471CE"/>
    <w:rsid w:val="15B8273B"/>
    <w:rsid w:val="15EE5FD1"/>
    <w:rsid w:val="160B0931"/>
    <w:rsid w:val="16B06758"/>
    <w:rsid w:val="17AD6DF3"/>
    <w:rsid w:val="18561014"/>
    <w:rsid w:val="19345DCF"/>
    <w:rsid w:val="1A77646D"/>
    <w:rsid w:val="1A911621"/>
    <w:rsid w:val="1AB846E3"/>
    <w:rsid w:val="1AE622E9"/>
    <w:rsid w:val="1C4353EA"/>
    <w:rsid w:val="1D040BF2"/>
    <w:rsid w:val="1D0762A3"/>
    <w:rsid w:val="1D1F2F14"/>
    <w:rsid w:val="1D37200B"/>
    <w:rsid w:val="1D4209B0"/>
    <w:rsid w:val="1D887F4D"/>
    <w:rsid w:val="1DB3165B"/>
    <w:rsid w:val="1DFC7BD2"/>
    <w:rsid w:val="1E05210A"/>
    <w:rsid w:val="1EB1403F"/>
    <w:rsid w:val="1F7A4C9D"/>
    <w:rsid w:val="20FE3E1C"/>
    <w:rsid w:val="21025026"/>
    <w:rsid w:val="22BF62A8"/>
    <w:rsid w:val="23DB077E"/>
    <w:rsid w:val="241F4C61"/>
    <w:rsid w:val="243A273A"/>
    <w:rsid w:val="257F2606"/>
    <w:rsid w:val="264834DB"/>
    <w:rsid w:val="268F4C66"/>
    <w:rsid w:val="26C4691C"/>
    <w:rsid w:val="26D57A60"/>
    <w:rsid w:val="27883745"/>
    <w:rsid w:val="28397580"/>
    <w:rsid w:val="291447E9"/>
    <w:rsid w:val="293D446A"/>
    <w:rsid w:val="29F809F3"/>
    <w:rsid w:val="2A2A175B"/>
    <w:rsid w:val="2B247FB0"/>
    <w:rsid w:val="2B39284F"/>
    <w:rsid w:val="2B877BA1"/>
    <w:rsid w:val="2BA72A52"/>
    <w:rsid w:val="2BC17995"/>
    <w:rsid w:val="2BEF7F55"/>
    <w:rsid w:val="2C3167C0"/>
    <w:rsid w:val="2C471B3F"/>
    <w:rsid w:val="2C622F7D"/>
    <w:rsid w:val="2C815051"/>
    <w:rsid w:val="2C8219C0"/>
    <w:rsid w:val="2CB216AE"/>
    <w:rsid w:val="2E29122C"/>
    <w:rsid w:val="2E3E59CE"/>
    <w:rsid w:val="2EAD0576"/>
    <w:rsid w:val="2F0C2163"/>
    <w:rsid w:val="3062430B"/>
    <w:rsid w:val="307D0225"/>
    <w:rsid w:val="31161FE3"/>
    <w:rsid w:val="312863E3"/>
    <w:rsid w:val="318178A1"/>
    <w:rsid w:val="31E068D2"/>
    <w:rsid w:val="334260EE"/>
    <w:rsid w:val="343523B0"/>
    <w:rsid w:val="34CE54F3"/>
    <w:rsid w:val="34F41174"/>
    <w:rsid w:val="3553493B"/>
    <w:rsid w:val="35617A50"/>
    <w:rsid w:val="35935DF5"/>
    <w:rsid w:val="35990D56"/>
    <w:rsid w:val="35F33FF1"/>
    <w:rsid w:val="371C198B"/>
    <w:rsid w:val="37871D70"/>
    <w:rsid w:val="384C2A77"/>
    <w:rsid w:val="39B21096"/>
    <w:rsid w:val="3A35391F"/>
    <w:rsid w:val="3AA7427D"/>
    <w:rsid w:val="3ADD023E"/>
    <w:rsid w:val="3CE07B72"/>
    <w:rsid w:val="3D66645D"/>
    <w:rsid w:val="3D79652E"/>
    <w:rsid w:val="3D9105AA"/>
    <w:rsid w:val="3E08433F"/>
    <w:rsid w:val="3E80785E"/>
    <w:rsid w:val="3EB47508"/>
    <w:rsid w:val="3FA07A8C"/>
    <w:rsid w:val="3FC14ACD"/>
    <w:rsid w:val="3FE91CE3"/>
    <w:rsid w:val="400001F1"/>
    <w:rsid w:val="40122F97"/>
    <w:rsid w:val="402D59C2"/>
    <w:rsid w:val="406E1939"/>
    <w:rsid w:val="41583042"/>
    <w:rsid w:val="41AF28BA"/>
    <w:rsid w:val="4240207A"/>
    <w:rsid w:val="42432124"/>
    <w:rsid w:val="43937591"/>
    <w:rsid w:val="439B0C97"/>
    <w:rsid w:val="43D036D5"/>
    <w:rsid w:val="43EC32A0"/>
    <w:rsid w:val="44A24031"/>
    <w:rsid w:val="454F5D75"/>
    <w:rsid w:val="45B40365"/>
    <w:rsid w:val="45C34DD1"/>
    <w:rsid w:val="45F96148"/>
    <w:rsid w:val="46760F2A"/>
    <w:rsid w:val="4678706D"/>
    <w:rsid w:val="478A3D07"/>
    <w:rsid w:val="48322A39"/>
    <w:rsid w:val="48934632"/>
    <w:rsid w:val="4927126A"/>
    <w:rsid w:val="4A1E26ED"/>
    <w:rsid w:val="4AE0280A"/>
    <w:rsid w:val="4B022EEE"/>
    <w:rsid w:val="4B1D4687"/>
    <w:rsid w:val="4B2D53A0"/>
    <w:rsid w:val="4B364C8A"/>
    <w:rsid w:val="4B9D37F0"/>
    <w:rsid w:val="4BAC3B81"/>
    <w:rsid w:val="4BC845F3"/>
    <w:rsid w:val="4BD2038B"/>
    <w:rsid w:val="4C7327B1"/>
    <w:rsid w:val="4CFA4C80"/>
    <w:rsid w:val="4D3F2693"/>
    <w:rsid w:val="4DA7365D"/>
    <w:rsid w:val="4DCE555B"/>
    <w:rsid w:val="4E5C71E0"/>
    <w:rsid w:val="4E5D7351"/>
    <w:rsid w:val="4E710F72"/>
    <w:rsid w:val="4F5B42C3"/>
    <w:rsid w:val="4F5C3712"/>
    <w:rsid w:val="4F6E54B1"/>
    <w:rsid w:val="50812FC2"/>
    <w:rsid w:val="50BB26FE"/>
    <w:rsid w:val="50ED2406"/>
    <w:rsid w:val="51121655"/>
    <w:rsid w:val="51D30EFA"/>
    <w:rsid w:val="51D73191"/>
    <w:rsid w:val="51F17F8E"/>
    <w:rsid w:val="52072893"/>
    <w:rsid w:val="525C7843"/>
    <w:rsid w:val="52E368FA"/>
    <w:rsid w:val="54596FEF"/>
    <w:rsid w:val="54642EF2"/>
    <w:rsid w:val="54E43C08"/>
    <w:rsid w:val="55630CC2"/>
    <w:rsid w:val="55BE0BC9"/>
    <w:rsid w:val="55C2665B"/>
    <w:rsid w:val="56116525"/>
    <w:rsid w:val="562A4416"/>
    <w:rsid w:val="563805C7"/>
    <w:rsid w:val="56425DB3"/>
    <w:rsid w:val="56C00298"/>
    <w:rsid w:val="56CA4455"/>
    <w:rsid w:val="57521214"/>
    <w:rsid w:val="57B72390"/>
    <w:rsid w:val="57BD027A"/>
    <w:rsid w:val="58315CB6"/>
    <w:rsid w:val="59A63514"/>
    <w:rsid w:val="5A953F48"/>
    <w:rsid w:val="5B084A0C"/>
    <w:rsid w:val="5B4C3193"/>
    <w:rsid w:val="5BC30933"/>
    <w:rsid w:val="5C074CC3"/>
    <w:rsid w:val="5C383BEC"/>
    <w:rsid w:val="5C403597"/>
    <w:rsid w:val="5CED3632"/>
    <w:rsid w:val="5D834128"/>
    <w:rsid w:val="5EFA28BD"/>
    <w:rsid w:val="5F0C439F"/>
    <w:rsid w:val="5FF243D8"/>
    <w:rsid w:val="608D0C7B"/>
    <w:rsid w:val="60A056BD"/>
    <w:rsid w:val="60B63147"/>
    <w:rsid w:val="610417D1"/>
    <w:rsid w:val="619D4372"/>
    <w:rsid w:val="61A60ADB"/>
    <w:rsid w:val="626369CC"/>
    <w:rsid w:val="631B2097"/>
    <w:rsid w:val="63D77671"/>
    <w:rsid w:val="64D92E87"/>
    <w:rsid w:val="65803915"/>
    <w:rsid w:val="6594733F"/>
    <w:rsid w:val="67303DFA"/>
    <w:rsid w:val="6747066A"/>
    <w:rsid w:val="6751773B"/>
    <w:rsid w:val="67DD4B2A"/>
    <w:rsid w:val="67E45EB9"/>
    <w:rsid w:val="6837248C"/>
    <w:rsid w:val="688C5BC9"/>
    <w:rsid w:val="690F6F65"/>
    <w:rsid w:val="69C97A5C"/>
    <w:rsid w:val="6A0E2B8D"/>
    <w:rsid w:val="6A501EEA"/>
    <w:rsid w:val="6AB204F0"/>
    <w:rsid w:val="6AE146F1"/>
    <w:rsid w:val="6B750019"/>
    <w:rsid w:val="6C763D3D"/>
    <w:rsid w:val="6DFF3A4C"/>
    <w:rsid w:val="6E32382F"/>
    <w:rsid w:val="6E434C69"/>
    <w:rsid w:val="6ED053E9"/>
    <w:rsid w:val="6F871F4B"/>
    <w:rsid w:val="70CF6CC6"/>
    <w:rsid w:val="71CE20ED"/>
    <w:rsid w:val="71D074AE"/>
    <w:rsid w:val="71DE1BCB"/>
    <w:rsid w:val="71FB43B2"/>
    <w:rsid w:val="727730A2"/>
    <w:rsid w:val="72B34E05"/>
    <w:rsid w:val="72D82ABE"/>
    <w:rsid w:val="73076472"/>
    <w:rsid w:val="7400407A"/>
    <w:rsid w:val="75BE5576"/>
    <w:rsid w:val="75C31803"/>
    <w:rsid w:val="75ED4AD2"/>
    <w:rsid w:val="763E5F76"/>
    <w:rsid w:val="76A2766B"/>
    <w:rsid w:val="77073F9D"/>
    <w:rsid w:val="772A15C6"/>
    <w:rsid w:val="7792004D"/>
    <w:rsid w:val="781A76D5"/>
    <w:rsid w:val="781B75E7"/>
    <w:rsid w:val="784A1D68"/>
    <w:rsid w:val="78CE0BEB"/>
    <w:rsid w:val="79404F19"/>
    <w:rsid w:val="79E24E87"/>
    <w:rsid w:val="7A543372"/>
    <w:rsid w:val="7A61374C"/>
    <w:rsid w:val="7A9255DA"/>
    <w:rsid w:val="7B407CEB"/>
    <w:rsid w:val="7B926AB5"/>
    <w:rsid w:val="7D016C80"/>
    <w:rsid w:val="7D7349BE"/>
    <w:rsid w:val="7DBD7E58"/>
    <w:rsid w:val="7E760DBD"/>
    <w:rsid w:val="7E8F467E"/>
    <w:rsid w:val="7E955D07"/>
    <w:rsid w:val="7EA67F14"/>
    <w:rsid w:val="7F2E6FD2"/>
    <w:rsid w:val="7F590AE3"/>
    <w:rsid w:val="7F7F5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0"/>
    <w:qFormat/>
    <w:uiPriority w:val="0"/>
    <w:pPr>
      <w:keepNext/>
      <w:keepLines/>
      <w:spacing w:before="340" w:after="330" w:line="576" w:lineRule="auto"/>
      <w:outlineLvl w:val="0"/>
    </w:pPr>
    <w:rPr>
      <w:b/>
      <w:kern w:val="44"/>
      <w:sz w:val="44"/>
    </w:rPr>
  </w:style>
  <w:style w:type="paragraph" w:styleId="3">
    <w:name w:val="heading 2"/>
    <w:basedOn w:val="1"/>
    <w:next w:val="1"/>
    <w:link w:val="22"/>
    <w:semiHidden/>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3"/>
    <w:autoRedefine/>
    <w:semiHidden/>
    <w:unhideWhenUsed/>
    <w:qFormat/>
    <w:uiPriority w:val="0"/>
    <w:pPr>
      <w:keepNext/>
      <w:keepLines/>
      <w:widowControl/>
      <w:spacing w:after="32" w:line="264" w:lineRule="auto"/>
      <w:ind w:left="432" w:hanging="10"/>
      <w:jc w:val="left"/>
      <w:outlineLvl w:val="2"/>
    </w:pPr>
    <w:rPr>
      <w:rFonts w:hint="eastAsia" w:ascii="微软雅黑" w:hAnsi="微软雅黑" w:eastAsia="微软雅黑" w:cs="Times New Roman"/>
      <w:color w:val="000000"/>
      <w:sz w:val="30"/>
      <w:szCs w:val="22"/>
    </w:rPr>
  </w:style>
  <w:style w:type="paragraph" w:styleId="5">
    <w:name w:val="heading 4"/>
    <w:basedOn w:val="1"/>
    <w:next w:val="1"/>
    <w:link w:val="19"/>
    <w:autoRedefine/>
    <w:semiHidden/>
    <w:unhideWhenUsed/>
    <w:qFormat/>
    <w:uiPriority w:val="0"/>
    <w:pPr>
      <w:keepNext/>
      <w:keepLines/>
      <w:widowControl/>
      <w:spacing w:after="4" w:line="264" w:lineRule="auto"/>
      <w:ind w:left="303" w:hanging="10"/>
      <w:jc w:val="left"/>
      <w:outlineLvl w:val="3"/>
    </w:pPr>
    <w:rPr>
      <w:rFonts w:hint="eastAsia" w:ascii="微软雅黑" w:hAnsi="微软雅黑" w:eastAsia="微软雅黑" w:cs="Times New Roman"/>
      <w:color w:val="000000"/>
      <w:sz w:val="22"/>
      <w:szCs w:val="22"/>
    </w:rPr>
  </w:style>
  <w:style w:type="paragraph" w:styleId="6">
    <w:name w:val="heading 5"/>
    <w:basedOn w:val="1"/>
    <w:next w:val="1"/>
    <w:link w:val="24"/>
    <w:autoRedefine/>
    <w:semiHidden/>
    <w:unhideWhenUsed/>
    <w:qFormat/>
    <w:uiPriority w:val="0"/>
    <w:pPr>
      <w:keepNext/>
      <w:keepLines/>
      <w:widowControl/>
      <w:spacing w:line="256" w:lineRule="auto"/>
      <w:ind w:left="10" w:hanging="10"/>
      <w:jc w:val="right"/>
      <w:outlineLvl w:val="4"/>
    </w:pPr>
    <w:rPr>
      <w:rFonts w:hint="eastAsia" w:ascii="微软雅黑" w:hAnsi="微软雅黑" w:eastAsia="微软雅黑" w:cs="Times New Roman"/>
      <w:color w:val="000000"/>
      <w:sz w:val="24"/>
      <w:szCs w:val="22"/>
    </w:rPr>
  </w:style>
  <w:style w:type="paragraph" w:styleId="7">
    <w:name w:val="heading 6"/>
    <w:basedOn w:val="1"/>
    <w:next w:val="1"/>
    <w:link w:val="25"/>
    <w:autoRedefine/>
    <w:semiHidden/>
    <w:unhideWhenUsed/>
    <w:qFormat/>
    <w:uiPriority w:val="0"/>
    <w:pPr>
      <w:keepNext/>
      <w:keepLines/>
      <w:widowControl/>
      <w:spacing w:after="4" w:line="264" w:lineRule="auto"/>
      <w:ind w:left="303" w:hanging="10"/>
      <w:jc w:val="left"/>
      <w:outlineLvl w:val="5"/>
    </w:pPr>
    <w:rPr>
      <w:rFonts w:hint="eastAsia" w:ascii="微软雅黑" w:hAnsi="微软雅黑" w:eastAsia="微软雅黑" w:cs="Times New Roman"/>
      <w:color w:val="000000"/>
      <w:sz w:val="22"/>
      <w:szCs w:val="22"/>
    </w:rPr>
  </w:style>
  <w:style w:type="character" w:default="1" w:styleId="17">
    <w:name w:val="Default Paragraph Font"/>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Body Text"/>
    <w:basedOn w:val="1"/>
    <w:autoRedefine/>
    <w:qFormat/>
    <w:uiPriority w:val="1"/>
    <w:rPr>
      <w:rFonts w:ascii="宋体" w:hAnsi="宋体" w:eastAsia="宋体" w:cs="宋体"/>
      <w:sz w:val="20"/>
      <w:szCs w:val="20"/>
    </w:rPr>
  </w:style>
  <w:style w:type="paragraph" w:styleId="9">
    <w:name w:val="Date"/>
    <w:basedOn w:val="1"/>
    <w:next w:val="1"/>
    <w:link w:val="33"/>
    <w:qFormat/>
    <w:uiPriority w:val="0"/>
    <w:pPr>
      <w:ind w:left="100" w:leftChars="2500"/>
    </w:pPr>
  </w:style>
  <w:style w:type="paragraph" w:styleId="10">
    <w:name w:val="Balloon Text"/>
    <w:basedOn w:val="1"/>
    <w:link w:val="34"/>
    <w:autoRedefine/>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39"/>
  </w:style>
  <w:style w:type="paragraph" w:styleId="14">
    <w:name w:val="toc 2"/>
    <w:basedOn w:val="1"/>
    <w:next w:val="1"/>
    <w:qFormat/>
    <w:uiPriority w:val="39"/>
    <w:pPr>
      <w:ind w:left="420" w:leftChars="20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563C1" w:themeColor="hyperlink"/>
      <w:u w:val="single"/>
      <w14:textFill>
        <w14:solidFill>
          <w14:schemeClr w14:val="hlink"/>
        </w14:solidFill>
      </w14:textFill>
    </w:rPr>
  </w:style>
  <w:style w:type="character" w:customStyle="1" w:styleId="19">
    <w:name w:val="标题 4 字符"/>
    <w:basedOn w:val="17"/>
    <w:link w:val="5"/>
    <w:qFormat/>
    <w:uiPriority w:val="0"/>
    <w:rPr>
      <w:rFonts w:hint="eastAsia" w:ascii="微软雅黑" w:hAnsi="微软雅黑" w:eastAsia="微软雅黑" w:cs="微软雅黑"/>
      <w:color w:val="000000"/>
      <w:sz w:val="22"/>
    </w:rPr>
  </w:style>
  <w:style w:type="character" w:customStyle="1" w:styleId="20">
    <w:name w:val="标题 1 字符"/>
    <w:basedOn w:val="17"/>
    <w:link w:val="2"/>
    <w:qFormat/>
    <w:uiPriority w:val="0"/>
    <w:rPr>
      <w:rFonts w:hint="eastAsia" w:ascii="微软雅黑" w:hAnsi="微软雅黑" w:eastAsia="微软雅黑" w:cs="微软雅黑"/>
      <w:color w:val="000000"/>
      <w:sz w:val="60"/>
    </w:rPr>
  </w:style>
  <w:style w:type="character" w:customStyle="1" w:styleId="21">
    <w:name w:val="footnote description Char"/>
    <w:basedOn w:val="17"/>
    <w:autoRedefine/>
    <w:qFormat/>
    <w:uiPriority w:val="0"/>
    <w:rPr>
      <w:rFonts w:hint="eastAsia" w:ascii="微软雅黑" w:hAnsi="微软雅黑" w:eastAsia="微软雅黑" w:cs="微软雅黑"/>
      <w:color w:val="000000"/>
      <w:sz w:val="26"/>
      <w:u w:val="single" w:color="000000"/>
    </w:rPr>
  </w:style>
  <w:style w:type="character" w:customStyle="1" w:styleId="22">
    <w:name w:val="标题 2 字符"/>
    <w:basedOn w:val="17"/>
    <w:link w:val="3"/>
    <w:autoRedefine/>
    <w:qFormat/>
    <w:uiPriority w:val="0"/>
    <w:rPr>
      <w:rFonts w:hint="eastAsia" w:ascii="微软雅黑" w:hAnsi="微软雅黑" w:eastAsia="微软雅黑" w:cs="微软雅黑"/>
      <w:color w:val="000000"/>
      <w:sz w:val="50"/>
    </w:rPr>
  </w:style>
  <w:style w:type="character" w:customStyle="1" w:styleId="23">
    <w:name w:val="标题 3 字符"/>
    <w:basedOn w:val="17"/>
    <w:link w:val="4"/>
    <w:autoRedefine/>
    <w:qFormat/>
    <w:uiPriority w:val="0"/>
    <w:rPr>
      <w:rFonts w:hint="eastAsia" w:ascii="微软雅黑" w:hAnsi="微软雅黑" w:eastAsia="微软雅黑" w:cs="微软雅黑"/>
      <w:color w:val="000000"/>
      <w:sz w:val="30"/>
    </w:rPr>
  </w:style>
  <w:style w:type="character" w:customStyle="1" w:styleId="24">
    <w:name w:val="标题 5 字符"/>
    <w:basedOn w:val="17"/>
    <w:link w:val="6"/>
    <w:autoRedefine/>
    <w:qFormat/>
    <w:uiPriority w:val="0"/>
    <w:rPr>
      <w:rFonts w:hint="eastAsia" w:ascii="微软雅黑" w:hAnsi="微软雅黑" w:eastAsia="微软雅黑" w:cs="微软雅黑"/>
      <w:color w:val="000000"/>
      <w:sz w:val="24"/>
    </w:rPr>
  </w:style>
  <w:style w:type="character" w:customStyle="1" w:styleId="25">
    <w:name w:val="标题 6 字符"/>
    <w:basedOn w:val="17"/>
    <w:link w:val="7"/>
    <w:autoRedefine/>
    <w:qFormat/>
    <w:uiPriority w:val="0"/>
    <w:rPr>
      <w:rFonts w:hint="eastAsia" w:ascii="微软雅黑" w:hAnsi="微软雅黑" w:eastAsia="微软雅黑" w:cs="微软雅黑"/>
      <w:color w:val="000000"/>
      <w:sz w:val="22"/>
    </w:rPr>
  </w:style>
  <w:style w:type="character" w:customStyle="1" w:styleId="26">
    <w:name w:val="footnote mark"/>
    <w:basedOn w:val="17"/>
    <w:qFormat/>
    <w:uiPriority w:val="0"/>
    <w:rPr>
      <w:rFonts w:hint="eastAsia" w:ascii="微软雅黑" w:hAnsi="微软雅黑" w:eastAsia="微软雅黑" w:cs="微软雅黑"/>
      <w:color w:val="000000"/>
      <w:sz w:val="28"/>
      <w:u w:val="single" w:color="000000"/>
      <w:vertAlign w:val="superscript"/>
    </w:rPr>
  </w:style>
  <w:style w:type="table" w:customStyle="1" w:styleId="27">
    <w:name w:val="TableGrid"/>
    <w:basedOn w:val="15"/>
    <w:qFormat/>
    <w:uiPriority w:val="0"/>
    <w:rPr>
      <w:rFonts w:hint="eastAsia" w:ascii="等线" w:hAnsi="等线" w:eastAsia="等线" w:cs="等线"/>
      <w:kern w:val="2"/>
      <w:sz w:val="21"/>
      <w:szCs w:val="22"/>
    </w:rPr>
    <w:tblPr>
      <w:tblCellMar>
        <w:left w:w="0" w:type="dxa"/>
        <w:right w:w="0" w:type="dxa"/>
      </w:tblCellMar>
    </w:tbl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0">
    <w:name w:val="二级条标题"/>
    <w:basedOn w:val="31"/>
    <w:next w:val="32"/>
    <w:autoRedefine/>
    <w:qFormat/>
    <w:uiPriority w:val="0"/>
    <w:pPr>
      <w:widowControl/>
      <w:tabs>
        <w:tab w:val="left" w:pos="0"/>
      </w:tabs>
      <w:spacing w:beforeLines="50" w:afterLines="50" w:line="360" w:lineRule="auto"/>
      <w:outlineLvl w:val="3"/>
    </w:pPr>
    <w:rPr>
      <w:rFonts w:ascii="黑体" w:hAnsi="黑体" w:eastAsia="黑体" w:cs="Calibri"/>
      <w:kern w:val="0"/>
      <w:szCs w:val="21"/>
    </w:rPr>
  </w:style>
  <w:style w:type="paragraph" w:customStyle="1" w:styleId="31">
    <w:name w:val="一级条标题"/>
    <w:next w:val="32"/>
    <w:autoRedefine/>
    <w:qFormat/>
    <w:uiPriority w:val="0"/>
    <w:pPr>
      <w:tabs>
        <w:tab w:val="left" w:pos="0"/>
      </w:tabs>
      <w:spacing w:beforeLines="50" w:afterLines="50" w:line="360" w:lineRule="auto"/>
      <w:jc w:val="both"/>
      <w:outlineLvl w:val="2"/>
    </w:pPr>
    <w:rPr>
      <w:rFonts w:ascii="黑体" w:hAnsi="黑体" w:eastAsia="黑体" w:cs="Calibri"/>
      <w:b/>
      <w:sz w:val="21"/>
      <w:szCs w:val="21"/>
      <w:lang w:val="en-US" w:eastAsia="zh-CN" w:bidi="ar-SA"/>
    </w:rPr>
  </w:style>
  <w:style w:type="paragraph" w:customStyle="1" w:styleId="3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Calibri"/>
      <w:sz w:val="21"/>
      <w:lang w:val="en-US" w:eastAsia="zh-CN" w:bidi="ar-SA"/>
    </w:rPr>
  </w:style>
  <w:style w:type="character" w:customStyle="1" w:styleId="33">
    <w:name w:val="日期 字符"/>
    <w:basedOn w:val="17"/>
    <w:link w:val="9"/>
    <w:qFormat/>
    <w:uiPriority w:val="0"/>
    <w:rPr>
      <w:rFonts w:asciiTheme="minorHAnsi" w:hAnsiTheme="minorHAnsi" w:eastAsiaTheme="minorEastAsia" w:cstheme="minorBidi"/>
      <w:kern w:val="2"/>
      <w:sz w:val="21"/>
      <w:szCs w:val="24"/>
    </w:rPr>
  </w:style>
  <w:style w:type="character" w:customStyle="1" w:styleId="34">
    <w:name w:val="批注框文本 字符"/>
    <w:basedOn w:val="17"/>
    <w:link w:val="10"/>
    <w:autoRedefine/>
    <w:qFormat/>
    <w:uiPriority w:val="0"/>
    <w:rPr>
      <w:rFonts w:asciiTheme="minorHAnsi" w:hAnsiTheme="minorHAnsi" w:eastAsiaTheme="minorEastAsia" w:cstheme="minorBidi"/>
      <w:kern w:val="2"/>
      <w:sz w:val="18"/>
      <w:szCs w:val="18"/>
    </w:rPr>
  </w:style>
  <w:style w:type="table" w:customStyle="1" w:styleId="35">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4.xml"/><Relationship Id="rId69" Type="http://schemas.openxmlformats.org/officeDocument/2006/relationships/customXml" Target="../customXml/item1.xml"/><Relationship Id="rId68" Type="http://schemas.openxmlformats.org/officeDocument/2006/relationships/oleObject" Target="embeddings/oleObject16.bin"/><Relationship Id="rId67" Type="http://schemas.openxmlformats.org/officeDocument/2006/relationships/oleObject" Target="embeddings/oleObject15.bin"/><Relationship Id="rId66" Type="http://schemas.openxmlformats.org/officeDocument/2006/relationships/image" Target="media/image43.wmf"/><Relationship Id="rId65" Type="http://schemas.openxmlformats.org/officeDocument/2006/relationships/oleObject" Target="embeddings/oleObject14.bin"/><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wmf"/><Relationship Id="rId6" Type="http://schemas.openxmlformats.org/officeDocument/2006/relationships/header" Target="header1.xml"/><Relationship Id="rId59" Type="http://schemas.openxmlformats.org/officeDocument/2006/relationships/oleObject" Target="embeddings/oleObject13.bin"/><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wmf"/><Relationship Id="rId51" Type="http://schemas.openxmlformats.org/officeDocument/2006/relationships/oleObject" Target="embeddings/oleObject12.bin"/><Relationship Id="rId50" Type="http://schemas.openxmlformats.org/officeDocument/2006/relationships/image" Target="media/image30.png"/><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wmf"/><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image" Target="media/image9.wmf"/><Relationship Id="rId27" Type="http://schemas.openxmlformats.org/officeDocument/2006/relationships/oleObject" Target="embeddings/oleObject10.bin"/><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oleObject" Target="embeddings/oleObject9.bin"/><Relationship Id="rId23" Type="http://schemas.openxmlformats.org/officeDocument/2006/relationships/oleObject" Target="embeddings/oleObject8.bin"/><Relationship Id="rId22" Type="http://schemas.openxmlformats.org/officeDocument/2006/relationships/oleObject" Target="embeddings/oleObject7.bin"/><Relationship Id="rId21" Type="http://schemas.openxmlformats.org/officeDocument/2006/relationships/oleObject" Target="embeddings/oleObject6.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wmf"/><Relationship Id="rId17" Type="http://schemas.openxmlformats.org/officeDocument/2006/relationships/image" Target="media/image4.w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3324</Words>
  <Characters>4145</Characters>
  <Lines>395</Lines>
  <Paragraphs>111</Paragraphs>
  <TotalTime>22</TotalTime>
  <ScaleCrop>false</ScaleCrop>
  <LinksUpToDate>false</LinksUpToDate>
  <CharactersWithSpaces>4457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2024-07-01T01:15:00Z</dcterms:created>
  <dc:creator>谢金生</dc:creator>
  <cp:lastModifiedBy>鹰击长空</cp:lastModifiedBy>
  <cp:lastPrinted>2024-06-29T02:10:00Z</cp:lastPrinted>
  <dcterms:modified xsi:type="dcterms:W3CDTF">2025-04-08T03:29:14Z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A18CF4149E4C469E9456FC2A2F1E12F7_13</vt:lpwstr>
  </property>
  <property fmtid="{D5CDD505-2E9C-101B-9397-08002B2CF9AE}" pid="4" name="KSOTemplateDocerSaveRecord">
    <vt:lpwstr>eyJoZGlkIjoiNzRhYmU5YTM4Nzk2ZGZiYzg4MDA5YTAxOTJjMDVhNWMiLCJ1c2VySWQiOiI2NTkxNjUwOTIifQ==</vt:lpwstr>
  </property>
</Properties>
</file>