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2B6689">
      <w:pPr>
        <w:pStyle w:val="126"/>
      </w:pPr>
      <w:r>
        <w:rPr>
          <w:rFonts w:ascii="Times New Roman"/>
        </w:rPr>
        <w:t>ICS</w:t>
      </w:r>
      <w:r>
        <w:rPr>
          <w:rFonts w:hAnsi="黑体"/>
        </w:rPr>
        <w:t> </w:t>
      </w:r>
      <w:r>
        <w:t xml:space="preserve">65.020.01 </w:t>
      </w:r>
    </w:p>
    <w:p w14:paraId="51E59CE4">
      <w:pPr>
        <w:pStyle w:val="126"/>
      </w:pPr>
      <w:r>
        <w:t xml:space="preserve">B 05 </w:t>
      </w:r>
    </w:p>
    <w:tbl>
      <w:tblPr>
        <w:tblStyle w:val="35"/>
        <w:tblW w:w="96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638"/>
      </w:tblGrid>
      <w:tr w14:paraId="584E4F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8" w:type="dxa"/>
            <w:tcBorders>
              <w:top w:val="nil"/>
              <w:left w:val="nil"/>
              <w:bottom w:val="nil"/>
              <w:right w:val="nil"/>
            </w:tcBorders>
            <w:shd w:val="clear" w:color="auto" w:fill="auto"/>
          </w:tcPr>
          <w:p w14:paraId="2616725E">
            <w:pPr>
              <w:pStyle w:val="126"/>
            </w:pPr>
            <w:r>
              <mc:AlternateContent>
                <mc:Choice Requires="wps">
                  <w:drawing>
                    <wp:anchor distT="0" distB="0" distL="0" distR="0" simplePos="0" relativeHeight="251659264" behindDoc="1" locked="0" layoutInCell="1" allowOverlap="1">
                      <wp:simplePos x="0" y="0"/>
                      <wp:positionH relativeFrom="column">
                        <wp:posOffset>-66040</wp:posOffset>
                      </wp:positionH>
                      <wp:positionV relativeFrom="paragraph">
                        <wp:posOffset>0</wp:posOffset>
                      </wp:positionV>
                      <wp:extent cx="710565" cy="161925"/>
                      <wp:effectExtent l="0" t="0" r="13334" b="9525"/>
                      <wp:wrapNone/>
                      <wp:docPr id="1026" name="BAH"/>
                      <wp:cNvGraphicFramePr/>
                      <a:graphic xmlns:a="http://schemas.openxmlformats.org/drawingml/2006/main">
                        <a:graphicData uri="http://schemas.microsoft.com/office/word/2010/wordprocessingShape">
                          <wps:wsp>
                            <wps:cNvSpPr/>
                            <wps:spPr>
                              <a:xfrm>
                                <a:off x="0" y="0"/>
                                <a:ext cx="710565" cy="161925"/>
                              </a:xfrm>
                              <a:prstGeom prst="rect">
                                <a:avLst/>
                              </a:prstGeom>
                              <a:solidFill>
                                <a:srgbClr val="FFFFFF"/>
                              </a:solidFill>
                              <a:ln>
                                <a:noFill/>
                              </a:ln>
                            </wps:spPr>
                            <wps:bodyPr/>
                          </wps:wsp>
                        </a:graphicData>
                      </a:graphic>
                    </wp:anchor>
                  </w:drawing>
                </mc:Choice>
                <mc:Fallback>
                  <w:pict>
                    <v:rect id="BAH" o:spid="_x0000_s1026" o:spt="1" style="position:absolute;left:0pt;margin-left:-5.2pt;margin-top:0pt;height:12.75pt;width:55.95pt;z-index:-251657216;mso-width-relative:page;mso-height-relative:page;" fillcolor="#FFFFFF" filled="t" stroked="f" coordsize="21600,21600" o:gfxdata="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">
                      <v:fill on="t" focussize="0,0"/>
                      <v:stroke on="f"/>
                      <v:imagedata o:title=""/>
                      <o:lock v:ext="edit" aspectratio="f"/>
                    </v:rect>
                  </w:pict>
                </mc:Fallback>
              </mc:AlternateContent>
            </w:r>
          </w:p>
        </w:tc>
      </w:tr>
    </w:tbl>
    <w:p w14:paraId="456DD23F">
      <w:pPr>
        <w:pStyle w:val="112"/>
      </w:pPr>
      <w:r>
        <w:t>DB</w:t>
      </w:r>
      <w:bookmarkStart w:id="0" w:name="c3"/>
      <w:r>
        <w:t>13</w:t>
      </w:r>
      <w:bookmarkEnd w:id="0"/>
    </w:p>
    <w:p w14:paraId="55C150FF">
      <w:pPr>
        <w:pStyle w:val="113"/>
      </w:pPr>
      <w:r>
        <w:rPr>
          <w:rFonts w:hint="eastAsia"/>
        </w:rPr>
        <w:t>河北省地方标准</w:t>
      </w:r>
    </w:p>
    <w:p w14:paraId="2A4DF6E4">
      <w:pPr>
        <w:pStyle w:val="50"/>
        <w:rPr>
          <w:rFonts w:hAnsi="黑体"/>
        </w:rPr>
      </w:pPr>
      <w:r>
        <w:rPr>
          <w:rFonts w:ascii="Times New Roman"/>
        </w:rPr>
        <w:t xml:space="preserve">DB </w:t>
      </w:r>
      <w:bookmarkStart w:id="1" w:name="StdNo0"/>
      <w:r>
        <w:rPr>
          <w:rFonts w:hAnsi="黑体"/>
        </w:rPr>
        <w:fldChar w:fldCharType="begin">
          <w:ffData>
            <w:enabled/>
            <w:calcOnExit w:val="0"/>
            <w:textInput/>
          </w:ffData>
        </w:fldChar>
      </w:r>
      <w:r>
        <w:rPr>
          <w:rFonts w:hAnsi="黑体"/>
        </w:rPr>
        <w:instrText xml:space="preserve"> FORMTEXT </w:instrText>
      </w:r>
      <w:r>
        <w:rPr>
          <w:rFonts w:hAnsi="黑体"/>
        </w:rPr>
        <w:fldChar w:fldCharType="separate"/>
      </w:r>
      <w:r>
        <w:rPr>
          <w:rFonts w:hAnsi="黑体"/>
        </w:rPr>
        <w:t>13</w:t>
      </w:r>
      <w:r>
        <w:rPr>
          <w:rFonts w:hAnsi="黑体"/>
        </w:rPr>
        <w:fldChar w:fldCharType="end"/>
      </w:r>
      <w:bookmarkEnd w:id="1"/>
      <w:r>
        <w:rPr>
          <w:rFonts w:hint="eastAsia" w:hAnsi="黑体"/>
          <w:lang w:val="en-US" w:eastAsia="zh-CN"/>
        </w:rPr>
        <w:t xml:space="preserve">  </w:t>
      </w:r>
      <w:r>
        <w:rPr>
          <w:rFonts w:hAnsi="黑体"/>
        </w:rPr>
        <w:t xml:space="preserve">/T </w:t>
      </w:r>
      <w:r>
        <w:rPr>
          <w:rFonts w:hAnsi="黑体"/>
        </w:rPr>
        <w:fldChar w:fldCharType="begin">
          <w:ffData>
            <w:enabled/>
            <w:calcOnExit w:val="0"/>
            <w:textInput/>
          </w:ffData>
        </w:fldChar>
      </w:r>
      <w:bookmarkStart w:id="2" w:name="StdNo1"/>
      <w:r>
        <w:rPr>
          <w:rFonts w:hAnsi="黑体"/>
        </w:rPr>
        <w:instrText xml:space="preserve"> FORMTEXT </w:instrText>
      </w:r>
      <w:r>
        <w:rPr>
          <w:rFonts w:hAnsi="黑体"/>
        </w:rPr>
        <w:fldChar w:fldCharType="separate"/>
      </w:r>
      <w:r>
        <w:rPr>
          <w:rFonts w:hAnsi="黑体"/>
        </w:rPr>
        <w:t>XXXX</w:t>
      </w:r>
      <w:r>
        <w:rPr>
          <w:rFonts w:hAnsi="黑体"/>
        </w:rPr>
        <w:fldChar w:fldCharType="end"/>
      </w:r>
      <w:bookmarkEnd w:id="2"/>
      <w:r>
        <w:rPr>
          <w:rFonts w:hAnsi="黑体"/>
        </w:rPr>
        <w:t>—</w:t>
      </w:r>
      <w:bookmarkStart w:id="3" w:name="StdNo2"/>
      <w:r>
        <w:rPr>
          <w:rFonts w:hAnsi="黑体"/>
        </w:rPr>
        <w:fldChar w:fldCharType="begin">
          <w:ffData>
            <w:enabled/>
            <w:calcOnExit w:val="0"/>
            <w:textInput/>
          </w:ffData>
        </w:fldChar>
      </w:r>
      <w:r>
        <w:rPr>
          <w:rFonts w:hAnsi="黑体"/>
        </w:rPr>
        <w:instrText xml:space="preserve"> FORMTEXT </w:instrText>
      </w:r>
      <w:r>
        <w:rPr>
          <w:rFonts w:hAnsi="黑体"/>
        </w:rPr>
        <w:fldChar w:fldCharType="separate"/>
      </w:r>
      <w:r>
        <w:rPr>
          <w:rFonts w:hAnsi="黑体"/>
        </w:rPr>
        <w:t>XXXX</w:t>
      </w:r>
      <w:r>
        <w:rPr>
          <w:rFonts w:hAnsi="黑体"/>
        </w:rPr>
        <w:fldChar w:fldCharType="end"/>
      </w:r>
      <w:bookmarkEnd w:id="3"/>
    </w:p>
    <w:tbl>
      <w:tblPr>
        <w:tblStyle w:val="35"/>
        <w:tblW w:w="914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140"/>
      </w:tblGrid>
      <w:tr w14:paraId="429388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140" w:type="dxa"/>
            <w:tcBorders>
              <w:top w:val="nil"/>
              <w:left w:val="nil"/>
              <w:bottom w:val="nil"/>
              <w:right w:val="nil"/>
            </w:tcBorders>
            <w:shd w:val="clear" w:color="auto" w:fill="auto"/>
          </w:tcPr>
          <w:p w14:paraId="597CAF3D">
            <w:pPr>
              <w:pStyle w:val="79"/>
            </w:pPr>
            <w:bookmarkStart w:id="4" w:name="DT"/>
            <w:r>
              <mc:AlternateContent>
                <mc:Choice Requires="wps">
                  <w:drawing>
                    <wp:anchor distT="0" distB="0" distL="0" distR="0" simplePos="0" relativeHeight="251659264" behindDoc="1" locked="0" layoutInCell="1" allowOverlap="1">
                      <wp:simplePos x="0" y="0"/>
                      <wp:positionH relativeFrom="column">
                        <wp:posOffset>4734560</wp:posOffset>
                      </wp:positionH>
                      <wp:positionV relativeFrom="paragraph">
                        <wp:posOffset>34290</wp:posOffset>
                      </wp:positionV>
                      <wp:extent cx="982980" cy="196215"/>
                      <wp:effectExtent l="0" t="0" r="7620" b="13334"/>
                      <wp:wrapNone/>
                      <wp:docPr id="1027" name="DT"/>
                      <wp:cNvGraphicFramePr/>
                      <a:graphic xmlns:a="http://schemas.openxmlformats.org/drawingml/2006/main">
                        <a:graphicData uri="http://schemas.microsoft.com/office/word/2010/wordprocessingShape">
                          <wps:wsp>
                            <wps:cNvSpPr/>
                            <wps:spPr>
                              <a:xfrm>
                                <a:off x="0" y="0"/>
                                <a:ext cx="982979" cy="196215"/>
                              </a:xfrm>
                              <a:prstGeom prst="rect">
                                <a:avLst/>
                              </a:prstGeom>
                              <a:solidFill>
                                <a:srgbClr val="FFFFFF"/>
                              </a:solidFill>
                              <a:ln>
                                <a:noFill/>
                              </a:ln>
                            </wps:spPr>
                            <wps:bodyPr/>
                          </wps:wsp>
                        </a:graphicData>
                      </a:graphic>
                    </wp:anchor>
                  </w:drawing>
                </mc:Choice>
                <mc:Fallback>
                  <w:pict>
                    <v:rect id="DT" o:spid="_x0000_s1026" o:spt="1" style="position:absolute;left:0pt;margin-left:372.8pt;margin-top:2.7pt;height:15.45pt;width:77.4pt;z-index:-251657216;mso-width-relative:page;mso-height-relative:page;" fillcolor="#FFFFFF" filled="t" stroked="f" coordsize="21600,21600" o:gfxdata="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">
                      <v:fill on="t" focussize="0,0"/>
                      <v:stroke on="f"/>
                      <v:imagedata o:title=""/>
                      <o:lock v:ext="edit" aspectratio="f"/>
                    </v:rect>
                  </w:pict>
                </mc:Fallback>
              </mc:AlternateContent>
            </w:r>
            <w:r>
              <w:fldChar w:fldCharType="begin">
                <w:ffData>
                  <w:enabled/>
                  <w:calcOnExit w:val="0"/>
                  <w:textInput/>
                </w:ffData>
              </w:fldChar>
            </w:r>
            <w:r>
              <w:instrText xml:space="preserve"> FORMTEXT </w:instrText>
            </w:r>
            <w:r>
              <w:fldChar w:fldCharType="separate"/>
            </w:r>
            <w:r>
              <w:t>     </w:t>
            </w:r>
            <w:r>
              <w:fldChar w:fldCharType="end"/>
            </w:r>
            <w:bookmarkEnd w:id="4"/>
          </w:p>
        </w:tc>
      </w:tr>
    </w:tbl>
    <w:p w14:paraId="1599ED82">
      <w:pPr>
        <w:pStyle w:val="50"/>
        <w:rPr>
          <w:rFonts w:hAnsi="黑体"/>
        </w:rPr>
      </w:pPr>
    </w:p>
    <w:p w14:paraId="62367701">
      <w:pPr>
        <w:pStyle w:val="50"/>
        <w:rPr>
          <w:rFonts w:hAnsi="黑体"/>
        </w:rPr>
      </w:pPr>
    </w:p>
    <w:p w14:paraId="491D5047">
      <w:pPr>
        <w:pStyle w:val="81"/>
      </w:pPr>
      <w:r>
        <w:rPr>
          <w:rFonts w:hint="eastAsia"/>
          <w:sz w:val="48"/>
          <w:szCs w:val="48"/>
        </w:rPr>
        <w:t>高标准农田信息化建设实施指南</w:t>
      </w:r>
    </w:p>
    <w:p w14:paraId="57DD069B">
      <w:pPr>
        <w:pStyle w:val="82"/>
      </w:pPr>
    </w:p>
    <w:p w14:paraId="4E39A41C">
      <w:pPr>
        <w:pStyle w:val="83"/>
      </w:pPr>
    </w:p>
    <w:tbl>
      <w:tblPr>
        <w:tblStyle w:val="35"/>
        <w:tblW w:w="96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639"/>
      </w:tblGrid>
      <w:tr w14:paraId="06DCA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9" w:type="dxa"/>
            <w:tcBorders>
              <w:top w:val="nil"/>
              <w:left w:val="nil"/>
              <w:bottom w:val="nil"/>
              <w:right w:val="nil"/>
            </w:tcBorders>
            <w:shd w:val="clear" w:color="auto" w:fill="auto"/>
          </w:tcPr>
          <w:p w14:paraId="0CA83265">
            <w:pPr>
              <w:pStyle w:val="84"/>
              <w:jc w:val="both"/>
            </w:pPr>
            <w:r>
              <mc:AlternateContent>
                <mc:Choice Requires="wps">
                  <w:drawing>
                    <wp:anchor distT="0" distB="0" distL="0" distR="0" simplePos="0" relativeHeight="251659264" behindDoc="1" locked="1" layoutInCell="1" allowOverlap="1">
                      <wp:simplePos x="0" y="0"/>
                      <wp:positionH relativeFrom="column">
                        <wp:posOffset>2200910</wp:posOffset>
                      </wp:positionH>
                      <wp:positionV relativeFrom="paragraph">
                        <wp:posOffset>573405</wp:posOffset>
                      </wp:positionV>
                      <wp:extent cx="1562100" cy="208280"/>
                      <wp:effectExtent l="0" t="0" r="0" b="1270"/>
                      <wp:wrapNone/>
                      <wp:docPr id="1028" name="RQ"/>
                      <wp:cNvGraphicFramePr/>
                      <a:graphic xmlns:a="http://schemas.openxmlformats.org/drawingml/2006/main">
                        <a:graphicData uri="http://schemas.microsoft.com/office/word/2010/wordprocessingShape">
                          <wps:wsp>
                            <wps:cNvSpPr/>
                            <wps:spPr>
                              <a:xfrm>
                                <a:off x="0" y="0"/>
                                <a:ext cx="1562099" cy="208280"/>
                              </a:xfrm>
                              <a:prstGeom prst="rect">
                                <a:avLst/>
                              </a:prstGeom>
                              <a:solidFill>
                                <a:srgbClr val="FFFFFF"/>
                              </a:solidFill>
                              <a:ln>
                                <a:noFill/>
                              </a:ln>
                            </wps:spPr>
                            <wps:bodyPr/>
                          </wps:wsp>
                        </a:graphicData>
                      </a:graphic>
                    </wp:anchor>
                  </w:drawing>
                </mc:Choice>
                <mc:Fallback>
                  <w:pict>
                    <v:rect id="RQ" o:spid="_x0000_s1026" o:spt="1" style="position:absolute;left:0pt;margin-left:173.3pt;margin-top:45.15pt;height:16.4pt;width:123pt;z-index:-251657216;mso-width-relative:page;mso-height-relative:page;" fillcolor="#FFFFFF" filled="t" stroked="f" coordsize="21600,21600" o:gfxdata="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CtrumfXAAAACgEAAA8AAAAAAAAAAQAg&#10;AAAAIgAAAGRycy9kb3ducmV2LnhtbFBLAQIUABQAAAAIAIdO4kAhIUtenQEAAFADAAAOAAAAAAAA&#10;AAEAIAAAACYBAABkcnMvZTJvRG9jLnhtbFBLBQYAAAAABgAGAFkBAAA1BQAAAAA=&#10;">
                      <v:fill on="t" focussize="0,0"/>
                      <v:stroke on="f"/>
                      <v:imagedata o:title=""/>
                      <o:lock v:ext="edit" aspectratio="f"/>
                      <w10:anchorlock/>
                    </v:rect>
                  </w:pict>
                </mc:Fallback>
              </mc:AlternateContent>
            </w:r>
            <w:r>
              <mc:AlternateContent>
                <mc:Choice Requires="wps">
                  <w:drawing>
                    <wp:anchor distT="0" distB="0" distL="0" distR="0" simplePos="0" relativeHeight="251659264" behindDoc="1" locked="0" layoutInCell="1" allowOverlap="1">
                      <wp:simplePos x="0" y="0"/>
                      <wp:positionH relativeFrom="column">
                        <wp:posOffset>2454910</wp:posOffset>
                      </wp:positionH>
                      <wp:positionV relativeFrom="paragraph">
                        <wp:posOffset>255905</wp:posOffset>
                      </wp:positionV>
                      <wp:extent cx="1041400" cy="249555"/>
                      <wp:effectExtent l="0" t="0" r="6350" b="17145"/>
                      <wp:wrapNone/>
                      <wp:docPr id="1029" name="LB"/>
                      <wp:cNvGraphicFramePr/>
                      <a:graphic xmlns:a="http://schemas.openxmlformats.org/drawingml/2006/main">
                        <a:graphicData uri="http://schemas.microsoft.com/office/word/2010/wordprocessingShape">
                          <wps:wsp>
                            <wps:cNvSpPr/>
                            <wps:spPr>
                              <a:xfrm>
                                <a:off x="0" y="0"/>
                                <a:ext cx="1041399" cy="249555"/>
                              </a:xfrm>
                              <a:prstGeom prst="rect">
                                <a:avLst/>
                              </a:prstGeom>
                              <a:solidFill>
                                <a:srgbClr val="FFFFFF"/>
                              </a:solidFill>
                              <a:ln>
                                <a:noFill/>
                              </a:ln>
                            </wps:spPr>
                            <wps:bodyPr/>
                          </wps:wsp>
                        </a:graphicData>
                      </a:graphic>
                    </wp:anchor>
                  </w:drawing>
                </mc:Choice>
                <mc:Fallback>
                  <w:pict>
                    <v:rect id="LB" o:spid="_x0000_s1026" o:spt="1" style="position:absolute;left:0pt;margin-left:193.3pt;margin-top:20.15pt;height:19.65pt;width:82pt;z-index:-251657216;mso-width-relative:page;mso-height-relative:page;" fillcolor="#FFFFFF" filled="t" stroked="f" coordsize="21600,21600" o:gfxdata="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">
                      <v:fill on="t" focussize="0,0"/>
                      <v:stroke on="f"/>
                      <v:imagedata o:title=""/>
                      <o:lock v:ext="edit" aspectratio="f"/>
                    </v:rect>
                  </w:pict>
                </mc:Fallback>
              </mc:AlternateContent>
            </w:r>
          </w:p>
        </w:tc>
      </w:tr>
      <w:tr w14:paraId="010314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639" w:type="dxa"/>
            <w:tcBorders>
              <w:top w:val="nil"/>
              <w:left w:val="nil"/>
              <w:bottom w:val="nil"/>
              <w:right w:val="nil"/>
            </w:tcBorders>
            <w:shd w:val="clear" w:color="auto" w:fill="auto"/>
          </w:tcPr>
          <w:p w14:paraId="0883880C">
            <w:pPr>
              <w:pStyle w:val="85"/>
            </w:pPr>
          </w:p>
        </w:tc>
      </w:tr>
    </w:tbl>
    <w:p w14:paraId="36C3A74A">
      <w:pPr>
        <w:pStyle w:val="134"/>
        <w:framePr w:hAnchor="page" w:x="1396" w:y="14191"/>
      </w:pPr>
      <w:bookmarkStart w:id="5" w:name="FY"/>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5"/>
      <w:r>
        <w:rPr>
          <w:rFonts w:ascii="黑体"/>
        </w:rPr>
        <w:t>-</w:t>
      </w:r>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r>
        <w:rPr>
          <w:rFonts w:ascii="黑体"/>
        </w:rPr>
        <w:t>-</w:t>
      </w:r>
      <w:bookmarkStart w:id="6" w:name="FD"/>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6"/>
      <w:r>
        <w:rPr>
          <w:rFonts w:hint="eastAsia"/>
        </w:rPr>
        <w:t>发布</w:t>
      </w:r>
    </w:p>
    <w:p w14:paraId="074F00AA">
      <w:pPr>
        <w:pStyle w:val="135"/>
        <w:framePr w:hAnchor="page" w:x="7066" w:y="14116"/>
      </w:pPr>
      <w:bookmarkStart w:id="7" w:name="SY"/>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XXXX</w:t>
      </w:r>
      <w:r>
        <w:rPr>
          <w:rFonts w:ascii="黑体"/>
        </w:rPr>
        <w:fldChar w:fldCharType="end"/>
      </w:r>
      <w:bookmarkEnd w:id="7"/>
      <w:r>
        <w:rPr>
          <w:rFonts w:ascii="黑体"/>
        </w:rPr>
        <w:t>-</w:t>
      </w:r>
      <w:bookmarkStart w:id="8" w:name="SM"/>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8"/>
      <w:r>
        <w:rPr>
          <w:rFonts w:ascii="黑体"/>
        </w:rPr>
        <w:t>-</w:t>
      </w:r>
      <w:bookmarkStart w:id="9" w:name="SD"/>
      <w:r>
        <w:rPr>
          <w:rFonts w:ascii="黑体"/>
        </w:rPr>
        <w:fldChar w:fldCharType="begin">
          <w:ffData>
            <w:enabled/>
            <w:calcOnExit w:val="0"/>
            <w:textInput/>
          </w:ffData>
        </w:fldChar>
      </w:r>
      <w:r>
        <w:rPr>
          <w:rFonts w:ascii="黑体"/>
        </w:rPr>
        <w:instrText xml:space="preserve"> FORMTEXT </w:instrText>
      </w:r>
      <w:r>
        <w:rPr>
          <w:rFonts w:ascii="黑体"/>
        </w:rPr>
        <w:fldChar w:fldCharType="separate"/>
      </w:r>
      <w:r>
        <w:rPr>
          <w:rFonts w:ascii="黑体"/>
        </w:rPr>
        <w:t>XX</w:t>
      </w:r>
      <w:r>
        <w:rPr>
          <w:rFonts w:ascii="黑体"/>
        </w:rPr>
        <w:fldChar w:fldCharType="end"/>
      </w:r>
      <w:bookmarkEnd w:id="9"/>
      <w:r>
        <w:rPr>
          <w:rFonts w:hint="eastAsia"/>
        </w:rPr>
        <w:t>实施</w:t>
      </w:r>
    </w:p>
    <w:p w14:paraId="37295C3B">
      <w:pPr>
        <w:pStyle w:val="114"/>
      </w:pPr>
      <w:bookmarkStart w:id="10" w:name="fm"/>
      <w:r>
        <w:rPr>
          <w:rFonts w:hint="eastAsia"/>
        </w:rPr>
        <w:t>河北省</w:t>
      </w:r>
      <w:r>
        <w:t>市场监督管理局</w:t>
      </w:r>
      <w:bookmarkEnd w:id="10"/>
      <w:r>
        <w:rPr>
          <w:rFonts w:hAnsi="黑体"/>
        </w:rPr>
        <w:t>   </w:t>
      </w:r>
      <w:r>
        <w:rPr>
          <w:rStyle w:val="76"/>
          <w:rFonts w:hint="eastAsia"/>
        </w:rPr>
        <w:t>发布</w:t>
      </w:r>
    </w:p>
    <w:p w14:paraId="621F4D40">
      <w:pPr>
        <w:pStyle w:val="25"/>
        <w:sectPr>
          <w:pgSz w:w="11906" w:h="16838"/>
          <w:pgMar w:top="567" w:right="850" w:bottom="1134" w:left="1418" w:header="0" w:footer="0" w:gutter="0"/>
          <w:pgNumType w:start="1"/>
          <w:cols w:space="425" w:num="1"/>
          <w:docGrid w:type="lines" w:linePitch="312" w:charSpace="0"/>
        </w:sectPr>
      </w:pPr>
      <w:r>
        <mc:AlternateContent>
          <mc:Choice Requires="wps">
            <w:drawing>
              <wp:anchor distT="0" distB="0" distL="0" distR="0" simplePos="0" relativeHeight="251659264" behindDoc="0" locked="0" layoutInCell="1" allowOverlap="1">
                <wp:simplePos x="0" y="0"/>
                <wp:positionH relativeFrom="column">
                  <wp:posOffset>-635</wp:posOffset>
                </wp:positionH>
                <wp:positionV relativeFrom="paragraph">
                  <wp:posOffset>9046210</wp:posOffset>
                </wp:positionV>
                <wp:extent cx="6062980" cy="0"/>
                <wp:effectExtent l="0" t="0" r="0" b="0"/>
                <wp:wrapNone/>
                <wp:docPr id="1030" name="Line 11"/>
                <wp:cNvGraphicFramePr/>
                <a:graphic xmlns:a="http://schemas.openxmlformats.org/drawingml/2006/main">
                  <a:graphicData uri="http://schemas.microsoft.com/office/word/2010/wordprocessingShape">
                    <wps:wsp>
                      <wps:cNvCnPr/>
                      <wps:spPr>
                        <a:xfrm>
                          <a:off x="0" y="0"/>
                          <a:ext cx="6062980" cy="0"/>
                        </a:xfrm>
                        <a:prstGeom prst="line">
                          <a:avLst/>
                        </a:prstGeom>
                        <a:ln w="9525" cap="flat" cmpd="sng">
                          <a:solidFill>
                            <a:srgbClr val="000000"/>
                          </a:solidFill>
                          <a:prstDash val="solid"/>
                          <a:round/>
                        </a:ln>
                      </wps:spPr>
                      <wps:bodyPr/>
                    </wps:wsp>
                  </a:graphicData>
                </a:graphic>
              </wp:anchor>
            </w:drawing>
          </mc:Choice>
          <mc:Fallback>
            <w:pict>
              <v:line id="Line 11" o:spid="_x0000_s1026" o:spt="20" style="position:absolute;left:0pt;margin-left:-0.05pt;margin-top:712.3pt;height:0pt;width:477.4pt;z-index:251659264;mso-width-relative:page;mso-height-relative:page;" filled="f" stroked="t" coordsize="21600,21600" o:gfxdata="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NOIVz1gAAAAsBAAAPAAAAAAAAAAEAIAAAACIAAABkcnMvZG93bnJldi54bWxQSwECFAAU&#10;AAAACACHTuJACACfZroBAACHAwAADgAAAAAAAAABACAAAAAlAQAAZHJzL2Uyb0RvYy54bWxQSwUG&#10;AAAAAAYABgBZAQAAUQUAAAAA&#10;">
                <v:fill on="f" focussize="0,0"/>
                <v:stroke color="#000000" joinstyle="round"/>
                <v:imagedata o:title=""/>
                <o:lock v:ext="edit" aspectratio="f"/>
              </v:line>
            </w:pict>
          </mc:Fallback>
        </mc:AlternateContent>
      </w:r>
      <w:r>
        <mc:AlternateContent>
          <mc:Choice Requires="wps">
            <w:drawing>
              <wp:anchor distT="0" distB="0" distL="0" distR="0" simplePos="0" relativeHeight="251659264" behindDoc="0" locked="0" layoutInCell="1" allowOverlap="1">
                <wp:simplePos x="0" y="0"/>
                <wp:positionH relativeFrom="column">
                  <wp:posOffset>0</wp:posOffset>
                </wp:positionH>
                <wp:positionV relativeFrom="paragraph">
                  <wp:posOffset>2339340</wp:posOffset>
                </wp:positionV>
                <wp:extent cx="6062980" cy="0"/>
                <wp:effectExtent l="0" t="0" r="0" b="0"/>
                <wp:wrapNone/>
                <wp:docPr id="1031" name="Line 11"/>
                <wp:cNvGraphicFramePr/>
                <a:graphic xmlns:a="http://schemas.openxmlformats.org/drawingml/2006/main">
                  <a:graphicData uri="http://schemas.microsoft.com/office/word/2010/wordprocessingShape">
                    <wps:wsp>
                      <wps:cNvCnPr/>
                      <wps:spPr>
                        <a:xfrm>
                          <a:off x="0" y="0"/>
                          <a:ext cx="6062980" cy="0"/>
                        </a:xfrm>
                        <a:prstGeom prst="line">
                          <a:avLst/>
                        </a:prstGeom>
                        <a:ln w="9525" cap="flat" cmpd="sng">
                          <a:solidFill>
                            <a:srgbClr val="000000"/>
                          </a:solidFill>
                          <a:prstDash val="solid"/>
                          <a:round/>
                        </a:ln>
                      </wps:spPr>
                      <wps:bodyPr/>
                    </wps:wsp>
                  </a:graphicData>
                </a:graphic>
              </wp:anchor>
            </w:drawing>
          </mc:Choice>
          <mc:Fallback>
            <w:pict>
              <v:line id="Line 11" o:spid="_x0000_s1026" o:spt="20" style="position:absolute;left:0pt;margin-left:0pt;margin-top:184.2pt;height:0pt;width:477.4pt;z-index:251659264;mso-width-relative:page;mso-height-relative:page;" filled="f" stroked="t" coordsize="21600,21600" o:gfxdata="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Cjz7gXVAAAACAEAAA8AAAAAAAAAAQAgAAAAIgAAAGRycy9kb3ducmV2LnhtbFBLAQIUABQA&#10;AAAIAIdO4kC7YwfuugEAAIcDAAAOAAAAAAAAAAEAIAAAACQBAABkcnMvZTJvRG9jLnhtbFBLBQYA&#10;AAAABgAGAFkBAABQBQAAAAA=&#10;">
                <v:fill on="f" focussize="0,0"/>
                <v:stroke color="#000000" joinstyle="round"/>
                <v:imagedata o:title=""/>
                <o:lock v:ext="edit" aspectratio="f"/>
              </v:line>
            </w:pict>
          </mc:Fallback>
        </mc:AlternateContent>
      </w:r>
    </w:p>
    <w:p w14:paraId="39E9D6D2">
      <w:pPr>
        <w:pStyle w:val="115"/>
      </w:pPr>
      <w:bookmarkStart w:id="11" w:name="_Toc10372"/>
      <w:r>
        <w:rPr>
          <w:rFonts w:hint="eastAsia"/>
        </w:rPr>
        <w:t>前</w:t>
      </w:r>
      <w:bookmarkStart w:id="12" w:name="BKQY"/>
      <w:r>
        <w:rPr>
          <w:rFonts w:hAnsi="黑体"/>
        </w:rPr>
        <w:t>  </w:t>
      </w:r>
      <w:r>
        <w:rPr>
          <w:rFonts w:hint="eastAsia"/>
        </w:rPr>
        <w:t>言</w:t>
      </w:r>
      <w:bookmarkEnd w:id="11"/>
      <w:bookmarkEnd w:id="12"/>
    </w:p>
    <w:p w14:paraId="7CFCDF4D">
      <w:pPr>
        <w:pStyle w:val="25"/>
        <w:rPr>
          <w:rFonts w:hint="eastAsia" w:hAnsi="宋体"/>
          <w:color w:val="000000"/>
        </w:rPr>
      </w:pPr>
      <w:r>
        <w:rPr>
          <w:rFonts w:hint="eastAsia" w:hAnsi="宋体"/>
          <w:color w:val="000000"/>
        </w:rPr>
        <w:t>本文件按照GB/T 1.1—2020《标准化工作导则 第1部分：标准化文件的结构与起草规则》的规定起草。</w:t>
      </w:r>
    </w:p>
    <w:p w14:paraId="783006A0">
      <w:pPr>
        <w:ind w:firstLine="420" w:firstLineChars="200"/>
        <w:rPr>
          <w:rFonts w:ascii="宋体" w:hAnsi="宋体"/>
          <w:color w:val="000000"/>
          <w:szCs w:val="28"/>
        </w:rPr>
      </w:pPr>
      <w:r>
        <w:rPr>
          <w:rFonts w:hint="eastAsia" w:ascii="宋体" w:hAnsi="宋体"/>
          <w:color w:val="000000"/>
          <w:szCs w:val="28"/>
        </w:rPr>
        <w:t>本</w:t>
      </w:r>
      <w:r>
        <w:rPr>
          <w:rFonts w:hint="eastAsia" w:ascii="宋体" w:hAnsi="宋体"/>
          <w:color w:val="000000"/>
          <w:szCs w:val="28"/>
          <w:lang w:eastAsia="zh-CN"/>
        </w:rPr>
        <w:t>文件</w:t>
      </w:r>
      <w:r>
        <w:rPr>
          <w:rFonts w:hint="eastAsia" w:ascii="宋体" w:hAnsi="宋体"/>
          <w:color w:val="000000"/>
          <w:szCs w:val="28"/>
        </w:rPr>
        <w:t>由河北省农业农村厅提出。</w:t>
      </w:r>
    </w:p>
    <w:p w14:paraId="2B74C947">
      <w:pPr>
        <w:ind w:firstLine="420" w:firstLineChars="200"/>
        <w:rPr>
          <w:rFonts w:ascii="宋体" w:hAnsi="宋体"/>
          <w:color w:val="000000"/>
          <w:szCs w:val="28"/>
        </w:rPr>
      </w:pPr>
      <w:r>
        <w:rPr>
          <w:rFonts w:hint="eastAsia" w:ascii="宋体" w:hAnsi="宋体"/>
          <w:color w:val="000000"/>
          <w:szCs w:val="28"/>
        </w:rPr>
        <w:t>本</w:t>
      </w:r>
      <w:r>
        <w:rPr>
          <w:rFonts w:hint="eastAsia" w:ascii="宋体" w:hAnsi="宋体"/>
          <w:color w:val="000000"/>
          <w:szCs w:val="28"/>
          <w:lang w:eastAsia="zh-CN"/>
        </w:rPr>
        <w:t>文件</w:t>
      </w:r>
      <w:r>
        <w:rPr>
          <w:rFonts w:ascii="宋体" w:hAnsi="宋体"/>
          <w:color w:val="000000"/>
          <w:szCs w:val="28"/>
        </w:rPr>
        <w:t>起草单位：</w:t>
      </w:r>
      <w:bookmarkStart w:id="13" w:name="OLE_LINK14"/>
      <w:r>
        <w:rPr>
          <w:rFonts w:hint="eastAsia" w:ascii="宋体" w:hAnsi="宋体"/>
          <w:color w:val="000000"/>
          <w:szCs w:val="28"/>
        </w:rPr>
        <w:t>河北省农林科学院、河北地质大学、河北热点科技股份有限公司、石家庄智慧农业资源与环境技术创新中心、河北热点农业发展</w:t>
      </w:r>
      <w:r>
        <w:rPr>
          <w:rFonts w:hint="eastAsia" w:ascii="宋体" w:hAnsi="宋体"/>
          <w:color w:val="000000"/>
          <w:szCs w:val="28"/>
          <w:lang w:val="en-US" w:eastAsia="zh-CN"/>
        </w:rPr>
        <w:t>有</w:t>
      </w:r>
      <w:r>
        <w:rPr>
          <w:rFonts w:hint="eastAsia" w:ascii="宋体" w:hAnsi="宋体"/>
          <w:color w:val="000000"/>
          <w:szCs w:val="28"/>
        </w:rPr>
        <w:t>限公司、河北农业大学、河北省植保植检总站</w:t>
      </w:r>
      <w:r>
        <w:rPr>
          <w:rFonts w:hint="eastAsia" w:ascii="宋体" w:hAnsi="宋体"/>
          <w:color w:val="000000"/>
          <w:szCs w:val="28"/>
          <w:lang w:eastAsia="zh-CN"/>
        </w:rPr>
        <w:t>、</w:t>
      </w:r>
      <w:r>
        <w:rPr>
          <w:rFonts w:hint="eastAsia" w:ascii="宋体" w:hAnsi="宋体"/>
          <w:color w:val="000000"/>
          <w:szCs w:val="28"/>
          <w:lang w:val="en-US" w:eastAsia="zh-CN"/>
        </w:rPr>
        <w:t>河北中医药大学</w:t>
      </w:r>
      <w:r>
        <w:rPr>
          <w:rFonts w:hint="eastAsia" w:ascii="宋体" w:hAnsi="宋体"/>
          <w:color w:val="000000"/>
          <w:szCs w:val="28"/>
        </w:rPr>
        <w:t>、河北省农业品牌建设中心、河北省农业产业协会</w:t>
      </w:r>
      <w:r>
        <w:rPr>
          <w:rFonts w:hint="eastAsia" w:ascii="宋体" w:hAnsi="宋体"/>
          <w:color w:val="000000"/>
          <w:szCs w:val="28"/>
          <w:lang w:val="en-US" w:eastAsia="zh-CN"/>
        </w:rPr>
        <w:t>等</w:t>
      </w:r>
      <w:r>
        <w:rPr>
          <w:rFonts w:hint="eastAsia" w:ascii="宋体" w:hAnsi="宋体"/>
          <w:color w:val="000000"/>
          <w:szCs w:val="28"/>
        </w:rPr>
        <w:t>。</w:t>
      </w:r>
      <w:bookmarkEnd w:id="13"/>
    </w:p>
    <w:p w14:paraId="4C78D3E9">
      <w:pPr>
        <w:adjustRightInd w:val="0"/>
        <w:snapToGrid w:val="0"/>
        <w:spacing w:line="276" w:lineRule="auto"/>
        <w:ind w:firstLine="420" w:firstLineChars="200"/>
        <w:rPr>
          <w:rFonts w:hint="eastAsia" w:ascii="宋体" w:hAnsi="宋体" w:eastAsia="宋体"/>
          <w:color w:val="000000" w:themeColor="text1"/>
          <w:szCs w:val="28"/>
          <w:lang w:eastAsia="zh-CN"/>
          <w14:textFill>
            <w14:solidFill>
              <w14:schemeClr w14:val="tx1"/>
            </w14:solidFill>
          </w14:textFill>
        </w:rPr>
      </w:pPr>
      <w:r>
        <w:rPr>
          <w:rFonts w:hint="eastAsia" w:ascii="宋体" w:hAnsi="宋体"/>
          <w:color w:val="000000" w:themeColor="text1"/>
          <w:szCs w:val="28"/>
          <w14:textFill>
            <w14:solidFill>
              <w14:schemeClr w14:val="tx1"/>
            </w14:solidFill>
          </w14:textFill>
        </w:rPr>
        <w:t>本</w:t>
      </w:r>
      <w:r>
        <w:rPr>
          <w:rFonts w:hint="eastAsia" w:ascii="宋体" w:hAnsi="宋体"/>
          <w:color w:val="000000" w:themeColor="text1"/>
          <w:szCs w:val="28"/>
          <w:lang w:eastAsia="zh-CN"/>
          <w14:textFill>
            <w14:solidFill>
              <w14:schemeClr w14:val="tx1"/>
            </w14:solidFill>
          </w14:textFill>
        </w:rPr>
        <w:t>文件</w:t>
      </w:r>
      <w:r>
        <w:rPr>
          <w:rFonts w:hint="eastAsia" w:ascii="宋体" w:hAnsi="宋体"/>
          <w:color w:val="000000" w:themeColor="text1"/>
          <w:szCs w:val="28"/>
          <w14:textFill>
            <w14:solidFill>
              <w14:schemeClr w14:val="tx1"/>
            </w14:solidFill>
          </w14:textFill>
        </w:rPr>
        <w:t>起草人：</w:t>
      </w:r>
      <w:bookmarkStart w:id="14" w:name="OLE_LINK4"/>
      <w:r>
        <w:rPr>
          <w:rFonts w:hint="eastAsia" w:ascii="宋体" w:hAnsi="宋体"/>
          <w:color w:val="000000" w:themeColor="text1"/>
          <w:szCs w:val="28"/>
          <w14:textFill>
            <w14:solidFill>
              <w14:schemeClr w14:val="tx1"/>
            </w14:solidFill>
          </w14:textFill>
        </w:rPr>
        <w:t>侯升林、赵金辉、赵烁、薛志国、张瑞芳、王建岭、</w:t>
      </w:r>
      <w:r>
        <w:rPr>
          <w:rFonts w:hint="eastAsia" w:ascii="宋体" w:hAnsi="宋体"/>
          <w:color w:val="000000" w:themeColor="text1"/>
          <w:szCs w:val="28"/>
          <w:lang w:val="en-US" w:eastAsia="zh-CN"/>
          <w14:textFill>
            <w14:solidFill>
              <w14:schemeClr w14:val="tx1"/>
            </w14:solidFill>
          </w14:textFill>
        </w:rPr>
        <w:t>张建玲</w:t>
      </w:r>
      <w:r>
        <w:rPr>
          <w:rFonts w:hint="eastAsia" w:ascii="宋体" w:hAnsi="宋体"/>
          <w:color w:val="000000" w:themeColor="text1"/>
          <w:szCs w:val="28"/>
          <w14:textFill>
            <w14:solidFill>
              <w14:schemeClr w14:val="tx1"/>
            </w14:solidFill>
          </w14:textFill>
        </w:rPr>
        <w:t>、郑晨露、</w:t>
      </w:r>
      <w:r>
        <w:rPr>
          <w:rFonts w:hint="eastAsia" w:ascii="宋体" w:hAnsi="宋体"/>
          <w:color w:val="000000" w:themeColor="text1"/>
          <w:szCs w:val="28"/>
          <w:lang w:val="en-US" w:eastAsia="zh-CN"/>
          <w14:textFill>
            <w14:solidFill>
              <w14:schemeClr w14:val="tx1"/>
            </w14:solidFill>
          </w14:textFill>
        </w:rPr>
        <w:t>邓</w:t>
      </w:r>
      <w:r>
        <w:rPr>
          <w:rFonts w:hint="eastAsia" w:ascii="宋体" w:hAnsi="宋体"/>
          <w:color w:val="000000" w:themeColor="text1"/>
          <w:szCs w:val="28"/>
          <w14:textFill>
            <w14:solidFill>
              <w14:schemeClr w14:val="tx1"/>
            </w14:solidFill>
          </w14:textFill>
        </w:rPr>
        <w:t>光远</w:t>
      </w:r>
      <w:r>
        <w:rPr>
          <w:rFonts w:hint="eastAsia" w:ascii="宋体" w:hAnsi="宋体"/>
          <w:color w:val="000000" w:themeColor="text1"/>
          <w:szCs w:val="28"/>
          <w:lang w:val="en-US" w:eastAsia="zh-CN"/>
          <w14:textFill>
            <w14:solidFill>
              <w14:schemeClr w14:val="tx1"/>
            </w14:solidFill>
          </w14:textFill>
        </w:rPr>
        <w:t>、</w:t>
      </w:r>
      <w:r>
        <w:rPr>
          <w:rFonts w:hint="eastAsia" w:ascii="宋体" w:hAnsi="宋体"/>
          <w:color w:val="000000" w:themeColor="text1"/>
          <w:szCs w:val="28"/>
          <w14:textFill>
            <w14:solidFill>
              <w14:schemeClr w14:val="tx1"/>
            </w14:solidFill>
          </w14:textFill>
        </w:rPr>
        <w:t>刘义臣、</w:t>
      </w:r>
      <w:r>
        <w:rPr>
          <w:rFonts w:hint="eastAsia" w:ascii="宋体" w:hAnsi="宋体"/>
          <w:color w:val="000000" w:themeColor="text1"/>
          <w:szCs w:val="28"/>
          <w:lang w:val="en-US" w:eastAsia="zh-CN"/>
          <w14:textFill>
            <w14:solidFill>
              <w14:schemeClr w14:val="tx1"/>
            </w14:solidFill>
          </w14:textFill>
        </w:rPr>
        <w:t>刘昭</w:t>
      </w:r>
      <w:r>
        <w:rPr>
          <w:rFonts w:hint="eastAsia" w:ascii="宋体" w:hAnsi="宋体"/>
          <w:color w:val="000000" w:themeColor="text1"/>
          <w:szCs w:val="28"/>
          <w14:textFill>
            <w14:solidFill>
              <w14:schemeClr w14:val="tx1"/>
            </w14:solidFill>
          </w14:textFill>
        </w:rPr>
        <w:t>、王建东、谢畅、</w:t>
      </w:r>
      <w:r>
        <w:rPr>
          <w:rFonts w:hint="eastAsia" w:ascii="宋体" w:hAnsi="宋体"/>
          <w:color w:val="000000" w:themeColor="text1"/>
          <w:szCs w:val="28"/>
          <w:lang w:val="en-US" w:eastAsia="zh-CN"/>
          <w14:textFill>
            <w14:solidFill>
              <w14:schemeClr w14:val="tx1"/>
            </w14:solidFill>
          </w14:textFill>
        </w:rPr>
        <w:t>孙宇佳</w:t>
      </w:r>
      <w:r>
        <w:rPr>
          <w:rFonts w:hint="eastAsia" w:ascii="宋体" w:hAnsi="宋体"/>
          <w:color w:val="000000" w:themeColor="text1"/>
          <w:szCs w:val="28"/>
          <w14:textFill>
            <w14:solidFill>
              <w14:schemeClr w14:val="tx1"/>
            </w14:solidFill>
          </w14:textFill>
        </w:rPr>
        <w:t>、韩亚、聂永生。</w:t>
      </w:r>
      <w:bookmarkEnd w:id="14"/>
    </w:p>
    <w:p w14:paraId="240A92A9">
      <w:pPr>
        <w:adjustRightInd w:val="0"/>
        <w:snapToGrid w:val="0"/>
        <w:spacing w:line="276" w:lineRule="auto"/>
        <w:ind w:firstLine="420" w:firstLineChars="200"/>
        <w:rPr>
          <w:rFonts w:hint="eastAsia" w:ascii="宋体" w:hAnsi="宋体"/>
          <w:szCs w:val="28"/>
        </w:rPr>
      </w:pPr>
    </w:p>
    <w:p w14:paraId="0A38A12F">
      <w:pPr>
        <w:ind w:firstLine="420" w:firstLineChars="200"/>
        <w:rPr>
          <w:rFonts w:hint="eastAsia" w:ascii="宋体" w:hAnsi="宋体"/>
          <w:szCs w:val="28"/>
        </w:rPr>
      </w:pPr>
      <w:bookmarkStart w:id="36" w:name="_GoBack"/>
      <w:bookmarkEnd w:id="36"/>
    </w:p>
    <w:p w14:paraId="4FB863A0">
      <w:pPr>
        <w:pStyle w:val="53"/>
      </w:pPr>
      <w:bookmarkStart w:id="15" w:name="_Toc11107"/>
      <w:bookmarkStart w:id="16" w:name="_Toc18985"/>
      <w:bookmarkStart w:id="17" w:name="_Toc21327"/>
      <w:bookmarkStart w:id="18" w:name="_Toc22140"/>
      <w:r>
        <w:rPr>
          <w:rFonts w:hint="eastAsia"/>
        </w:rPr>
        <w:t>高标准农田信息化建设实施指南</w:t>
      </w:r>
      <w:bookmarkEnd w:id="15"/>
      <w:bookmarkEnd w:id="16"/>
      <w:bookmarkEnd w:id="17"/>
      <w:bookmarkEnd w:id="18"/>
    </w:p>
    <w:p w14:paraId="71706FE1">
      <w:pPr>
        <w:pStyle w:val="48"/>
        <w:spacing w:before="312" w:after="312"/>
        <w:outlineLvl w:val="0"/>
      </w:pPr>
      <w:bookmarkStart w:id="19" w:name="_Toc475694825"/>
      <w:bookmarkStart w:id="20" w:name="_Toc19819"/>
      <w:r>
        <w:rPr>
          <w:rFonts w:hint="eastAsia"/>
        </w:rPr>
        <w:t>范围</w:t>
      </w:r>
      <w:bookmarkEnd w:id="19"/>
      <w:bookmarkEnd w:id="20"/>
    </w:p>
    <w:p w14:paraId="67EE94F4">
      <w:pPr>
        <w:pStyle w:val="25"/>
        <w:rPr>
          <w:rFonts w:hint="eastAsia"/>
          <w:color w:val="000000"/>
        </w:rPr>
      </w:pPr>
      <w:r>
        <w:rPr>
          <w:rFonts w:hint="eastAsia"/>
          <w:color w:val="000000"/>
        </w:rPr>
        <w:t>本</w:t>
      </w:r>
      <w:r>
        <w:rPr>
          <w:rFonts w:hint="eastAsia"/>
          <w:color w:val="000000"/>
          <w:lang w:eastAsia="zh-CN"/>
        </w:rPr>
        <w:t>文件</w:t>
      </w:r>
      <w:r>
        <w:rPr>
          <w:rFonts w:hint="eastAsia"/>
          <w:color w:val="000000"/>
        </w:rPr>
        <w:t>规定了</w:t>
      </w:r>
      <w:r>
        <w:rPr>
          <w:rFonts w:hint="eastAsia"/>
          <w:color w:val="000000"/>
          <w:lang w:val="en-US" w:eastAsia="zh-CN"/>
        </w:rPr>
        <w:t>高标准农田信息化建设</w:t>
      </w:r>
      <w:r>
        <w:rPr>
          <w:rFonts w:hint="eastAsia"/>
          <w:color w:val="000000"/>
        </w:rPr>
        <w:t>实施的术语和定义</w:t>
      </w:r>
      <w:r>
        <w:rPr>
          <w:rFonts w:hint="eastAsia"/>
          <w:color w:val="000000"/>
          <w:lang w:eastAsia="zh-CN"/>
        </w:rPr>
        <w:t>、</w:t>
      </w:r>
      <w:r>
        <w:rPr>
          <w:rFonts w:hint="eastAsia"/>
          <w:color w:val="000000"/>
          <w:lang w:val="en-US" w:eastAsia="zh-CN"/>
        </w:rPr>
        <w:t>基本条件、总体框架与主要建设内容、</w:t>
      </w:r>
      <w:r>
        <w:rPr>
          <w:rFonts w:hint="eastAsia"/>
          <w:color w:val="000000"/>
        </w:rPr>
        <w:t>实施要求</w:t>
      </w:r>
      <w:r>
        <w:rPr>
          <w:rFonts w:hint="eastAsia"/>
          <w:color w:val="000000"/>
          <w:lang w:eastAsia="zh-CN"/>
        </w:rPr>
        <w:t>等</w:t>
      </w:r>
      <w:r>
        <w:rPr>
          <w:rFonts w:hint="eastAsia"/>
          <w:color w:val="000000"/>
        </w:rPr>
        <w:t>。</w:t>
      </w:r>
    </w:p>
    <w:p w14:paraId="1BED3C99">
      <w:pPr>
        <w:pStyle w:val="25"/>
        <w:rPr>
          <w:color w:val="000000"/>
          <w:szCs w:val="22"/>
        </w:rPr>
      </w:pPr>
      <w:r>
        <w:rPr>
          <w:rFonts w:hint="eastAsia"/>
          <w:color w:val="000000"/>
        </w:rPr>
        <w:t>本</w:t>
      </w:r>
      <w:r>
        <w:rPr>
          <w:rFonts w:hint="eastAsia"/>
          <w:color w:val="000000"/>
          <w:lang w:eastAsia="zh-CN"/>
        </w:rPr>
        <w:t>文件</w:t>
      </w:r>
      <w:r>
        <w:rPr>
          <w:rFonts w:hint="eastAsia"/>
          <w:color w:val="000000"/>
        </w:rPr>
        <w:t>适用于</w:t>
      </w:r>
      <w:r>
        <w:rPr>
          <w:rFonts w:hint="eastAsia"/>
          <w:color w:val="000000"/>
          <w:lang w:val="en-US" w:eastAsia="zh-CN"/>
        </w:rPr>
        <w:t>高标准农田信息化</w:t>
      </w:r>
      <w:r>
        <w:rPr>
          <w:rFonts w:hint="eastAsia"/>
          <w:color w:val="000000"/>
        </w:rPr>
        <w:t>的建设</w:t>
      </w:r>
      <w:r>
        <w:rPr>
          <w:rFonts w:hint="eastAsia"/>
          <w:color w:val="000000"/>
          <w:lang w:eastAsia="zh-CN"/>
        </w:rPr>
        <w:t>、</w:t>
      </w:r>
      <w:r>
        <w:rPr>
          <w:rFonts w:hint="eastAsia"/>
          <w:color w:val="000000"/>
        </w:rPr>
        <w:t>实施</w:t>
      </w:r>
      <w:r>
        <w:rPr>
          <w:rFonts w:hint="eastAsia"/>
          <w:color w:val="000000"/>
          <w:lang w:val="en-US" w:eastAsia="zh-CN"/>
        </w:rPr>
        <w:t>与管理等</w:t>
      </w:r>
      <w:r>
        <w:rPr>
          <w:rFonts w:hint="eastAsia"/>
          <w:color w:val="000000"/>
          <w:szCs w:val="22"/>
        </w:rPr>
        <w:t>。</w:t>
      </w:r>
    </w:p>
    <w:p w14:paraId="30AF80A9">
      <w:pPr>
        <w:pStyle w:val="48"/>
        <w:spacing w:before="312" w:after="312"/>
        <w:outlineLvl w:val="0"/>
        <w:rPr>
          <w:color w:val="000000"/>
        </w:rPr>
      </w:pPr>
      <w:bookmarkStart w:id="21" w:name="_Toc7763"/>
      <w:bookmarkStart w:id="22" w:name="_Toc475694826"/>
      <w:r>
        <w:rPr>
          <w:rFonts w:hint="eastAsia"/>
          <w:color w:val="000000"/>
        </w:rPr>
        <w:t>规范性引用文件</w:t>
      </w:r>
      <w:bookmarkEnd w:id="21"/>
      <w:bookmarkEnd w:id="22"/>
    </w:p>
    <w:p w14:paraId="1A4C0086">
      <w:pPr>
        <w:pStyle w:val="25"/>
        <w:rPr>
          <w:color w:val="000000"/>
        </w:rPr>
      </w:pPr>
      <w:r>
        <w:rPr>
          <w:rFonts w:hint="eastAsia"/>
          <w:color w:val="000000"/>
        </w:rPr>
        <w:t>下列文件中的内容通过文中的规范性引用而构成本件必不可少的条款。</w:t>
      </w:r>
    </w:p>
    <w:p w14:paraId="48CFA7C7">
      <w:pPr>
        <w:pStyle w:val="25"/>
        <w:rPr>
          <w:rFonts w:hint="eastAsia"/>
        </w:rPr>
      </w:pPr>
      <w:r>
        <w:rPr>
          <w:rFonts w:hint="eastAsia"/>
          <w:lang w:eastAsia="zh-CN"/>
        </w:rPr>
        <w:t>GB/T 30600 高标准农田建设通则；</w:t>
      </w:r>
    </w:p>
    <w:p w14:paraId="110A479C">
      <w:pPr>
        <w:pStyle w:val="25"/>
        <w:rPr>
          <w:rFonts w:hint="eastAsia"/>
          <w:lang w:eastAsia="zh-CN"/>
        </w:rPr>
      </w:pPr>
      <w:r>
        <w:rPr>
          <w:rFonts w:hint="eastAsia"/>
        </w:rPr>
        <w:t>GB/T</w:t>
      </w:r>
      <w:r>
        <w:rPr>
          <w:rFonts w:hint="eastAsia"/>
          <w:lang w:val="en-US" w:eastAsia="zh-CN"/>
        </w:rPr>
        <w:t xml:space="preserve"> </w:t>
      </w:r>
      <w:r>
        <w:rPr>
          <w:rFonts w:hint="eastAsia"/>
        </w:rPr>
        <w:t>28827.1</w:t>
      </w:r>
      <w:r>
        <w:rPr>
          <w:rFonts w:hint="eastAsia"/>
          <w:lang w:val="en-US" w:eastAsia="zh-CN"/>
        </w:rPr>
        <w:t xml:space="preserve"> </w:t>
      </w:r>
      <w:r>
        <w:rPr>
          <w:rFonts w:hint="eastAsia"/>
        </w:rPr>
        <w:t>信息技术服务运行维护 第一部分 通用要求</w:t>
      </w:r>
      <w:r>
        <w:rPr>
          <w:rFonts w:hint="eastAsia"/>
          <w:lang w:eastAsia="zh-CN"/>
        </w:rPr>
        <w:t>。</w:t>
      </w:r>
    </w:p>
    <w:p w14:paraId="53E3E12C">
      <w:pPr>
        <w:pStyle w:val="48"/>
        <w:spacing w:before="312" w:after="312"/>
        <w:outlineLvl w:val="0"/>
        <w:rPr>
          <w:color w:val="000000"/>
        </w:rPr>
      </w:pPr>
      <w:bookmarkStart w:id="23" w:name="_Toc8660"/>
      <w:r>
        <w:rPr>
          <w:rFonts w:hint="eastAsia"/>
          <w:color w:val="000000"/>
        </w:rPr>
        <w:t>术语和定义</w:t>
      </w:r>
      <w:bookmarkEnd w:id="23"/>
      <w:r>
        <w:rPr>
          <w:rFonts w:hint="eastAsia"/>
          <w:color w:val="000000"/>
          <w:lang w:val="en-US" w:eastAsia="zh-CN"/>
        </w:rPr>
        <w:t xml:space="preserve">  </w:t>
      </w:r>
    </w:p>
    <w:p w14:paraId="233FAE7F">
      <w:pPr>
        <w:pStyle w:val="25"/>
      </w:pPr>
      <w:r>
        <w:rPr>
          <w:rFonts w:hint="eastAsia"/>
        </w:rPr>
        <w:t>GB/T 30600界定的及下列术语和定义适用于本文件。</w:t>
      </w:r>
    </w:p>
    <w:p w14:paraId="0FE38C75">
      <w:pPr>
        <w:pStyle w:val="45"/>
        <w:spacing w:before="156" w:after="156"/>
        <w:ind w:left="0"/>
        <w:rPr>
          <w:shd w:val="clear" w:color="auto" w:fill="FFFFFF"/>
        </w:rPr>
      </w:pPr>
      <w:r>
        <w:rPr>
          <w:rFonts w:hint="eastAsia"/>
          <w:shd w:val="clear" w:color="auto" w:fill="FFFFFF"/>
        </w:rPr>
        <w:t xml:space="preserve">高标准农田信息化 Informatization of high standard farmland </w:t>
      </w:r>
    </w:p>
    <w:p w14:paraId="7ACC268A">
      <w:pPr>
        <w:pStyle w:val="25"/>
        <w:rPr>
          <w:rFonts w:hint="eastAsia"/>
          <w:lang w:val="en-US" w:eastAsia="zh-CN"/>
        </w:rPr>
      </w:pPr>
      <w:r>
        <w:rPr>
          <w:rFonts w:hint="default"/>
          <w:lang w:val="en-US" w:eastAsia="zh-CN"/>
        </w:rPr>
        <w:t>利用现代信息技术手段，如物联网、大数据、云计算等，对农田进行全面、精准、实时的监测和管理，以实现农田资源的优化配置、提高生产效率、降低生产成本、保障农产品质量安全及促进农业可持续发展的过程。这一过程涵盖了农田资源管理、水利管理、作物种植管理、气象监测、生产经营管理和环境保护等多个方面。</w:t>
      </w:r>
    </w:p>
    <w:p w14:paraId="461CCAEB">
      <w:pPr>
        <w:pStyle w:val="45"/>
        <w:spacing w:before="156" w:after="156"/>
        <w:ind w:left="0"/>
        <w:rPr>
          <w:shd w:val="clear" w:color="auto" w:fill="FFFFFF"/>
        </w:rPr>
      </w:pPr>
      <w:r>
        <w:rPr>
          <w:rFonts w:hint="eastAsia"/>
          <w:shd w:val="clear" w:color="auto" w:fill="FFFFFF"/>
          <w:lang w:val="en-US" w:eastAsia="zh-CN"/>
        </w:rPr>
        <w:t>农业智能监测</w:t>
      </w:r>
      <w:r>
        <w:rPr>
          <w:rFonts w:hint="eastAsia"/>
          <w:shd w:val="clear" w:color="auto" w:fill="FFFFFF"/>
        </w:rPr>
        <w:t xml:space="preserve"> </w:t>
      </w:r>
      <w:r>
        <w:rPr>
          <w:rFonts w:hint="eastAsia"/>
          <w:shd w:val="clear" w:color="auto" w:fill="FFFFFF"/>
          <w:lang w:val="en-US" w:eastAsia="zh-CN"/>
        </w:rPr>
        <w:t>Agricultural intelligent monitoring</w:t>
      </w:r>
    </w:p>
    <w:p w14:paraId="1CEA5CAD">
      <w:pPr>
        <w:pStyle w:val="25"/>
        <w:rPr>
          <w:rFonts w:hint="eastAsia"/>
          <w:color w:val="FF0000"/>
        </w:rPr>
      </w:pPr>
      <w:r>
        <w:rPr>
          <w:rFonts w:hint="eastAsia"/>
        </w:rPr>
        <w:t>综合应用计算机视觉、深度学习、数据挖掘、机器学习等人工智能技术的监控系统</w:t>
      </w:r>
      <w:r>
        <w:rPr>
          <w:rFonts w:hint="eastAsia"/>
          <w:lang w:eastAsia="zh-CN"/>
        </w:rPr>
        <w:t>，</w:t>
      </w:r>
      <w:r>
        <w:rPr>
          <w:rFonts w:hint="eastAsia"/>
        </w:rPr>
        <w:t>能够执行视频监控、</w:t>
      </w:r>
      <w:r>
        <w:rPr>
          <w:rFonts w:hint="eastAsia"/>
          <w:lang w:val="en-US" w:eastAsia="zh-CN"/>
        </w:rPr>
        <w:t>土壤监测</w:t>
      </w:r>
      <w:r>
        <w:rPr>
          <w:rFonts w:hint="eastAsia"/>
        </w:rPr>
        <w:t>、</w:t>
      </w:r>
      <w:r>
        <w:rPr>
          <w:rFonts w:hint="eastAsia"/>
          <w:lang w:val="en-US" w:eastAsia="zh-CN"/>
        </w:rPr>
        <w:t>环境监测</w:t>
      </w:r>
      <w:r>
        <w:rPr>
          <w:rFonts w:hint="eastAsia"/>
        </w:rPr>
        <w:t>、</w:t>
      </w:r>
      <w:r>
        <w:rPr>
          <w:rFonts w:hint="eastAsia"/>
          <w:lang w:val="en-US" w:eastAsia="zh-CN"/>
        </w:rPr>
        <w:t>气象监测、作物长势、农事</w:t>
      </w:r>
      <w:r>
        <w:rPr>
          <w:rFonts w:hint="eastAsia"/>
        </w:rPr>
        <w:t>行为识别、异常检测等多种功能，实现对目标对象的实时监控、警报和记录</w:t>
      </w:r>
      <w:r>
        <w:rPr>
          <w:rFonts w:hint="eastAsia"/>
          <w:lang w:val="en-US" w:eastAsia="zh-CN"/>
        </w:rPr>
        <w:t>等</w:t>
      </w:r>
      <w:r>
        <w:rPr>
          <w:rFonts w:hint="eastAsia"/>
        </w:rPr>
        <w:t>。</w:t>
      </w:r>
    </w:p>
    <w:p w14:paraId="1B3F9218">
      <w:pPr>
        <w:pStyle w:val="45"/>
        <w:spacing w:before="156" w:after="156"/>
        <w:ind w:left="0"/>
        <w:rPr>
          <w:shd w:val="clear" w:color="auto" w:fill="FFFFFF"/>
        </w:rPr>
      </w:pPr>
      <w:r>
        <w:rPr>
          <w:rFonts w:hint="eastAsia"/>
          <w:shd w:val="clear" w:color="auto" w:fill="FFFFFF"/>
        </w:rPr>
        <w:t>农业绿色防护 Agricultural green protection</w:t>
      </w:r>
    </w:p>
    <w:p w14:paraId="7A22D6DD">
      <w:pPr>
        <w:pStyle w:val="25"/>
        <w:rPr>
          <w:rFonts w:hint="eastAsia"/>
        </w:rPr>
      </w:pPr>
      <w:r>
        <w:rPr>
          <w:rFonts w:hint="eastAsia"/>
        </w:rPr>
        <w:t>从农田生态系统整体出发，以达到保护生物多样性，推广应用生态调控、生物防治、物理防治等绿色防控技术，在必要时合理</w:t>
      </w:r>
      <w:r>
        <w:rPr>
          <w:rFonts w:hint="eastAsia"/>
          <w:lang w:val="en-US" w:eastAsia="zh-CN"/>
        </w:rPr>
        <w:t>地</w:t>
      </w:r>
      <w:r>
        <w:rPr>
          <w:rFonts w:hint="eastAsia"/>
        </w:rPr>
        <w:t>使用化学农药，将病虫危害损失降到最低限度。</w:t>
      </w:r>
    </w:p>
    <w:p w14:paraId="142A2108">
      <w:pPr>
        <w:pStyle w:val="45"/>
        <w:spacing w:before="156" w:after="156"/>
        <w:ind w:left="0"/>
        <w:rPr>
          <w:rFonts w:hint="eastAsia"/>
          <w:lang w:val="en-US" w:eastAsia="zh-CN"/>
        </w:rPr>
      </w:pPr>
      <w:r>
        <w:rPr>
          <w:rFonts w:hint="eastAsia"/>
          <w:lang w:val="en-US" w:eastAsia="zh-CN"/>
        </w:rPr>
        <w:t>农业智能灌溉 Agricultural intelligent irrigation</w:t>
      </w:r>
    </w:p>
    <w:p w14:paraId="722B8DDE">
      <w:pPr>
        <w:pStyle w:val="25"/>
        <w:rPr>
          <w:rFonts w:hint="default"/>
          <w:lang w:val="en-US" w:eastAsia="zh-CN"/>
        </w:rPr>
      </w:pPr>
      <w:r>
        <w:rPr>
          <w:rFonts w:hint="default"/>
          <w:lang w:val="en-US" w:eastAsia="zh-CN"/>
        </w:rPr>
        <w:t>以采集数据为基础、模型算法为核心、现代化装备和系统平台为载体，通过现代信息技术</w:t>
      </w:r>
      <w:r>
        <w:rPr>
          <w:rFonts w:hint="eastAsia"/>
          <w:lang w:val="en-US" w:eastAsia="zh-CN"/>
        </w:rPr>
        <w:t>和</w:t>
      </w:r>
      <w:r>
        <w:rPr>
          <w:rFonts w:hint="default"/>
          <w:lang w:val="en-US" w:eastAsia="zh-CN"/>
        </w:rPr>
        <w:t>高效节水灌溉理论深度融合，实现灌溉全过程、全环节的信息数字感知、智慧决策、智能控制和协同管理，保持农田水、肥、</w:t>
      </w:r>
      <w:r>
        <w:rPr>
          <w:rFonts w:hint="eastAsia"/>
          <w:lang w:val="en-US" w:eastAsia="zh-CN"/>
        </w:rPr>
        <w:t>药、</w:t>
      </w:r>
      <w:r>
        <w:rPr>
          <w:rFonts w:hint="default"/>
          <w:lang w:val="en-US" w:eastAsia="zh-CN"/>
        </w:rPr>
        <w:t>作物最适关系，达到节水、高效、高产、优质的灌溉方式。</w:t>
      </w:r>
    </w:p>
    <w:p w14:paraId="4BA2F895">
      <w:pPr>
        <w:pStyle w:val="45"/>
        <w:spacing w:before="156" w:after="156"/>
        <w:ind w:left="0"/>
        <w:rPr>
          <w:rFonts w:hint="default"/>
          <w:lang w:val="en-US" w:eastAsia="zh-CN"/>
        </w:rPr>
      </w:pPr>
      <w:r>
        <w:rPr>
          <w:rFonts w:hint="default"/>
          <w:lang w:val="en-US" w:eastAsia="zh-CN"/>
        </w:rPr>
        <w:t>农业遥感监测 Agricultural remote sensing monitoring</w:t>
      </w:r>
    </w:p>
    <w:p w14:paraId="245DC6D2">
      <w:pPr>
        <w:pStyle w:val="25"/>
        <w:rPr>
          <w:rFonts w:hint="default"/>
          <w:lang w:val="en-US" w:eastAsia="zh-CN"/>
        </w:rPr>
      </w:pPr>
      <w:r>
        <w:rPr>
          <w:rFonts w:hint="eastAsia"/>
          <w:lang w:val="en-US" w:eastAsia="zh-CN"/>
        </w:rPr>
        <w:t>利用</w:t>
      </w:r>
      <w:r>
        <w:rPr>
          <w:rFonts w:hint="default"/>
          <w:lang w:val="en-US" w:eastAsia="zh-CN"/>
        </w:rPr>
        <w:t>人造卫星、</w:t>
      </w:r>
      <w:r>
        <w:rPr>
          <w:rFonts w:hint="eastAsia"/>
          <w:lang w:val="en-US" w:eastAsia="zh-CN"/>
        </w:rPr>
        <w:t>无人</w:t>
      </w:r>
      <w:r>
        <w:rPr>
          <w:rFonts w:hint="default"/>
          <w:lang w:val="en-US" w:eastAsia="zh-CN"/>
        </w:rPr>
        <w:t>机或其他飞行器收集</w:t>
      </w:r>
      <w:r>
        <w:rPr>
          <w:rFonts w:hint="eastAsia"/>
          <w:lang w:val="en-US" w:eastAsia="zh-CN"/>
        </w:rPr>
        <w:t>农业</w:t>
      </w:r>
      <w:r>
        <w:rPr>
          <w:rFonts w:hint="default"/>
          <w:lang w:val="en-US" w:eastAsia="zh-CN"/>
        </w:rPr>
        <w:t>目标的电磁辐射信息，</w:t>
      </w:r>
      <w:r>
        <w:rPr>
          <w:rFonts w:hint="eastAsia"/>
          <w:lang w:val="en-US" w:eastAsia="zh-CN"/>
        </w:rPr>
        <w:t>以</w:t>
      </w:r>
      <w:r>
        <w:rPr>
          <w:rFonts w:hint="default"/>
          <w:lang w:val="en-US" w:eastAsia="zh-CN"/>
        </w:rPr>
        <w:t>获取农作物影像数据，包括农作物生长情况、预报预测农作物病虫害</w:t>
      </w:r>
      <w:r>
        <w:rPr>
          <w:rFonts w:hint="eastAsia"/>
          <w:lang w:val="en-US" w:eastAsia="zh-CN"/>
        </w:rPr>
        <w:t>等，</w:t>
      </w:r>
      <w:r>
        <w:rPr>
          <w:rFonts w:hint="default"/>
          <w:lang w:val="en-US" w:eastAsia="zh-CN"/>
        </w:rPr>
        <w:t>进行农业资源调查</w:t>
      </w:r>
      <w:r>
        <w:rPr>
          <w:rFonts w:hint="eastAsia"/>
          <w:lang w:val="en-US" w:eastAsia="zh-CN"/>
        </w:rPr>
        <w:t>、</w:t>
      </w:r>
      <w:r>
        <w:rPr>
          <w:rFonts w:hint="default"/>
          <w:lang w:val="en-US" w:eastAsia="zh-CN"/>
        </w:rPr>
        <w:t>土地利用现状分析</w:t>
      </w:r>
      <w:r>
        <w:rPr>
          <w:rFonts w:hint="eastAsia"/>
          <w:lang w:val="en-US" w:eastAsia="zh-CN"/>
        </w:rPr>
        <w:t>、</w:t>
      </w:r>
      <w:r>
        <w:rPr>
          <w:rFonts w:hint="default"/>
          <w:lang w:val="en-US" w:eastAsia="zh-CN"/>
        </w:rPr>
        <w:t>农业病虫害监测</w:t>
      </w:r>
      <w:r>
        <w:rPr>
          <w:rFonts w:hint="eastAsia"/>
          <w:lang w:val="en-US" w:eastAsia="zh-CN"/>
        </w:rPr>
        <w:t>、</w:t>
      </w:r>
      <w:r>
        <w:rPr>
          <w:rFonts w:hint="default"/>
          <w:lang w:val="en-US" w:eastAsia="zh-CN"/>
        </w:rPr>
        <w:t>农作物估产等农业应用的综合技术。</w:t>
      </w:r>
    </w:p>
    <w:p w14:paraId="46DA78E2">
      <w:pPr>
        <w:pStyle w:val="48"/>
        <w:spacing w:before="312" w:after="312"/>
        <w:outlineLvl w:val="0"/>
        <w:rPr>
          <w:rFonts w:hint="eastAsia"/>
          <w:shd w:val="clear" w:color="auto" w:fill="FFFFFF"/>
          <w:lang w:val="en-US" w:eastAsia="zh-CN"/>
        </w:rPr>
      </w:pPr>
      <w:r>
        <w:rPr>
          <w:rFonts w:hint="eastAsia"/>
          <w:shd w:val="clear" w:color="auto" w:fill="FFFFFF"/>
          <w:lang w:val="en-US" w:eastAsia="zh-CN"/>
        </w:rPr>
        <w:t>基本条件</w:t>
      </w:r>
    </w:p>
    <w:p w14:paraId="6E529A6F">
      <w:pPr>
        <w:pStyle w:val="45"/>
        <w:spacing w:before="156" w:after="156"/>
        <w:ind w:left="0"/>
        <w:outlineLvl w:val="1"/>
        <w:rPr>
          <w:rFonts w:hint="eastAsia"/>
          <w:shd w:val="clear" w:color="auto" w:fill="FFFFFF"/>
          <w:lang w:val="en-US" w:eastAsia="zh-CN"/>
        </w:rPr>
      </w:pPr>
      <w:r>
        <w:rPr>
          <w:rFonts w:hint="eastAsia"/>
          <w:shd w:val="clear" w:color="auto" w:fill="FFFFFF"/>
          <w:lang w:val="en-US" w:eastAsia="zh-CN"/>
        </w:rPr>
        <w:t>耕地条件</w:t>
      </w:r>
    </w:p>
    <w:p w14:paraId="343F7965">
      <w:pPr>
        <w:pStyle w:val="25"/>
        <w:rPr>
          <w:rFonts w:hint="eastAsia"/>
          <w:lang w:val="en-US" w:eastAsia="zh-CN"/>
        </w:rPr>
      </w:pPr>
      <w:r>
        <w:rPr>
          <w:rFonts w:hint="eastAsia"/>
          <w:lang w:val="en-US" w:eastAsia="zh-CN"/>
        </w:rPr>
        <w:t>符合GB/T 30600-2022第5章规定的建设区域和规模化经营、集中连片的耕地。</w:t>
      </w:r>
    </w:p>
    <w:p w14:paraId="4FCE80CE">
      <w:pPr>
        <w:pStyle w:val="45"/>
        <w:spacing w:before="156" w:after="156"/>
        <w:ind w:left="0"/>
        <w:outlineLvl w:val="1"/>
        <w:rPr>
          <w:rFonts w:hint="eastAsia"/>
          <w:shd w:val="clear" w:color="auto" w:fill="FFFFFF"/>
          <w:lang w:val="en-US" w:eastAsia="zh-CN"/>
        </w:rPr>
      </w:pPr>
      <w:r>
        <w:rPr>
          <w:rFonts w:hint="eastAsia"/>
          <w:shd w:val="clear" w:color="auto" w:fill="FFFFFF"/>
          <w:lang w:val="en-US" w:eastAsia="zh-CN"/>
        </w:rPr>
        <w:t>农田基础设计条件</w:t>
      </w:r>
    </w:p>
    <w:p w14:paraId="651BBDE9">
      <w:pPr>
        <w:pStyle w:val="25"/>
        <w:rPr>
          <w:rFonts w:hint="default"/>
          <w:lang w:val="en-US" w:eastAsia="zh-CN"/>
        </w:rPr>
      </w:pPr>
      <w:r>
        <w:rPr>
          <w:rFonts w:hint="default"/>
          <w:lang w:val="en-US" w:eastAsia="zh-CN"/>
        </w:rPr>
        <w:t>符合GB/T 30600-2022第6章规定的灌溉与排水、田间道路、农田防护与生态环境保护、农田输配电等农田基础设施条件。</w:t>
      </w:r>
    </w:p>
    <w:p w14:paraId="78D883E5">
      <w:pPr>
        <w:pStyle w:val="45"/>
        <w:spacing w:before="156" w:after="156"/>
        <w:ind w:left="0"/>
        <w:outlineLvl w:val="1"/>
        <w:rPr>
          <w:rFonts w:hint="eastAsia"/>
          <w:shd w:val="clear" w:color="auto" w:fill="FFFFFF"/>
          <w:lang w:val="en-US" w:eastAsia="zh-CN"/>
        </w:rPr>
      </w:pPr>
      <w:r>
        <w:rPr>
          <w:rFonts w:hint="eastAsia"/>
          <w:shd w:val="clear" w:color="auto" w:fill="FFFFFF"/>
          <w:lang w:val="en-US" w:eastAsia="zh-CN"/>
        </w:rPr>
        <w:t>人员条件</w:t>
      </w:r>
    </w:p>
    <w:p w14:paraId="472FA02F">
      <w:pPr>
        <w:pStyle w:val="25"/>
        <w:rPr>
          <w:rFonts w:hint="default"/>
          <w:lang w:val="en-US" w:eastAsia="zh-CN"/>
        </w:rPr>
      </w:pPr>
      <w:r>
        <w:rPr>
          <w:rFonts w:hint="eastAsia"/>
          <w:lang w:val="en-US" w:eastAsia="zh-CN"/>
        </w:rPr>
        <w:t>管理和操作人员应具备相应的信息化、电工技术等相关专业知识。</w:t>
      </w:r>
    </w:p>
    <w:p w14:paraId="7E1D31BE">
      <w:pPr>
        <w:pStyle w:val="48"/>
        <w:spacing w:before="312" w:after="312"/>
        <w:outlineLvl w:val="0"/>
        <w:rPr>
          <w:shd w:val="clear" w:color="auto" w:fill="FFFFFF"/>
        </w:rPr>
      </w:pPr>
      <w:r>
        <w:rPr>
          <w:rFonts w:hint="eastAsia"/>
          <w:shd w:val="clear" w:color="auto" w:fill="FFFFFF"/>
          <w:lang w:val="en-US" w:eastAsia="zh-CN"/>
        </w:rPr>
        <w:t>总体架构与主要建设内容</w:t>
      </w:r>
    </w:p>
    <w:p w14:paraId="69FFC56D">
      <w:pPr>
        <w:pStyle w:val="45"/>
        <w:spacing w:before="156" w:after="156"/>
        <w:ind w:left="0"/>
        <w:outlineLvl w:val="1"/>
        <w:rPr>
          <w:shd w:val="clear" w:color="auto" w:fill="FFFFFF"/>
        </w:rPr>
      </w:pPr>
      <w:bookmarkStart w:id="24" w:name="_Toc31483"/>
      <w:bookmarkStart w:id="25" w:name="OLE_LINK1"/>
      <w:r>
        <w:rPr>
          <w:rFonts w:hint="eastAsia"/>
          <w:shd w:val="clear" w:color="auto" w:fill="FFFFFF"/>
          <w:lang w:val="en-US" w:eastAsia="zh-CN"/>
        </w:rPr>
        <w:t>总体架构</w:t>
      </w:r>
    </w:p>
    <w:p w14:paraId="4A26754B">
      <w:pPr>
        <w:pStyle w:val="25"/>
        <w:rPr>
          <w:rFonts w:hint="eastAsia"/>
          <w:lang w:val="en-US" w:eastAsia="zh-CN"/>
        </w:rPr>
      </w:pPr>
      <w:r>
        <w:rPr>
          <w:rFonts w:hint="eastAsia"/>
          <w:lang w:val="en-US" w:eastAsia="zh-CN"/>
        </w:rPr>
        <w:t>高标准农田信息化平台总体框架包括基础设施层、数据资源层、公共支撑层、业务应用层与用户交互层。高标准农田信息化平台总体架构如图1所示。</w:t>
      </w:r>
      <w:bookmarkEnd w:id="24"/>
    </w:p>
    <w:p w14:paraId="15C64BD8">
      <w:pPr>
        <w:pStyle w:val="25"/>
        <w:sectPr>
          <w:headerReference r:id="rId3" w:type="default"/>
          <w:footerReference r:id="rId4" w:type="default"/>
          <w:pgSz w:w="11906" w:h="16838"/>
          <w:pgMar w:top="567" w:right="1134" w:bottom="1134" w:left="1418" w:header="1418" w:footer="1134" w:gutter="0"/>
          <w:pgNumType w:start="1"/>
          <w:cols w:space="425" w:num="1"/>
          <w:docGrid w:type="lines" w:linePitch="312" w:charSpace="0"/>
        </w:sectPr>
      </w:pPr>
    </w:p>
    <w:p w14:paraId="124FD629">
      <w:pPr>
        <w:pStyle w:val="25"/>
        <w:ind w:firstLine="0" w:firstLineChars="0"/>
        <w:jc w:val="center"/>
        <w:rPr>
          <w:rFonts w:hint="default" w:eastAsia="宋体"/>
          <w:lang w:val="en-US" w:eastAsia="zh-CN"/>
        </w:rPr>
      </w:pPr>
    </w:p>
    <w:p w14:paraId="2487F32F">
      <w:pPr>
        <w:pStyle w:val="25"/>
        <w:ind w:firstLine="0" w:firstLineChars="0"/>
        <w:jc w:val="center"/>
      </w:pPr>
    </w:p>
    <w:p w14:paraId="42AAD4AB">
      <w:pPr>
        <w:pStyle w:val="25"/>
        <w:ind w:firstLine="0" w:firstLineChars="0"/>
        <w:jc w:val="center"/>
      </w:pPr>
      <w:r>
        <w:object>
          <v:shape id="_x0000_i1025" o:spt="75" type="#_x0000_t75" style="height:304.7pt;width:756.55pt;" o:ole="t" filled="f" o:preferrelative="t" stroked="f" coordsize="21600,21600">
            <v:path/>
            <v:fill on="f" focussize="0,0"/>
            <v:stroke on="f"/>
            <v:imagedata r:id="rId9" o:title=""/>
            <o:lock v:ext="edit" aspectratio="t"/>
            <w10:wrap type="none"/>
            <w10:anchorlock/>
          </v:shape>
          <o:OLEObject Type="Embed" ProgID="Visio.Drawing.15" ShapeID="_x0000_i1025" DrawAspect="Content" ObjectID="_1468075725" r:id="rId8">
            <o:LockedField>false</o:LockedField>
          </o:OLEObject>
        </w:object>
      </w:r>
    </w:p>
    <w:p w14:paraId="72B7D2A6">
      <w:pPr>
        <w:pStyle w:val="25"/>
        <w:ind w:firstLine="0" w:firstLineChars="0"/>
        <w:jc w:val="center"/>
        <w:sectPr>
          <w:pgSz w:w="16838" w:h="11906" w:orient="landscape"/>
          <w:pgMar w:top="1418" w:right="567" w:bottom="1134" w:left="1134" w:header="1418" w:footer="1134" w:gutter="0"/>
          <w:cols w:space="425" w:num="1"/>
          <w:docGrid w:type="lines" w:linePitch="312" w:charSpace="0"/>
        </w:sectPr>
      </w:pPr>
      <w:r>
        <w:rPr>
          <w:rFonts w:hint="eastAsia"/>
        </w:rPr>
        <w:t xml:space="preserve">图1  </w:t>
      </w:r>
      <w:r>
        <w:rPr>
          <w:rFonts w:hint="eastAsia"/>
          <w:lang w:val="en-US" w:eastAsia="zh-CN"/>
        </w:rPr>
        <w:t>高标准农田信息化平台总体架构</w:t>
      </w:r>
      <w:bookmarkEnd w:id="25"/>
    </w:p>
    <w:p w14:paraId="16AB2BC0">
      <w:pPr>
        <w:pStyle w:val="25"/>
        <w:rPr>
          <w:rFonts w:hint="default"/>
          <w:lang w:val="en-US" w:eastAsia="zh-CN"/>
        </w:rPr>
      </w:pPr>
      <w:bookmarkStart w:id="26" w:name="_Toc11339"/>
      <w:r>
        <w:rPr>
          <w:rFonts w:hint="eastAsia"/>
          <w:lang w:val="en-US" w:eastAsia="zh-CN"/>
        </w:rPr>
        <w:t>基础设施层：</w:t>
      </w:r>
      <w:bookmarkStart w:id="27" w:name="OLE_LINK6"/>
      <w:r>
        <w:rPr>
          <w:rFonts w:hint="eastAsia"/>
          <w:lang w:val="en-US" w:eastAsia="zh-CN"/>
        </w:rPr>
        <w:t>包括农业智能灌溉、农业智能监测、农业绿色防护、农业遥感监测等现场应用感知/控制装备与设施，提供计算、存储、中间件、容器、数据库等服务的高标准农田信息化服务云平台，及负责数据传输的各类通讯网络。</w:t>
      </w:r>
      <w:bookmarkEnd w:id="27"/>
    </w:p>
    <w:p w14:paraId="11341B92">
      <w:pPr>
        <w:pStyle w:val="25"/>
        <w:rPr>
          <w:rFonts w:hint="eastAsia"/>
          <w:lang w:val="en-US" w:eastAsia="zh-CN"/>
        </w:rPr>
      </w:pPr>
      <w:r>
        <w:rPr>
          <w:rFonts w:hint="eastAsia"/>
          <w:lang w:val="en-US" w:eastAsia="zh-CN"/>
        </w:rPr>
        <w:t>数据资源层：</w:t>
      </w:r>
      <w:bookmarkStart w:id="28" w:name="OLE_LINK7"/>
      <w:r>
        <w:rPr>
          <w:rFonts w:hint="eastAsia"/>
          <w:lang w:val="en-US" w:eastAsia="zh-CN"/>
        </w:rPr>
        <w:t>包括高标准农田信息化基础库、主题库与专题库的数据资源体系，以及提供数据抽取、数据治理与数据服务等能力的数据共享体系。</w:t>
      </w:r>
      <w:bookmarkEnd w:id="28"/>
    </w:p>
    <w:p w14:paraId="5361F07C">
      <w:pPr>
        <w:pStyle w:val="25"/>
        <w:rPr>
          <w:rFonts w:hint="eastAsia"/>
          <w:lang w:val="en-US" w:eastAsia="zh-CN"/>
        </w:rPr>
      </w:pPr>
      <w:r>
        <w:rPr>
          <w:rFonts w:hint="eastAsia"/>
          <w:lang w:val="en-US" w:eastAsia="zh-CN"/>
        </w:rPr>
        <w:t>公共支撑层：</w:t>
      </w:r>
      <w:bookmarkStart w:id="29" w:name="OLE_LINK8"/>
      <w:r>
        <w:rPr>
          <w:rFonts w:hint="eastAsia"/>
          <w:lang w:val="en-US" w:eastAsia="zh-CN"/>
        </w:rPr>
        <w:t>包括支撑高标准农田信息化系统部署及运行所需要技术支撑服务，满足高标准农田管理实际需求的一系列业务支撑服务，提高高标准农田信息化系统管理效率和质量，确保系统的持续稳定运行管理支撑服务等。</w:t>
      </w:r>
      <w:bookmarkEnd w:id="29"/>
    </w:p>
    <w:p w14:paraId="6266E908">
      <w:pPr>
        <w:pStyle w:val="25"/>
        <w:rPr>
          <w:rFonts w:hint="eastAsia"/>
          <w:lang w:val="en-US" w:eastAsia="zh-CN"/>
        </w:rPr>
      </w:pPr>
      <w:r>
        <w:rPr>
          <w:rFonts w:hint="eastAsia"/>
          <w:lang w:val="en-US" w:eastAsia="zh-CN"/>
        </w:rPr>
        <w:t>业务应用层：</w:t>
      </w:r>
      <w:bookmarkStart w:id="30" w:name="OLE_LINK9"/>
      <w:r>
        <w:rPr>
          <w:rFonts w:hint="eastAsia"/>
          <w:lang w:val="en-US" w:eastAsia="zh-CN"/>
        </w:rPr>
        <w:t>包括高标准农田信息化建设业务所需要的门户系统、农田地理信息系统、耕地质量监测评价系统、物联网监控预警系统、智能灌溉系统、农事管理系统、农业遥感监测系统、农产品溯源系统、水价改革系统、高标准农田建设管理系统、高标准农田建后维护系统及大数据分析与展示系统等应用服务集成的协同平台。</w:t>
      </w:r>
      <w:bookmarkEnd w:id="30"/>
    </w:p>
    <w:p w14:paraId="1937B7A4">
      <w:pPr>
        <w:pStyle w:val="25"/>
        <w:rPr>
          <w:rFonts w:hint="default"/>
          <w:lang w:val="en-US" w:eastAsia="zh-CN"/>
        </w:rPr>
      </w:pPr>
      <w:r>
        <w:rPr>
          <w:rFonts w:hint="eastAsia"/>
          <w:lang w:val="en-US" w:eastAsia="zh-CN"/>
        </w:rPr>
        <w:t>用户交互层：</w:t>
      </w:r>
      <w:bookmarkStart w:id="31" w:name="OLE_LINK10"/>
      <w:r>
        <w:rPr>
          <w:rFonts w:hint="eastAsia"/>
          <w:lang w:val="en-US" w:eastAsia="zh-CN"/>
        </w:rPr>
        <w:t>包括WEB门户、移动APP、公众号/小程序、大屏展示等操作界面，为各级管理部门、建设/施工人员、社会公众人员等使用各类业务应用系统提供统一的入口与操作界面。</w:t>
      </w:r>
      <w:bookmarkEnd w:id="31"/>
    </w:p>
    <w:p w14:paraId="444B8C9E">
      <w:pPr>
        <w:pStyle w:val="45"/>
        <w:spacing w:before="156" w:after="156"/>
        <w:ind w:left="0"/>
        <w:outlineLvl w:val="1"/>
        <w:rPr>
          <w:shd w:val="clear" w:color="auto" w:fill="FFFFFF"/>
        </w:rPr>
      </w:pPr>
      <w:r>
        <w:rPr>
          <w:rFonts w:hint="eastAsia"/>
          <w:shd w:val="clear" w:color="auto" w:fill="FFFFFF"/>
          <w:lang w:val="en-US" w:eastAsia="zh-CN"/>
        </w:rPr>
        <w:t>基础设施层</w:t>
      </w:r>
    </w:p>
    <w:p w14:paraId="1CEC5216">
      <w:pPr>
        <w:pStyle w:val="45"/>
        <w:numPr>
          <w:ilvl w:val="2"/>
          <w:numId w:val="2"/>
        </w:numPr>
        <w:bidi w:val="0"/>
        <w:ind w:left="0" w:leftChars="0" w:firstLine="0" w:firstLineChars="0"/>
        <w:rPr>
          <w:rFonts w:hint="default"/>
          <w:lang w:val="en-US" w:eastAsia="zh-CN"/>
        </w:rPr>
      </w:pPr>
      <w:r>
        <w:rPr>
          <w:rFonts w:hint="eastAsia"/>
          <w:lang w:val="en-US" w:eastAsia="zh-CN"/>
        </w:rPr>
        <w:t>农业智能灌溉</w:t>
      </w:r>
    </w:p>
    <w:p w14:paraId="1BC67FDB">
      <w:pPr>
        <w:pStyle w:val="25"/>
        <w:rPr>
          <w:rFonts w:hint="default"/>
          <w:lang w:val="en-US" w:eastAsia="zh-CN"/>
        </w:rPr>
      </w:pPr>
      <w:r>
        <w:rPr>
          <w:rFonts w:hint="eastAsia"/>
          <w:lang w:val="en-US" w:eastAsia="zh-CN"/>
        </w:rPr>
        <w:t>农业智能灌溉基础设施宜包括但不限于以下设备：</w:t>
      </w:r>
    </w:p>
    <w:p w14:paraId="14BA57F5">
      <w:pPr>
        <w:pStyle w:val="25"/>
        <w:rPr>
          <w:rFonts w:hint="eastAsia"/>
          <w:lang w:val="en-US" w:eastAsia="zh-CN"/>
        </w:rPr>
      </w:pPr>
      <w:r>
        <w:rPr>
          <w:rFonts w:hint="eastAsia"/>
          <w:lang w:val="en-US" w:eastAsia="zh-CN"/>
        </w:rPr>
        <w:t>水源系统：包括江河、渠道、湖泊、水井、水库等；</w:t>
      </w:r>
    </w:p>
    <w:p w14:paraId="44EF7DE7">
      <w:pPr>
        <w:pStyle w:val="25"/>
        <w:rPr>
          <w:rFonts w:hint="default"/>
          <w:lang w:val="en-US" w:eastAsia="zh-CN"/>
        </w:rPr>
      </w:pPr>
      <w:r>
        <w:rPr>
          <w:rFonts w:hint="default"/>
          <w:lang w:val="en-US" w:eastAsia="zh-CN"/>
        </w:rPr>
        <w:t>首部系统：</w:t>
      </w:r>
      <w:r>
        <w:rPr>
          <w:rFonts w:hint="eastAsia"/>
          <w:lang w:val="en-US" w:eastAsia="zh-CN"/>
        </w:rPr>
        <w:t>由</w:t>
      </w:r>
      <w:r>
        <w:rPr>
          <w:rFonts w:hint="default"/>
          <w:lang w:val="en-US" w:eastAsia="zh-CN"/>
        </w:rPr>
        <w:t>水泵、过滤器、压力和流量</w:t>
      </w:r>
      <w:r>
        <w:rPr>
          <w:rFonts w:hint="eastAsia"/>
          <w:lang w:val="en-US" w:eastAsia="zh-Hans"/>
        </w:rPr>
        <w:t>监测</w:t>
      </w:r>
      <w:r>
        <w:rPr>
          <w:rFonts w:hint="default"/>
          <w:lang w:val="en-US" w:eastAsia="zh-CN"/>
        </w:rPr>
        <w:t>设备、压力保护装置、水肥机等自动化设备</w:t>
      </w:r>
      <w:r>
        <w:rPr>
          <w:rFonts w:hint="eastAsia"/>
          <w:lang w:val="en-US" w:eastAsia="zh-CN"/>
        </w:rPr>
        <w:t>组成；</w:t>
      </w:r>
    </w:p>
    <w:p w14:paraId="0E069CB7">
      <w:pPr>
        <w:pStyle w:val="25"/>
        <w:rPr>
          <w:rFonts w:hint="default"/>
          <w:lang w:val="en-US" w:eastAsia="zh-CN"/>
        </w:rPr>
      </w:pPr>
      <w:r>
        <w:rPr>
          <w:rFonts w:hint="default"/>
          <w:lang w:val="en-US" w:eastAsia="zh-CN"/>
        </w:rPr>
        <w:t>控制系统：由智能控制柜、土壤温湿度传感器、土壤PH值传感器、EC传感器等设备组成</w:t>
      </w:r>
      <w:r>
        <w:rPr>
          <w:rFonts w:hint="eastAsia"/>
          <w:lang w:val="en-US" w:eastAsia="zh-CN"/>
        </w:rPr>
        <w:t>；</w:t>
      </w:r>
    </w:p>
    <w:p w14:paraId="60118905">
      <w:pPr>
        <w:pStyle w:val="25"/>
        <w:rPr>
          <w:rFonts w:hint="default"/>
          <w:lang w:val="en-US" w:eastAsia="zh-CN"/>
        </w:rPr>
      </w:pPr>
      <w:r>
        <w:rPr>
          <w:rFonts w:hint="default"/>
          <w:lang w:val="en-US" w:eastAsia="zh-CN"/>
        </w:rPr>
        <w:t>施肥系统：包括灌溉系统和肥料溶液混合系统。灌溉系统有抽水泵、过滤器、灌溉管道、智能</w:t>
      </w:r>
      <w:r>
        <w:rPr>
          <w:rFonts w:hint="eastAsia"/>
          <w:lang w:val="en-US" w:eastAsia="zh-CN"/>
        </w:rPr>
        <w:t>电</w:t>
      </w:r>
      <w:r>
        <w:rPr>
          <w:rFonts w:hint="default"/>
          <w:lang w:val="en-US" w:eastAsia="zh-CN"/>
        </w:rPr>
        <w:t>磁阀等，肥料溶液混合系统包括肥料罐、智能控制柜、施肥器、电磁阀、传感器、混合罐、混合泵等设备。</w:t>
      </w:r>
    </w:p>
    <w:p w14:paraId="1B05C97E">
      <w:pPr>
        <w:pStyle w:val="45"/>
        <w:numPr>
          <w:ilvl w:val="2"/>
          <w:numId w:val="2"/>
        </w:numPr>
        <w:bidi w:val="0"/>
        <w:ind w:left="0" w:leftChars="0" w:firstLine="0" w:firstLineChars="0"/>
        <w:rPr>
          <w:rFonts w:hint="default"/>
          <w:lang w:val="en-US" w:eastAsia="zh-CN"/>
        </w:rPr>
      </w:pPr>
      <w:r>
        <w:rPr>
          <w:rFonts w:hint="eastAsia"/>
          <w:lang w:val="en-US" w:eastAsia="zh-CN"/>
        </w:rPr>
        <w:t>农业智能监测</w:t>
      </w:r>
    </w:p>
    <w:p w14:paraId="7BE4EB29">
      <w:pPr>
        <w:pStyle w:val="25"/>
        <w:rPr>
          <w:rFonts w:hint="default"/>
          <w:lang w:val="en-US" w:eastAsia="zh-CN"/>
        </w:rPr>
      </w:pPr>
      <w:r>
        <w:rPr>
          <w:rFonts w:hint="eastAsia"/>
          <w:lang w:val="en-US" w:eastAsia="zh-CN"/>
        </w:rPr>
        <w:t>农业智能监测基础设施宜包括但不限于以下设备：</w:t>
      </w:r>
    </w:p>
    <w:p w14:paraId="784A82F1">
      <w:pPr>
        <w:pStyle w:val="25"/>
        <w:rPr>
          <w:rFonts w:hint="eastAsia"/>
          <w:lang w:val="en-US" w:eastAsia="zh-CN"/>
        </w:rPr>
      </w:pPr>
      <w:r>
        <w:rPr>
          <w:rFonts w:hint="eastAsia"/>
          <w:lang w:val="en-US" w:eastAsia="zh-CN"/>
        </w:rPr>
        <w:t>（1）土壤监测设备</w:t>
      </w:r>
    </w:p>
    <w:p w14:paraId="302A3146">
      <w:pPr>
        <w:pStyle w:val="25"/>
        <w:rPr>
          <w:rFonts w:hint="eastAsia"/>
          <w:lang w:val="en-US" w:eastAsia="zh-CN"/>
        </w:rPr>
      </w:pPr>
      <w:r>
        <w:rPr>
          <w:rFonts w:hint="eastAsia"/>
          <w:lang w:val="en-US" w:eastAsia="zh-CN"/>
        </w:rPr>
        <w:t>土壤水分监测设备：用于测量土壤中的水分含量，如土壤湿度传感器或水分电导率传感器等；</w:t>
      </w:r>
    </w:p>
    <w:p w14:paraId="4C057919">
      <w:pPr>
        <w:pStyle w:val="25"/>
        <w:rPr>
          <w:rFonts w:hint="eastAsia"/>
          <w:lang w:val="en-US" w:eastAsia="zh-CN"/>
        </w:rPr>
      </w:pPr>
      <w:r>
        <w:rPr>
          <w:rFonts w:hint="eastAsia"/>
          <w:lang w:val="en-US" w:eastAsia="zh-CN"/>
        </w:rPr>
        <w:t>土壤温度监测设备：用于测量土壤的温度变化，通常使用温度传感器或埋地温度探头；</w:t>
      </w:r>
    </w:p>
    <w:p w14:paraId="15D79397">
      <w:pPr>
        <w:pStyle w:val="25"/>
        <w:rPr>
          <w:rFonts w:hint="eastAsia"/>
          <w:lang w:val="en-US" w:eastAsia="zh-CN"/>
        </w:rPr>
      </w:pPr>
      <w:r>
        <w:rPr>
          <w:rFonts w:hint="eastAsia"/>
          <w:lang w:val="en-US" w:eastAsia="zh-CN"/>
        </w:rPr>
        <w:t>土壤养分监测设备：用于测量土壤中的养分含量，如氮、磷、钾等，这些设备可能采用光谱分析、电化学传感器或离子选择电极等技术。</w:t>
      </w:r>
    </w:p>
    <w:p w14:paraId="244F5AFB">
      <w:pPr>
        <w:pStyle w:val="25"/>
        <w:rPr>
          <w:rFonts w:hint="eastAsia"/>
          <w:lang w:val="en-US" w:eastAsia="zh-CN"/>
        </w:rPr>
      </w:pPr>
      <w:r>
        <w:rPr>
          <w:rFonts w:hint="eastAsia"/>
          <w:lang w:val="en-US" w:eastAsia="zh-CN"/>
        </w:rPr>
        <w:t>（2）气象监测设备</w:t>
      </w:r>
    </w:p>
    <w:p w14:paraId="319E535D">
      <w:pPr>
        <w:pStyle w:val="25"/>
        <w:rPr>
          <w:rFonts w:hint="eastAsia"/>
          <w:lang w:val="en-US" w:eastAsia="zh-CN"/>
        </w:rPr>
      </w:pPr>
      <w:r>
        <w:rPr>
          <w:rFonts w:hint="eastAsia"/>
          <w:lang w:val="en-US" w:eastAsia="zh-CN"/>
        </w:rPr>
        <w:t>气象监测仪：用于测量和记录农田中的气象参数，如温度、湿度、风速、降水量等；</w:t>
      </w:r>
    </w:p>
    <w:p w14:paraId="2539566C">
      <w:pPr>
        <w:pStyle w:val="25"/>
        <w:rPr>
          <w:rFonts w:hint="eastAsia"/>
          <w:lang w:val="en-US" w:eastAsia="zh-CN"/>
        </w:rPr>
      </w:pPr>
      <w:r>
        <w:rPr>
          <w:rFonts w:hint="eastAsia"/>
          <w:lang w:val="en-US" w:eastAsia="zh-CN"/>
        </w:rPr>
        <w:t>光照监测仪：用于监测农田中的光照强度。</w:t>
      </w:r>
    </w:p>
    <w:p w14:paraId="44E5CD59">
      <w:pPr>
        <w:pStyle w:val="25"/>
        <w:rPr>
          <w:rFonts w:hint="eastAsia"/>
          <w:lang w:val="en-US" w:eastAsia="zh-CN"/>
        </w:rPr>
      </w:pPr>
      <w:r>
        <w:rPr>
          <w:rFonts w:hint="eastAsia"/>
          <w:lang w:val="en-US" w:eastAsia="zh-CN"/>
        </w:rPr>
        <w:t>（3）作物长势监测设备</w:t>
      </w:r>
    </w:p>
    <w:p w14:paraId="5F904064">
      <w:pPr>
        <w:pStyle w:val="25"/>
        <w:rPr>
          <w:rFonts w:hint="eastAsia"/>
          <w:lang w:val="en-US" w:eastAsia="zh-CN"/>
        </w:rPr>
      </w:pPr>
      <w:r>
        <w:rPr>
          <w:rFonts w:hint="eastAsia"/>
          <w:lang w:val="en-US" w:eastAsia="zh-CN"/>
        </w:rPr>
        <w:t>这些设备可以使用图像识别、红外线传感器、激光测距仪等设备，以获取有关作物高度、覆盖度、生长率等参数的数据。</w:t>
      </w:r>
    </w:p>
    <w:p w14:paraId="392ED17A">
      <w:pPr>
        <w:pStyle w:val="25"/>
        <w:rPr>
          <w:rFonts w:hint="eastAsia"/>
          <w:lang w:val="en-US" w:eastAsia="zh-CN"/>
        </w:rPr>
      </w:pPr>
      <w:r>
        <w:rPr>
          <w:rFonts w:hint="eastAsia"/>
          <w:lang w:val="en-US" w:eastAsia="zh-CN"/>
        </w:rPr>
        <w:t>（4）其他监测设备</w:t>
      </w:r>
    </w:p>
    <w:p w14:paraId="1AA4C2A3">
      <w:pPr>
        <w:pStyle w:val="25"/>
        <w:rPr>
          <w:rFonts w:hint="default"/>
          <w:lang w:val="en-US" w:eastAsia="zh-CN"/>
        </w:rPr>
      </w:pPr>
      <w:r>
        <w:rPr>
          <w:rFonts w:hint="eastAsia"/>
          <w:lang w:val="en-US" w:eastAsia="zh-CN"/>
        </w:rPr>
        <w:t xml:space="preserve">农药残留检测仪：用于检测农田中农药的残留情况，保证农产品的质量和安全性。 </w:t>
      </w:r>
    </w:p>
    <w:p w14:paraId="38425512">
      <w:pPr>
        <w:pStyle w:val="45"/>
        <w:numPr>
          <w:ilvl w:val="2"/>
          <w:numId w:val="2"/>
        </w:numPr>
        <w:bidi w:val="0"/>
        <w:ind w:left="0" w:leftChars="0" w:firstLine="0" w:firstLineChars="0"/>
        <w:rPr>
          <w:rFonts w:hint="default"/>
          <w:lang w:val="en-US" w:eastAsia="zh-CN"/>
        </w:rPr>
      </w:pPr>
      <w:r>
        <w:rPr>
          <w:rFonts w:hint="eastAsia"/>
          <w:lang w:val="en-US" w:eastAsia="zh-CN"/>
        </w:rPr>
        <w:t>农业绿色防控</w:t>
      </w:r>
    </w:p>
    <w:p w14:paraId="3C34C2AC">
      <w:pPr>
        <w:pStyle w:val="25"/>
        <w:rPr>
          <w:rFonts w:hint="default"/>
          <w:lang w:val="en-US" w:eastAsia="zh-CN"/>
        </w:rPr>
      </w:pPr>
      <w:r>
        <w:rPr>
          <w:rFonts w:hint="eastAsia"/>
          <w:lang w:val="en-US" w:eastAsia="zh-CN"/>
        </w:rPr>
        <w:t>农业绿色防控基础设施宜包括但不限于以下设备：</w:t>
      </w:r>
    </w:p>
    <w:p w14:paraId="25C965E1">
      <w:pPr>
        <w:pStyle w:val="25"/>
        <w:rPr>
          <w:rFonts w:hint="eastAsia"/>
          <w:lang w:val="en-US" w:eastAsia="zh-CN"/>
        </w:rPr>
      </w:pPr>
      <w:r>
        <w:rPr>
          <w:rFonts w:hint="eastAsia"/>
          <w:lang w:val="en-US" w:eastAsia="zh-CN"/>
        </w:rPr>
        <w:t>虫情监测装置：集成了尖端传感器技术与智能图像分析系统，利用高清摄像头持续捕捉作物及害虫图像，通过先进的图像识别算法，装置能精确辨识害虫种类、数量及其活跃状态；</w:t>
      </w:r>
    </w:p>
    <w:p w14:paraId="3C63D902">
      <w:pPr>
        <w:pStyle w:val="25"/>
        <w:rPr>
          <w:rFonts w:hint="eastAsia"/>
          <w:lang w:val="en-US" w:eastAsia="zh-CN"/>
        </w:rPr>
      </w:pPr>
      <w:r>
        <w:rPr>
          <w:rFonts w:hint="eastAsia"/>
          <w:lang w:val="en-US" w:eastAsia="zh-CN"/>
        </w:rPr>
        <w:t>病情监测装置：集成了先进的传感器技术和智能分析系统，能够实时采集作物生长环境中的关键数据，同时利用高清摄像头捕捉孢子、作物图像，通过图像识别技术精准分析病菌孢子的种类、数量和活跃度；</w:t>
      </w:r>
    </w:p>
    <w:p w14:paraId="2D807D6C">
      <w:pPr>
        <w:pStyle w:val="25"/>
        <w:rPr>
          <w:rFonts w:hint="eastAsia"/>
          <w:lang w:val="en-US" w:eastAsia="zh-CN"/>
        </w:rPr>
      </w:pPr>
      <w:r>
        <w:rPr>
          <w:rFonts w:hint="eastAsia"/>
          <w:lang w:val="en-US" w:eastAsia="zh-CN"/>
        </w:rPr>
        <w:t>杀虫灯：通过物理方式诱杀害虫，有效减少了对化学农药的依赖，例如风吸式杀虫灯；</w:t>
      </w:r>
    </w:p>
    <w:p w14:paraId="44090CE7">
      <w:pPr>
        <w:pStyle w:val="25"/>
        <w:rPr>
          <w:rFonts w:hint="eastAsia"/>
          <w:lang w:val="en-US" w:eastAsia="zh-CN"/>
        </w:rPr>
      </w:pPr>
      <w:r>
        <w:rPr>
          <w:rFonts w:hint="eastAsia"/>
          <w:lang w:val="en-US" w:eastAsia="zh-CN"/>
        </w:rPr>
        <w:t>生物防治装置：这些设备通常与生物农药和天敌昆虫的使用相关。</w:t>
      </w:r>
    </w:p>
    <w:p w14:paraId="685035F8">
      <w:pPr>
        <w:pStyle w:val="45"/>
        <w:numPr>
          <w:ilvl w:val="2"/>
          <w:numId w:val="2"/>
        </w:numPr>
        <w:bidi w:val="0"/>
        <w:ind w:left="0" w:leftChars="0" w:firstLine="0" w:firstLineChars="0"/>
        <w:rPr>
          <w:rFonts w:hint="default"/>
          <w:lang w:val="en-US" w:eastAsia="zh-CN"/>
        </w:rPr>
      </w:pPr>
      <w:r>
        <w:rPr>
          <w:rFonts w:hint="eastAsia"/>
          <w:lang w:val="en-US" w:eastAsia="zh-CN"/>
        </w:rPr>
        <w:t>农业遥感监测</w:t>
      </w:r>
    </w:p>
    <w:p w14:paraId="281F31DF">
      <w:pPr>
        <w:pStyle w:val="25"/>
        <w:rPr>
          <w:rFonts w:hint="default"/>
          <w:lang w:val="en-US" w:eastAsia="zh-CN"/>
        </w:rPr>
      </w:pPr>
      <w:r>
        <w:rPr>
          <w:rFonts w:hint="eastAsia"/>
          <w:lang w:val="en-US" w:eastAsia="zh-CN"/>
        </w:rPr>
        <w:t>农业遥感监测基础设施宜包括但不限于以下设备：</w:t>
      </w:r>
    </w:p>
    <w:p w14:paraId="5169D682">
      <w:pPr>
        <w:pStyle w:val="25"/>
        <w:rPr>
          <w:rFonts w:hint="eastAsia"/>
          <w:lang w:val="en-US" w:eastAsia="zh-CN"/>
        </w:rPr>
      </w:pPr>
      <w:r>
        <w:rPr>
          <w:rFonts w:hint="eastAsia"/>
          <w:lang w:val="en-US" w:eastAsia="zh-CN"/>
        </w:rPr>
        <w:t>遥感卫星系统：可以获取覆盖广泛区域的地表信息，如可见光、红外、微波等多个波段的图像和数据；</w:t>
      </w:r>
    </w:p>
    <w:p w14:paraId="3B4446BB">
      <w:pPr>
        <w:pStyle w:val="25"/>
        <w:rPr>
          <w:rFonts w:hint="eastAsia"/>
          <w:lang w:val="en-US" w:eastAsia="zh-CN"/>
        </w:rPr>
      </w:pPr>
      <w:r>
        <w:rPr>
          <w:rFonts w:hint="eastAsia"/>
          <w:lang w:val="en-US" w:eastAsia="zh-CN"/>
        </w:rPr>
        <w:t>无人机遥感系统：无人机搭载的高清相机、多光谱相机等设备，可以获取高分辨率的遥感图像；</w:t>
      </w:r>
    </w:p>
    <w:p w14:paraId="2C7BEBFE">
      <w:pPr>
        <w:pStyle w:val="25"/>
        <w:rPr>
          <w:rFonts w:hint="eastAsia"/>
          <w:lang w:val="en-US" w:eastAsia="zh-CN"/>
        </w:rPr>
      </w:pPr>
      <w:r>
        <w:rPr>
          <w:rFonts w:hint="eastAsia"/>
          <w:lang w:val="en-US" w:eastAsia="zh-CN"/>
        </w:rPr>
        <w:t>雷达监测系统：能够获取地表的三维信息和动态变化，对于地形测绘、灾害监测等具有重要作用；</w:t>
      </w:r>
    </w:p>
    <w:p w14:paraId="65D5FE2F">
      <w:pPr>
        <w:pStyle w:val="25"/>
        <w:rPr>
          <w:rFonts w:hint="eastAsia"/>
          <w:lang w:val="en-US" w:eastAsia="zh-CN"/>
        </w:rPr>
      </w:pPr>
      <w:r>
        <w:rPr>
          <w:rFonts w:hint="eastAsia"/>
          <w:lang w:val="en-US" w:eastAsia="zh-CN"/>
        </w:rPr>
        <w:t>光谱分析设备：用于分析遥感数据中的光谱信息，提取出地表物质的成分、性质等特征。</w:t>
      </w:r>
    </w:p>
    <w:p w14:paraId="2BC7B7A9">
      <w:pPr>
        <w:pStyle w:val="45"/>
        <w:numPr>
          <w:ilvl w:val="2"/>
          <w:numId w:val="2"/>
        </w:numPr>
        <w:bidi w:val="0"/>
        <w:ind w:left="0" w:leftChars="0" w:firstLine="0" w:firstLineChars="0"/>
        <w:rPr>
          <w:rFonts w:hint="eastAsia"/>
          <w:lang w:val="en-US" w:eastAsia="zh-CN"/>
        </w:rPr>
      </w:pPr>
      <w:r>
        <w:rPr>
          <w:rFonts w:hint="eastAsia"/>
          <w:lang w:val="en-US" w:eastAsia="zh-CN"/>
        </w:rPr>
        <w:t>云平台</w:t>
      </w:r>
    </w:p>
    <w:p w14:paraId="3B311D62">
      <w:pPr>
        <w:pStyle w:val="25"/>
        <w:rPr>
          <w:rFonts w:hint="eastAsia"/>
          <w:lang w:val="en-US" w:eastAsia="zh-CN"/>
        </w:rPr>
      </w:pPr>
      <w:r>
        <w:rPr>
          <w:rFonts w:hint="eastAsia"/>
          <w:lang w:val="en-US" w:eastAsia="zh-CN"/>
        </w:rPr>
        <w:t>提供高标准农田信息化所需的数字基础设施服务，包括但不限于计算、存储等，IaaS服务及容器、中间件和数据库等PaaS服务。</w:t>
      </w:r>
    </w:p>
    <w:p w14:paraId="0470282C">
      <w:pPr>
        <w:pStyle w:val="45"/>
        <w:numPr>
          <w:ilvl w:val="2"/>
          <w:numId w:val="2"/>
        </w:numPr>
        <w:bidi w:val="0"/>
        <w:ind w:left="0" w:leftChars="0" w:firstLine="0" w:firstLineChars="0"/>
        <w:rPr>
          <w:rFonts w:hint="eastAsia"/>
          <w:lang w:val="en-US" w:eastAsia="zh-CN"/>
        </w:rPr>
      </w:pPr>
      <w:r>
        <w:rPr>
          <w:rFonts w:hint="eastAsia"/>
          <w:lang w:val="en-US" w:eastAsia="zh-CN"/>
        </w:rPr>
        <w:t>网络通讯</w:t>
      </w:r>
    </w:p>
    <w:p w14:paraId="5DE244A3">
      <w:pPr>
        <w:pStyle w:val="25"/>
        <w:rPr>
          <w:rFonts w:hint="default"/>
          <w:lang w:val="en-US" w:eastAsia="zh-CN"/>
        </w:rPr>
      </w:pPr>
      <w:r>
        <w:rPr>
          <w:rFonts w:hint="eastAsia"/>
          <w:lang w:val="en-US" w:eastAsia="zh-CN"/>
        </w:rPr>
        <w:t>提供高标准农田信息化应用系统运行所需要的通讯服务能力，包括但不限于以太网、</w:t>
      </w:r>
      <w:r>
        <w:rPr>
          <w:rFonts w:hint="eastAsia"/>
          <w:lang w:val="zh-CN" w:eastAsia="zh-CN"/>
        </w:rPr>
        <w:t>4/5G、</w:t>
      </w:r>
      <w:r>
        <w:rPr>
          <w:rFonts w:hint="eastAsia"/>
          <w:lang w:val="en-US" w:eastAsia="zh-CN"/>
        </w:rPr>
        <w:t>卫星网、RS485/232等。</w:t>
      </w:r>
    </w:p>
    <w:p w14:paraId="3C7464E1">
      <w:pPr>
        <w:pStyle w:val="45"/>
        <w:spacing w:before="156" w:after="156"/>
        <w:ind w:left="0"/>
        <w:outlineLvl w:val="1"/>
        <w:rPr>
          <w:color w:val="000000"/>
          <w:shd w:val="clear" w:color="auto" w:fill="FFFFFF"/>
        </w:rPr>
      </w:pPr>
      <w:r>
        <w:rPr>
          <w:rFonts w:hint="eastAsia"/>
          <w:color w:val="000000"/>
          <w:shd w:val="clear" w:color="auto" w:fill="FFFFFF"/>
          <w:lang w:val="en-US" w:eastAsia="zh-CN"/>
        </w:rPr>
        <w:t>数据资源层</w:t>
      </w:r>
    </w:p>
    <w:p w14:paraId="44640997">
      <w:pPr>
        <w:pStyle w:val="45"/>
        <w:numPr>
          <w:ilvl w:val="2"/>
          <w:numId w:val="2"/>
        </w:numPr>
        <w:bidi w:val="0"/>
        <w:ind w:left="0" w:leftChars="0" w:firstLine="0" w:firstLineChars="0"/>
        <w:rPr>
          <w:rFonts w:hint="default"/>
          <w:lang w:val="en-US" w:eastAsia="zh-CN"/>
        </w:rPr>
      </w:pPr>
      <w:r>
        <w:rPr>
          <w:rFonts w:hint="eastAsia"/>
          <w:lang w:val="en-US" w:eastAsia="zh-CN"/>
        </w:rPr>
        <w:t>数据资源体系</w:t>
      </w:r>
    </w:p>
    <w:p w14:paraId="30F5AA37">
      <w:pPr>
        <w:pStyle w:val="25"/>
        <w:rPr>
          <w:rFonts w:hint="eastAsia"/>
          <w:lang w:val="en-US" w:eastAsia="zh-CN"/>
        </w:rPr>
      </w:pPr>
      <w:r>
        <w:rPr>
          <w:rFonts w:hint="eastAsia"/>
          <w:lang w:val="en-US" w:eastAsia="zh-CN"/>
        </w:rPr>
        <w:t>基于高标准农田信息化建设资源目录和数据交换，分类建设高标准农田信息化基础库、主题库、专题库，以满足分级负责、逐级互联、协同管理的需求，具体包括：</w:t>
      </w:r>
    </w:p>
    <w:p w14:paraId="714D4DBD">
      <w:pPr>
        <w:pStyle w:val="25"/>
        <w:rPr>
          <w:rFonts w:hint="eastAsia"/>
          <w:lang w:val="en-US" w:eastAsia="zh-CN"/>
        </w:rPr>
      </w:pPr>
      <w:r>
        <w:rPr>
          <w:rFonts w:hint="eastAsia"/>
          <w:lang w:val="en-US" w:eastAsia="zh-CN"/>
        </w:rPr>
        <w:t>基础库：包括但不限于相关的耕地信息、人员、机构等数据集；</w:t>
      </w:r>
    </w:p>
    <w:p w14:paraId="165BA8DA">
      <w:pPr>
        <w:pStyle w:val="25"/>
        <w:rPr>
          <w:rFonts w:hint="default"/>
          <w:lang w:val="en-US" w:eastAsia="zh-CN"/>
        </w:rPr>
      </w:pPr>
      <w:r>
        <w:rPr>
          <w:rFonts w:hint="eastAsia"/>
          <w:lang w:val="en-US" w:eastAsia="zh-CN"/>
        </w:rPr>
        <w:t>主题库：包括但不限于相关业务涉及的物联网感知/控制装备、传感采集、数字模型、遥感、农事、库存、水改、耕地质量等数据集；</w:t>
      </w:r>
    </w:p>
    <w:p w14:paraId="135833F6">
      <w:pPr>
        <w:pStyle w:val="25"/>
        <w:rPr>
          <w:rFonts w:hint="default"/>
          <w:lang w:val="en-US" w:eastAsia="zh-CN"/>
        </w:rPr>
      </w:pPr>
      <w:r>
        <w:rPr>
          <w:rFonts w:hint="eastAsia"/>
          <w:lang w:val="en-US" w:eastAsia="zh-CN"/>
        </w:rPr>
        <w:t>专题库：包括但不限于相关管理部门涉及的数据分析、领导决策等专项工作所需要的数据集。</w:t>
      </w:r>
    </w:p>
    <w:p w14:paraId="75B7C4DD">
      <w:pPr>
        <w:pStyle w:val="45"/>
        <w:numPr>
          <w:ilvl w:val="2"/>
          <w:numId w:val="2"/>
        </w:numPr>
        <w:bidi w:val="0"/>
        <w:ind w:left="0" w:leftChars="0" w:firstLine="0" w:firstLineChars="0"/>
        <w:rPr>
          <w:rFonts w:hint="default"/>
          <w:lang w:val="en-US" w:eastAsia="zh-CN"/>
        </w:rPr>
      </w:pPr>
      <w:r>
        <w:rPr>
          <w:rFonts w:hint="eastAsia"/>
          <w:lang w:val="en-US" w:eastAsia="zh-CN"/>
        </w:rPr>
        <w:t>数据共享体系</w:t>
      </w:r>
    </w:p>
    <w:p w14:paraId="3F06191D">
      <w:pPr>
        <w:pStyle w:val="25"/>
        <w:rPr>
          <w:rFonts w:hint="default"/>
          <w:lang w:val="en-US" w:eastAsia="zh-CN"/>
        </w:rPr>
      </w:pPr>
      <w:r>
        <w:rPr>
          <w:rFonts w:hint="eastAsia"/>
          <w:lang w:val="en-US" w:eastAsia="zh-CN"/>
        </w:rPr>
        <w:t>具备数据抽取、数据治理、数据服务等能力，实现高标准农田信息化省、市、县、乡、村五层级、跨部门、跨领域的数据互联共享。</w:t>
      </w:r>
    </w:p>
    <w:p w14:paraId="480C6CB7">
      <w:pPr>
        <w:pStyle w:val="45"/>
        <w:spacing w:before="156" w:after="156"/>
        <w:ind w:left="0"/>
        <w:outlineLvl w:val="1"/>
        <w:rPr>
          <w:shd w:val="clear" w:color="auto" w:fill="FFFFFF"/>
        </w:rPr>
      </w:pPr>
      <w:r>
        <w:rPr>
          <w:rFonts w:hint="eastAsia"/>
          <w:shd w:val="clear" w:color="auto" w:fill="FFFFFF"/>
          <w:lang w:val="en-US" w:eastAsia="zh-CN"/>
        </w:rPr>
        <w:t>公共支撑层</w:t>
      </w:r>
    </w:p>
    <w:p w14:paraId="5539F174">
      <w:pPr>
        <w:pStyle w:val="45"/>
        <w:numPr>
          <w:ilvl w:val="2"/>
          <w:numId w:val="2"/>
        </w:numPr>
        <w:bidi w:val="0"/>
        <w:ind w:left="0" w:leftChars="0" w:firstLine="0" w:firstLineChars="0"/>
        <w:rPr>
          <w:rFonts w:hint="default"/>
          <w:lang w:val="en-US" w:eastAsia="zh-CN"/>
        </w:rPr>
      </w:pPr>
      <w:r>
        <w:rPr>
          <w:rFonts w:hint="eastAsia"/>
          <w:lang w:val="en-US" w:eastAsia="zh-CN"/>
        </w:rPr>
        <w:t>技术支撑服务</w:t>
      </w:r>
    </w:p>
    <w:p w14:paraId="127432AF">
      <w:pPr>
        <w:pStyle w:val="25"/>
        <w:rPr>
          <w:rFonts w:hint="default"/>
          <w:lang w:val="en-US" w:eastAsia="zh-CN"/>
        </w:rPr>
      </w:pPr>
      <w:r>
        <w:rPr>
          <w:rFonts w:hint="eastAsia"/>
          <w:lang w:val="en-US" w:eastAsia="zh-CN"/>
        </w:rPr>
        <w:t>为高标准农田信息化部署、运行提供支撑的服务组件，包括中间件服务、物联网服务、遥感服务、视频服务、区块链服务等。</w:t>
      </w:r>
    </w:p>
    <w:p w14:paraId="01DA3D97">
      <w:pPr>
        <w:pStyle w:val="45"/>
        <w:numPr>
          <w:ilvl w:val="2"/>
          <w:numId w:val="2"/>
        </w:numPr>
        <w:bidi w:val="0"/>
        <w:ind w:left="0" w:leftChars="0" w:firstLine="0" w:firstLineChars="0"/>
        <w:rPr>
          <w:rFonts w:hint="default"/>
          <w:lang w:val="en-US" w:eastAsia="zh-CN"/>
        </w:rPr>
      </w:pPr>
      <w:r>
        <w:rPr>
          <w:rFonts w:hint="eastAsia"/>
          <w:lang w:val="en-US" w:eastAsia="zh-CN"/>
        </w:rPr>
        <w:t>业务支撑服务</w:t>
      </w:r>
    </w:p>
    <w:p w14:paraId="3880B9F1">
      <w:pPr>
        <w:pStyle w:val="25"/>
        <w:rPr>
          <w:rFonts w:hint="default"/>
          <w:lang w:val="en-US" w:eastAsia="zh-CN"/>
        </w:rPr>
      </w:pPr>
      <w:r>
        <w:rPr>
          <w:rFonts w:hint="eastAsia"/>
          <w:lang w:val="en-US" w:eastAsia="zh-CN"/>
        </w:rPr>
        <w:t>为高标准农田信息化业务应用提供支撑的服务组件，包括但不限于地理信息服务、人工智能服务、远程监控服务、支付服务、追溯码服务、智能表单服务等。</w:t>
      </w:r>
    </w:p>
    <w:p w14:paraId="3FB0C1CD">
      <w:pPr>
        <w:pStyle w:val="45"/>
        <w:numPr>
          <w:ilvl w:val="2"/>
          <w:numId w:val="2"/>
        </w:numPr>
        <w:bidi w:val="0"/>
        <w:ind w:left="0" w:leftChars="0" w:firstLine="0" w:firstLineChars="0"/>
        <w:rPr>
          <w:rFonts w:hint="default"/>
          <w:lang w:val="en-US" w:eastAsia="zh-CN"/>
        </w:rPr>
      </w:pPr>
      <w:r>
        <w:rPr>
          <w:rFonts w:hint="eastAsia"/>
          <w:lang w:val="en-US" w:eastAsia="zh-CN"/>
        </w:rPr>
        <w:t>管理支撑服务</w:t>
      </w:r>
    </w:p>
    <w:p w14:paraId="4F624149">
      <w:pPr>
        <w:pStyle w:val="25"/>
        <w:rPr>
          <w:rFonts w:hint="default"/>
          <w:lang w:val="en-US" w:eastAsia="zh-CN"/>
        </w:rPr>
      </w:pPr>
      <w:r>
        <w:rPr>
          <w:rFonts w:hint="eastAsia"/>
          <w:lang w:val="en-US" w:eastAsia="zh-CN"/>
        </w:rPr>
        <w:t>为高标准农田信息化公共管理提供支撑的服务组件，包括但不限于组织机构、身份管理、访问控制、消息中心、应用管理、微服务管理等。</w:t>
      </w:r>
    </w:p>
    <w:p w14:paraId="0B8940CD">
      <w:pPr>
        <w:pStyle w:val="45"/>
        <w:spacing w:before="156" w:after="156"/>
        <w:ind w:left="0"/>
        <w:outlineLvl w:val="1"/>
        <w:rPr>
          <w:shd w:val="clear" w:color="auto" w:fill="FFFFFF"/>
        </w:rPr>
      </w:pPr>
      <w:r>
        <w:rPr>
          <w:rFonts w:hint="eastAsia"/>
          <w:shd w:val="clear" w:color="auto" w:fill="FFFFFF"/>
          <w:lang w:val="en-US" w:eastAsia="zh-CN"/>
        </w:rPr>
        <w:t>业务应用层</w:t>
      </w:r>
    </w:p>
    <w:p w14:paraId="6861DB94">
      <w:pPr>
        <w:pStyle w:val="25"/>
        <w:rPr>
          <w:rFonts w:hint="eastAsia"/>
          <w:lang w:val="en-US" w:eastAsia="zh-CN"/>
        </w:rPr>
      </w:pPr>
      <w:r>
        <w:rPr>
          <w:rFonts w:hint="eastAsia"/>
          <w:lang w:val="en-US" w:eastAsia="zh-CN"/>
        </w:rPr>
        <w:t>业务应用层宜包括但不限于以下各功能：</w:t>
      </w:r>
    </w:p>
    <w:p w14:paraId="7E93C102">
      <w:pPr>
        <w:pStyle w:val="45"/>
        <w:numPr>
          <w:ilvl w:val="2"/>
          <w:numId w:val="2"/>
        </w:numPr>
        <w:bidi w:val="0"/>
        <w:ind w:left="0" w:leftChars="0" w:firstLine="0" w:firstLineChars="0"/>
        <w:rPr>
          <w:rFonts w:hint="eastAsia"/>
          <w:lang w:val="en-US" w:eastAsia="zh-CN"/>
        </w:rPr>
      </w:pPr>
      <w:r>
        <w:rPr>
          <w:rFonts w:hint="eastAsia"/>
          <w:lang w:val="en-US" w:eastAsia="zh-CN"/>
        </w:rPr>
        <w:t>门户系统</w:t>
      </w:r>
    </w:p>
    <w:p w14:paraId="4B3585B3">
      <w:pPr>
        <w:pStyle w:val="25"/>
        <w:rPr>
          <w:rFonts w:hint="eastAsia"/>
          <w:lang w:val="en-US" w:eastAsia="zh-CN"/>
        </w:rPr>
      </w:pPr>
      <w:r>
        <w:rPr>
          <w:rFonts w:hint="eastAsia"/>
          <w:lang w:val="en-US" w:eastAsia="zh-CN"/>
        </w:rPr>
        <w:t>具备组织管理、用户管理、角色管理、群组管理、系统设置、系统维护等基本功能。实现系统内的用户、角色、组织的统一集中管理，并可按需灵活组织群组，促进各部门协作与交流；系统设置能提供个性化定制选项，满足不同需求；系统维护对整个系统提供完善的运营维护功能。门户系统应用还支持与其他系统的数据对接，实现信息共享。</w:t>
      </w:r>
    </w:p>
    <w:p w14:paraId="289ACB01">
      <w:pPr>
        <w:pStyle w:val="45"/>
        <w:numPr>
          <w:ilvl w:val="2"/>
          <w:numId w:val="2"/>
        </w:numPr>
        <w:bidi w:val="0"/>
        <w:ind w:left="0" w:leftChars="0" w:firstLine="0" w:firstLineChars="0"/>
        <w:rPr>
          <w:rFonts w:hint="eastAsia"/>
          <w:lang w:val="en-US" w:eastAsia="zh-CN"/>
        </w:rPr>
      </w:pPr>
      <w:r>
        <w:rPr>
          <w:rFonts w:hint="eastAsia"/>
          <w:lang w:val="en-US" w:eastAsia="zh-CN"/>
        </w:rPr>
        <w:t>农田地理信息系统</w:t>
      </w:r>
    </w:p>
    <w:p w14:paraId="754C067E">
      <w:pPr>
        <w:pStyle w:val="25"/>
        <w:rPr>
          <w:rFonts w:hint="eastAsia"/>
          <w:lang w:val="en-US" w:eastAsia="zh-CN"/>
        </w:rPr>
      </w:pPr>
      <w:r>
        <w:rPr>
          <w:rFonts w:hint="eastAsia"/>
          <w:lang w:val="en-US" w:eastAsia="zh-CN"/>
        </w:rPr>
        <w:t>集成基地地块管理、基地管理、水源管理、作物管理、专题图层绘制及GIS展示等核心功能，为农田管理提供全面支持，通过GIS展示使农田布局、地形地貌一目了然；可按需与各子系统对接，实现信息共享。</w:t>
      </w:r>
    </w:p>
    <w:p w14:paraId="691041E6">
      <w:pPr>
        <w:pStyle w:val="45"/>
        <w:numPr>
          <w:ilvl w:val="2"/>
          <w:numId w:val="2"/>
        </w:numPr>
        <w:bidi w:val="0"/>
        <w:ind w:left="0" w:leftChars="0" w:firstLine="0" w:firstLineChars="0"/>
        <w:rPr>
          <w:rFonts w:hint="eastAsia"/>
          <w:lang w:val="en-US" w:eastAsia="zh-CN"/>
        </w:rPr>
      </w:pPr>
      <w:r>
        <w:rPr>
          <w:rFonts w:hint="eastAsia"/>
          <w:lang w:val="en-US" w:eastAsia="zh-CN"/>
        </w:rPr>
        <w:t>耕地质量监测评价系统</w:t>
      </w:r>
    </w:p>
    <w:p w14:paraId="7B463CB5">
      <w:pPr>
        <w:pStyle w:val="25"/>
        <w:rPr>
          <w:rFonts w:hint="eastAsia"/>
          <w:lang w:val="en-US" w:eastAsia="zh-CN"/>
        </w:rPr>
      </w:pPr>
      <w:r>
        <w:rPr>
          <w:rFonts w:hint="eastAsia"/>
          <w:lang w:val="en-US" w:eastAsia="zh-CN"/>
        </w:rPr>
        <w:t>集成耕地质量数据采集、质量评级、障碍分析、精准提升、后期跟踪及GIS可视化等功能，实现对耕地质量的全方位监测、评价与管理，可按需与相关部门实现数据对接与跨部门数据共享。</w:t>
      </w:r>
    </w:p>
    <w:p w14:paraId="6748E143">
      <w:pPr>
        <w:pStyle w:val="45"/>
        <w:numPr>
          <w:ilvl w:val="2"/>
          <w:numId w:val="2"/>
        </w:numPr>
        <w:bidi w:val="0"/>
        <w:ind w:left="0" w:leftChars="0" w:firstLine="0" w:firstLineChars="0"/>
        <w:rPr>
          <w:rFonts w:hint="eastAsia"/>
          <w:lang w:val="en-US" w:eastAsia="zh-CN"/>
        </w:rPr>
      </w:pPr>
      <w:r>
        <w:rPr>
          <w:rFonts w:hint="eastAsia"/>
          <w:lang w:val="en-US" w:eastAsia="zh-CN"/>
        </w:rPr>
        <w:t>物联网监控预警系统</w:t>
      </w:r>
    </w:p>
    <w:p w14:paraId="0CE70A68">
      <w:pPr>
        <w:pStyle w:val="25"/>
        <w:rPr>
          <w:rFonts w:hint="eastAsia"/>
          <w:lang w:val="en-US" w:eastAsia="zh-CN"/>
        </w:rPr>
      </w:pPr>
      <w:r>
        <w:rPr>
          <w:rFonts w:hint="eastAsia"/>
          <w:lang w:val="en-US" w:eastAsia="zh-CN"/>
        </w:rPr>
        <w:t>物联网监控预警系统集成了环境、气象、土壤、病虫与长势监控等功能，同时提供灾害预警与绿色防控措施，实现对农田环境的全面智能感知。收集与深度分析实时数据，为农业生产提供科学、精准的决策支持。</w:t>
      </w:r>
    </w:p>
    <w:p w14:paraId="57B961CB">
      <w:pPr>
        <w:pStyle w:val="45"/>
        <w:numPr>
          <w:ilvl w:val="2"/>
          <w:numId w:val="2"/>
        </w:numPr>
        <w:bidi w:val="0"/>
        <w:ind w:left="0" w:leftChars="0" w:firstLine="0" w:firstLineChars="0"/>
        <w:rPr>
          <w:rFonts w:hint="eastAsia"/>
          <w:lang w:val="en-US" w:eastAsia="zh-CN"/>
        </w:rPr>
      </w:pPr>
      <w:r>
        <w:rPr>
          <w:rFonts w:hint="eastAsia"/>
          <w:lang w:val="en-US" w:eastAsia="zh-CN"/>
        </w:rPr>
        <w:t>智能灌溉系统</w:t>
      </w:r>
    </w:p>
    <w:p w14:paraId="2D7B1454">
      <w:pPr>
        <w:pStyle w:val="25"/>
        <w:rPr>
          <w:rFonts w:hint="eastAsia"/>
          <w:lang w:val="en-US" w:eastAsia="zh-CN"/>
        </w:rPr>
      </w:pPr>
      <w:r>
        <w:rPr>
          <w:rFonts w:hint="eastAsia"/>
          <w:lang w:val="en-US" w:eastAsia="zh-CN"/>
        </w:rPr>
        <w:t>集成水肥一体、滴/喷灌、多模式灌溉、智能预警、故障分析、数据统计等功能，实现高标准农田水、肥、电的精准控制，可按需与相关部门实现数据对接。</w:t>
      </w:r>
    </w:p>
    <w:p w14:paraId="5BF2BCC9">
      <w:pPr>
        <w:pStyle w:val="45"/>
        <w:numPr>
          <w:ilvl w:val="2"/>
          <w:numId w:val="2"/>
        </w:numPr>
        <w:bidi w:val="0"/>
        <w:ind w:left="0" w:leftChars="0" w:firstLine="0" w:firstLineChars="0"/>
        <w:rPr>
          <w:rFonts w:hint="eastAsia"/>
          <w:lang w:val="en-US" w:eastAsia="zh-CN"/>
        </w:rPr>
      </w:pPr>
      <w:r>
        <w:rPr>
          <w:rFonts w:hint="eastAsia"/>
          <w:lang w:val="en-US" w:eastAsia="zh-CN"/>
        </w:rPr>
        <w:t>农事管理系统</w:t>
      </w:r>
    </w:p>
    <w:p w14:paraId="0B8F86B2">
      <w:pPr>
        <w:pStyle w:val="25"/>
        <w:keepNext w:val="0"/>
        <w:keepLines w:val="0"/>
        <w:pageBreakBefore w:val="0"/>
        <w:widowControl/>
        <w:kinsoku/>
        <w:wordWrap/>
        <w:overflowPunct/>
        <w:topLinePunct w:val="0"/>
        <w:autoSpaceDE w:val="0"/>
        <w:autoSpaceDN w:val="0"/>
        <w:bidi w:val="0"/>
        <w:adjustRightInd/>
        <w:snapToGrid/>
        <w:ind w:left="0" w:leftChars="0" w:firstLine="420" w:firstLineChars="200"/>
        <w:textAlignment w:val="auto"/>
        <w:rPr>
          <w:rFonts w:hint="eastAsia"/>
          <w:lang w:val="en-US" w:eastAsia="zh-CN"/>
        </w:rPr>
      </w:pPr>
      <w:r>
        <w:rPr>
          <w:rFonts w:hint="eastAsia"/>
          <w:lang w:val="en-US" w:eastAsia="zh-CN"/>
        </w:rPr>
        <w:t>集成农事种植规划、农事任务、农资管理、农机管理、智能预警与农事智库等功能，实现农业生产的全生命周期管理，为</w:t>
      </w:r>
      <w:r>
        <w:rPr>
          <w:rFonts w:hint="eastAsia"/>
          <w:highlight w:val="none"/>
          <w:lang w:val="en-US" w:eastAsia="zh-CN"/>
        </w:rPr>
        <w:t>追溯等</w:t>
      </w:r>
      <w:r>
        <w:rPr>
          <w:rFonts w:hint="eastAsia"/>
          <w:lang w:val="en-US" w:eastAsia="zh-CN"/>
        </w:rPr>
        <w:t>子系统提供原始数据。</w:t>
      </w:r>
    </w:p>
    <w:p w14:paraId="0B3414B5">
      <w:pPr>
        <w:pStyle w:val="45"/>
        <w:numPr>
          <w:ilvl w:val="2"/>
          <w:numId w:val="2"/>
        </w:numPr>
        <w:bidi w:val="0"/>
        <w:ind w:left="0" w:leftChars="0" w:firstLine="0" w:firstLineChars="0"/>
        <w:rPr>
          <w:rFonts w:hint="eastAsia"/>
          <w:lang w:val="en-US" w:eastAsia="zh-CN"/>
        </w:rPr>
      </w:pPr>
      <w:r>
        <w:rPr>
          <w:rFonts w:hint="eastAsia"/>
          <w:lang w:val="en-US" w:eastAsia="zh-CN"/>
        </w:rPr>
        <w:t>农业遥感监测系统</w:t>
      </w:r>
    </w:p>
    <w:p w14:paraId="6E150FDA">
      <w:pPr>
        <w:pStyle w:val="25"/>
        <w:rPr>
          <w:rFonts w:hint="eastAsia"/>
          <w:lang w:val="en-US" w:eastAsia="zh-CN"/>
        </w:rPr>
      </w:pPr>
      <w:r>
        <w:rPr>
          <w:rFonts w:hint="eastAsia"/>
          <w:lang w:val="en-US" w:eastAsia="zh-CN"/>
        </w:rPr>
        <w:t>基于遥感大范围、高精度、多</w:t>
      </w:r>
      <w:r>
        <w:rPr>
          <w:rFonts w:hint="eastAsia"/>
          <w:highlight w:val="none"/>
          <w:lang w:val="en-US" w:eastAsia="zh-CN"/>
        </w:rPr>
        <w:t>时相</w:t>
      </w:r>
      <w:r>
        <w:rPr>
          <w:rFonts w:hint="eastAsia"/>
          <w:lang w:val="en-US" w:eastAsia="zh-CN"/>
        </w:rPr>
        <w:t>、多光谱的土地信息，实现土地信息、作物分析、作物长势、气象及灾害监测预警、病虫害监测及产量预估等功能，为农业生产提供全方位的数据支持，可按需与相关部门实现数据对接。</w:t>
      </w:r>
    </w:p>
    <w:p w14:paraId="13E851EC">
      <w:pPr>
        <w:pStyle w:val="45"/>
        <w:numPr>
          <w:ilvl w:val="2"/>
          <w:numId w:val="2"/>
        </w:numPr>
        <w:bidi w:val="0"/>
        <w:ind w:left="0" w:leftChars="0" w:firstLine="0" w:firstLineChars="0"/>
        <w:rPr>
          <w:rFonts w:hint="eastAsia"/>
          <w:lang w:val="en-US" w:eastAsia="zh-CN"/>
        </w:rPr>
      </w:pPr>
      <w:r>
        <w:rPr>
          <w:rFonts w:hint="eastAsia"/>
          <w:lang w:val="en-US" w:eastAsia="zh-CN"/>
        </w:rPr>
        <w:t>农产品溯源系统</w:t>
      </w:r>
    </w:p>
    <w:p w14:paraId="0C72C240">
      <w:pPr>
        <w:pStyle w:val="25"/>
        <w:rPr>
          <w:rFonts w:hint="eastAsia"/>
          <w:lang w:val="en-US" w:eastAsia="zh-CN"/>
        </w:rPr>
      </w:pPr>
      <w:r>
        <w:rPr>
          <w:rFonts w:hint="eastAsia"/>
          <w:lang w:val="en-US" w:eastAsia="zh-CN"/>
        </w:rPr>
        <w:t>包括仓储管理、加工管理、质量检测、溯源码生成与数据分析等功能，集成种植、仓储、加工等环节影响农产品质量的关键信息，基于区块链等新一代信息技术，按批次或</w:t>
      </w:r>
      <w:r>
        <w:rPr>
          <w:rFonts w:hint="eastAsia"/>
          <w:highlight w:val="none"/>
          <w:lang w:val="en-US" w:eastAsia="zh-CN"/>
        </w:rPr>
        <w:t>物器</w:t>
      </w:r>
      <w:r>
        <w:rPr>
          <w:rFonts w:hint="eastAsia"/>
          <w:lang w:val="en-US" w:eastAsia="zh-CN"/>
        </w:rPr>
        <w:t>生成溯源码，实现农产品全流程的透明化管理，并为消费者提供了真实可靠的农产品来源信息，保障食品安全。</w:t>
      </w:r>
    </w:p>
    <w:p w14:paraId="1292DF88">
      <w:pPr>
        <w:pStyle w:val="45"/>
        <w:numPr>
          <w:ilvl w:val="2"/>
          <w:numId w:val="2"/>
        </w:numPr>
        <w:bidi w:val="0"/>
        <w:ind w:left="0" w:leftChars="0" w:firstLine="0" w:firstLineChars="0"/>
        <w:rPr>
          <w:rFonts w:hint="eastAsia"/>
          <w:lang w:val="en-US" w:eastAsia="zh-CN"/>
        </w:rPr>
      </w:pPr>
      <w:r>
        <w:rPr>
          <w:rFonts w:hint="eastAsia"/>
          <w:lang w:val="en-US" w:eastAsia="zh-CN"/>
        </w:rPr>
        <w:t>水价改革系统</w:t>
      </w:r>
    </w:p>
    <w:p w14:paraId="6372B0B9">
      <w:pPr>
        <w:pStyle w:val="25"/>
        <w:rPr>
          <w:rFonts w:hint="eastAsia"/>
          <w:lang w:val="en-US" w:eastAsia="zh-CN"/>
        </w:rPr>
      </w:pPr>
      <w:r>
        <w:rPr>
          <w:rFonts w:hint="eastAsia"/>
          <w:lang w:val="en-US" w:eastAsia="zh-CN"/>
        </w:rPr>
        <w:t>集成IC卡管理、阶梯水价、分类管理、用水分析、补贴管理及GIS展示等功能，实现农业灌溉水资源与基础设施管理的现代化与智能化，通过经济手段引导公众合理用水，提高水资源利用效率，保障供水安全，可按需与相关部门实现数据对接。</w:t>
      </w:r>
    </w:p>
    <w:p w14:paraId="1912832A">
      <w:pPr>
        <w:pStyle w:val="45"/>
        <w:numPr>
          <w:ilvl w:val="2"/>
          <w:numId w:val="2"/>
        </w:numPr>
        <w:bidi w:val="0"/>
        <w:ind w:left="0" w:leftChars="0" w:firstLine="0" w:firstLineChars="0"/>
        <w:rPr>
          <w:rFonts w:hint="eastAsia"/>
          <w:lang w:val="en-US" w:eastAsia="zh-CN"/>
        </w:rPr>
      </w:pPr>
      <w:r>
        <w:rPr>
          <w:rFonts w:hint="eastAsia"/>
          <w:lang w:val="en-US" w:eastAsia="zh-CN"/>
        </w:rPr>
        <w:t>高标准农田建设管理系统</w:t>
      </w:r>
    </w:p>
    <w:p w14:paraId="77D21F6F">
      <w:pPr>
        <w:pStyle w:val="25"/>
        <w:rPr>
          <w:rFonts w:hint="eastAsia"/>
          <w:lang w:val="en-US" w:eastAsia="zh-CN"/>
        </w:rPr>
      </w:pPr>
      <w:r>
        <w:rPr>
          <w:rFonts w:hint="eastAsia"/>
          <w:lang w:val="en-US" w:eastAsia="zh-CN"/>
        </w:rPr>
        <w:t>集成项目入库、材料审核、施工管理、进度管理、全程留痕、资金管理、项目验收与建设监管等功能，实现高标准农田项目建设全生命周期管理，支持省市县三级联动，能够实现数据的分级管理和多级共享。</w:t>
      </w:r>
    </w:p>
    <w:p w14:paraId="33EDA098">
      <w:pPr>
        <w:pStyle w:val="45"/>
        <w:numPr>
          <w:ilvl w:val="2"/>
          <w:numId w:val="2"/>
        </w:numPr>
        <w:bidi w:val="0"/>
        <w:ind w:left="0" w:leftChars="0" w:firstLine="0" w:firstLineChars="0"/>
        <w:rPr>
          <w:rFonts w:hint="eastAsia"/>
          <w:lang w:val="en-US" w:eastAsia="zh-CN"/>
        </w:rPr>
      </w:pPr>
      <w:r>
        <w:rPr>
          <w:rFonts w:hint="eastAsia"/>
          <w:lang w:val="en-US" w:eastAsia="zh-CN"/>
        </w:rPr>
        <w:t>高标准农田建后管护系统</w:t>
      </w:r>
    </w:p>
    <w:p w14:paraId="2FC20DC9">
      <w:pPr>
        <w:pStyle w:val="25"/>
        <w:rPr>
          <w:rFonts w:hint="default"/>
          <w:lang w:val="en-US" w:eastAsia="zh-CN"/>
        </w:rPr>
      </w:pPr>
      <w:r>
        <w:rPr>
          <w:rFonts w:hint="eastAsia"/>
          <w:lang w:val="en-US" w:eastAsia="zh-CN"/>
        </w:rPr>
        <w:t>集成责任划分、管理记录、用工用料、管护监管等功能，明确了管护主体和职责，通过数据采集、GIS应用、数据分析决策等技术，为高标准农田建设后期管理提供精细化、智能化的管理手段。</w:t>
      </w:r>
    </w:p>
    <w:p w14:paraId="1DD23758">
      <w:pPr>
        <w:pStyle w:val="45"/>
        <w:numPr>
          <w:ilvl w:val="2"/>
          <w:numId w:val="2"/>
        </w:numPr>
        <w:bidi w:val="0"/>
        <w:ind w:left="0" w:leftChars="0" w:firstLine="0" w:firstLineChars="0"/>
        <w:rPr>
          <w:rFonts w:hint="eastAsia"/>
          <w:lang w:val="en-US" w:eastAsia="zh-CN"/>
        </w:rPr>
      </w:pPr>
      <w:r>
        <w:rPr>
          <w:rFonts w:hint="eastAsia"/>
          <w:lang w:val="en-US" w:eastAsia="zh-CN"/>
        </w:rPr>
        <w:t>大数据分析与展示</w:t>
      </w:r>
    </w:p>
    <w:p w14:paraId="163F49E0">
      <w:pPr>
        <w:pStyle w:val="25"/>
        <w:rPr>
          <w:rFonts w:hint="eastAsia"/>
          <w:lang w:val="en-US" w:eastAsia="zh-CN"/>
        </w:rPr>
      </w:pPr>
      <w:r>
        <w:rPr>
          <w:rFonts w:hint="eastAsia"/>
          <w:lang w:val="en-US" w:eastAsia="zh-CN"/>
        </w:rPr>
        <w:t>集成数字农田、智慧物联网、智能灌溉、耕地质量、产品追溯、数字服务等子系统收集的海量数据，运用机器学习、人工智能等先进技术，对海量数据进行深度挖掘，揭示数据间的关联性，预测作物生长趋势，评估农田生产潜力，以及发现潜在的市场机会，通过图表、地图、仪表盘等多种可视化手段，将复杂的数据分析结果以直观、易懂的方式呈现出来。</w:t>
      </w:r>
    </w:p>
    <w:p w14:paraId="6A698F03">
      <w:pPr>
        <w:pStyle w:val="45"/>
        <w:spacing w:before="156" w:after="156"/>
        <w:ind w:left="0"/>
        <w:outlineLvl w:val="1"/>
        <w:rPr>
          <w:shd w:val="clear" w:color="auto" w:fill="FFFFFF"/>
        </w:rPr>
      </w:pPr>
      <w:r>
        <w:rPr>
          <w:rFonts w:hint="eastAsia"/>
          <w:shd w:val="clear" w:color="auto" w:fill="FFFFFF"/>
          <w:lang w:val="en-US" w:eastAsia="zh-CN"/>
        </w:rPr>
        <w:t>用户交互层</w:t>
      </w:r>
    </w:p>
    <w:p w14:paraId="6EE3CF48">
      <w:pPr>
        <w:pStyle w:val="25"/>
        <w:rPr>
          <w:rFonts w:hint="eastAsia"/>
          <w:lang w:val="en-US" w:eastAsia="zh-CN"/>
        </w:rPr>
      </w:pPr>
      <w:r>
        <w:rPr>
          <w:rFonts w:hint="eastAsia"/>
          <w:lang w:val="en-US" w:eastAsia="zh-CN"/>
        </w:rPr>
        <w:t>专为各级管理部门、建设/实施人员及社会公众设计的交互平台，涵盖WEB门户、移动APP、公众号/小程序、大屏展示等多种操作界面。作为高标准农田信息化应用的统一入口与集中展示窗口，确保了各类用户群体能够便捷、高效地利用各类应用。</w:t>
      </w:r>
    </w:p>
    <w:p w14:paraId="460F0ABA">
      <w:pPr>
        <w:pStyle w:val="48"/>
        <w:spacing w:before="312" w:after="312"/>
        <w:outlineLvl w:val="0"/>
        <w:rPr>
          <w:shd w:val="clear" w:color="auto" w:fill="FFFFFF"/>
        </w:rPr>
      </w:pPr>
      <w:bookmarkStart w:id="32" w:name="OLE_LINK5"/>
      <w:r>
        <w:rPr>
          <w:rFonts w:hint="eastAsia"/>
          <w:shd w:val="clear" w:color="auto" w:fill="FFFFFF"/>
        </w:rPr>
        <w:t>实施</w:t>
      </w:r>
      <w:bookmarkEnd w:id="26"/>
      <w:r>
        <w:rPr>
          <w:rFonts w:hint="eastAsia"/>
          <w:shd w:val="clear" w:color="auto" w:fill="FFFFFF"/>
          <w:lang w:val="en-US" w:eastAsia="zh-CN"/>
        </w:rPr>
        <w:t>要求</w:t>
      </w:r>
      <w:bookmarkEnd w:id="32"/>
    </w:p>
    <w:p w14:paraId="24CC6E8D">
      <w:pPr>
        <w:pStyle w:val="45"/>
        <w:spacing w:before="156" w:after="156"/>
        <w:ind w:left="0"/>
        <w:outlineLvl w:val="1"/>
        <w:rPr>
          <w:rFonts w:hint="default"/>
          <w:shd w:val="clear" w:color="auto" w:fill="FFFFFF"/>
          <w:lang w:val="en-US" w:eastAsia="zh-CN"/>
        </w:rPr>
      </w:pPr>
      <w:r>
        <w:rPr>
          <w:rFonts w:hint="eastAsia"/>
          <w:shd w:val="clear" w:color="auto" w:fill="FFFFFF"/>
          <w:lang w:val="en-US" w:eastAsia="zh-CN"/>
        </w:rPr>
        <w:t>一般要求</w:t>
      </w:r>
    </w:p>
    <w:p w14:paraId="19D6B80B">
      <w:pPr>
        <w:pStyle w:val="25"/>
        <w:numPr>
          <w:ilvl w:val="0"/>
          <w:numId w:val="0"/>
        </w:numPr>
        <w:ind w:firstLine="420" w:firstLineChars="200"/>
        <w:rPr>
          <w:rFonts w:hint="eastAsia"/>
          <w:shd w:val="clear" w:color="auto" w:fill="FFFFFF"/>
          <w:lang w:val="en-US" w:eastAsia="zh-CN"/>
        </w:rPr>
      </w:pPr>
      <w:r>
        <w:rPr>
          <w:rFonts w:hint="eastAsia"/>
          <w:shd w:val="clear" w:color="auto" w:fill="FFFFFF"/>
          <w:lang w:val="en-US" w:eastAsia="zh-CN"/>
        </w:rPr>
        <w:t>（1）高标准农田建设过程中应积极推进信息化、自动化、智能化；</w:t>
      </w:r>
    </w:p>
    <w:p w14:paraId="410F331A">
      <w:pPr>
        <w:pStyle w:val="25"/>
        <w:numPr>
          <w:ilvl w:val="0"/>
          <w:numId w:val="0"/>
        </w:numPr>
        <w:ind w:firstLine="420" w:firstLineChars="200"/>
        <w:rPr>
          <w:rFonts w:hint="eastAsia"/>
          <w:shd w:val="clear" w:color="auto" w:fill="FFFFFF"/>
          <w:lang w:val="en-US" w:eastAsia="zh-CN"/>
        </w:rPr>
      </w:pPr>
      <w:r>
        <w:rPr>
          <w:rFonts w:hint="eastAsia"/>
          <w:shd w:val="clear" w:color="auto" w:fill="FFFFFF"/>
          <w:lang w:val="en-US" w:eastAsia="zh-CN"/>
        </w:rPr>
        <w:t>（2）信息化建设整体方案应经济可行，要充分考虑建设维护成本与经济效益关系；</w:t>
      </w:r>
    </w:p>
    <w:p w14:paraId="713FB881">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（3）信息化建设要结合当地经济社会发展水平、农田实际运行管理情况，确保设计既满足实际需求又具有前瞻性；</w:t>
      </w:r>
    </w:p>
    <w:p w14:paraId="14571807">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（4）信息化设计应结合项目区农业生产基础设施的特点和地理分布，综合应用自动控制、软件管理、现代通信、空间地理信息、大数据分析、遥感影像等技术，要兼顾设备升级、技术换代等因素；</w:t>
      </w:r>
    </w:p>
    <w:p w14:paraId="3CF87CED">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（5）农田信息化建设过程中应优先选用成熟技术及设备，积极推广先进可靠的新技术、新设备。</w:t>
      </w:r>
    </w:p>
    <w:p w14:paraId="77792B49">
      <w:pPr>
        <w:pStyle w:val="45"/>
        <w:spacing w:before="156" w:after="156"/>
        <w:ind w:left="0"/>
        <w:outlineLvl w:val="1"/>
        <w:rPr>
          <w:rFonts w:hint="eastAsia"/>
          <w:shd w:val="clear" w:color="auto" w:fill="FFFFFF"/>
          <w:lang w:val="en-US" w:eastAsia="zh-CN"/>
        </w:rPr>
      </w:pPr>
      <w:r>
        <w:rPr>
          <w:rFonts w:hint="eastAsia"/>
          <w:shd w:val="clear" w:color="auto" w:fill="FFFFFF"/>
          <w:lang w:val="en-US" w:eastAsia="zh-CN"/>
        </w:rPr>
        <w:t>软件要求</w:t>
      </w:r>
    </w:p>
    <w:p w14:paraId="5BFF91FC">
      <w:pPr>
        <w:pStyle w:val="25"/>
        <w:keepNext w:val="0"/>
        <w:keepLines w:val="0"/>
        <w:pageBreakBefore w:val="0"/>
        <w:widowControl/>
        <w:numPr>
          <w:ilvl w:val="0"/>
          <w:numId w:val="2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软件系统宜采用B/S架构模式，软件具有跨平台性，可部署在主流操作系统上；</w:t>
      </w:r>
    </w:p>
    <w:p w14:paraId="06B168D6">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（2）移动APP能够兼容主流移动操作系统；Web应用可兼容不同内核的主流浏览器；</w:t>
      </w:r>
    </w:p>
    <w:p w14:paraId="661605F3">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（3）软件系统应部署在地区政务云平台或信息化控制中心上，控制中心建设应满足条件6.4；</w:t>
      </w:r>
    </w:p>
    <w:p w14:paraId="4F192EB0">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（4）软件界面设计应简洁直观，操作流程需符合用户习惯，提供清晰的导航和反馈机制，确保用户能够高效便捷地使用系统各项功能；</w:t>
      </w:r>
    </w:p>
    <w:p w14:paraId="5D9CD8FD">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（5）用户登录系统需集成统一的动态安全认证机制，包括但不限于多因素认证（如密码+短信验证码、生物识别等），确保账户安全，防止未经授权的访问；</w:t>
      </w:r>
    </w:p>
    <w:p w14:paraId="1CF251F2">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（6）功能结构设计需预留接口，便于后续根据业务需求进行二次开发或集成第三方服务，确保系统的灵活性和可扩展性；</w:t>
      </w:r>
    </w:p>
    <w:p w14:paraId="14844F8B">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（7）运营维护应及时排除系统故障、修补安全漏洞，确保系统运行安全可靠。</w:t>
      </w:r>
    </w:p>
    <w:p w14:paraId="45EA91F7">
      <w:pPr>
        <w:pStyle w:val="45"/>
        <w:spacing w:before="156" w:after="156"/>
        <w:ind w:left="0"/>
        <w:outlineLvl w:val="1"/>
        <w:rPr>
          <w:rFonts w:hint="eastAsia"/>
          <w:shd w:val="clear" w:color="auto" w:fill="FFFFFF"/>
          <w:lang w:val="en-US" w:eastAsia="zh-CN"/>
        </w:rPr>
      </w:pPr>
      <w:r>
        <w:rPr>
          <w:rFonts w:hint="eastAsia"/>
          <w:shd w:val="clear" w:color="auto" w:fill="FFFFFF"/>
          <w:lang w:val="en-US" w:eastAsia="zh-CN"/>
        </w:rPr>
        <w:t>硬件要求</w:t>
      </w:r>
    </w:p>
    <w:p w14:paraId="3375B70B">
      <w:pPr>
        <w:pStyle w:val="45"/>
        <w:numPr>
          <w:ilvl w:val="2"/>
          <w:numId w:val="2"/>
        </w:numPr>
        <w:bidi w:val="0"/>
        <w:ind w:left="0" w:leftChars="0" w:firstLine="0" w:firstLineChars="0"/>
        <w:rPr>
          <w:rFonts w:hint="eastAsia"/>
          <w:lang w:val="en-US" w:eastAsia="zh-CN"/>
        </w:rPr>
      </w:pPr>
      <w:r>
        <w:rPr>
          <w:rFonts w:hint="eastAsia"/>
          <w:lang w:val="en-US" w:eastAsia="zh-CN"/>
        </w:rPr>
        <w:t>监测设备配置要求</w:t>
      </w:r>
    </w:p>
    <w:p w14:paraId="186B423D">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根据农田运行管理的实际需求，合理设置监测点位，确保全面覆盖关键监测目标，包括但不限于水位、流量、水质、农田建筑物状态、气象条件（如温度、湿度、风速、降雨量等）、土壤墒情、重点农业设施状态、病虫害情况以及作物生长状况等。</w:t>
      </w:r>
    </w:p>
    <w:p w14:paraId="67CC3BB2">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（2）监测设备需具备自动化监测能力，能够实时、准确地采集并传输相关数据，确保数据的时效性和准确性。</w:t>
      </w:r>
    </w:p>
    <w:p w14:paraId="50462E9C">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（3）设备选型应注重技术先进性、可靠性和稳定性，优先选择高精度、低功耗、易于维护的监测设备。</w:t>
      </w:r>
    </w:p>
    <w:p w14:paraId="0485AEDD">
      <w:pPr>
        <w:pStyle w:val="45"/>
        <w:numPr>
          <w:ilvl w:val="2"/>
          <w:numId w:val="2"/>
        </w:numPr>
        <w:bidi w:val="0"/>
        <w:ind w:left="0" w:leftChars="0" w:firstLine="0" w:firstLineChars="0"/>
        <w:rPr>
          <w:rFonts w:hint="eastAsia"/>
          <w:lang w:val="en-US" w:eastAsia="zh-CN"/>
        </w:rPr>
      </w:pPr>
      <w:r>
        <w:rPr>
          <w:rFonts w:hint="eastAsia"/>
          <w:lang w:val="en-US" w:eastAsia="zh-CN"/>
        </w:rPr>
        <w:t>控制设备配置要求</w:t>
      </w:r>
    </w:p>
    <w:p w14:paraId="325CC339">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（1）控制设备应满足农田生产管理的远程控制需求，包括但不限于水闸、水泵、电气设备、管道阀门以及影像监控设备等。</w:t>
      </w:r>
    </w:p>
    <w:p w14:paraId="7FF188B5">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（2）设备需具备远程控制功能，能够响应管理系统的指令，实现远程开关、调节等操作，提高农田管理的灵活性和效率。</w:t>
      </w:r>
    </w:p>
    <w:p w14:paraId="6C2286B4">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（3）整体控制方案应设计合理，确保能够有效提升农田生产效率，提高管理精确度，并降低管理成本。</w:t>
      </w:r>
    </w:p>
    <w:p w14:paraId="2D344D1A">
      <w:pPr>
        <w:pStyle w:val="45"/>
        <w:numPr>
          <w:ilvl w:val="2"/>
          <w:numId w:val="2"/>
        </w:numPr>
        <w:bidi w:val="0"/>
        <w:ind w:left="0" w:leftChars="0" w:firstLine="0" w:firstLineChars="0"/>
        <w:rPr>
          <w:rFonts w:hint="eastAsia"/>
          <w:lang w:val="en-US" w:eastAsia="zh-CN"/>
        </w:rPr>
      </w:pPr>
      <w:r>
        <w:rPr>
          <w:rFonts w:hint="eastAsia"/>
          <w:lang w:val="en-US" w:eastAsia="zh-CN"/>
        </w:rPr>
        <w:t>监测控制设备功能要求</w:t>
      </w:r>
    </w:p>
    <w:p w14:paraId="4C5C8CBA">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（1）监测控制设备应具备应答式、自报式或混合式数据采集功能，能够根据预设规则或指令自动采集数据，并上报至管理系统。</w:t>
      </w:r>
    </w:p>
    <w:p w14:paraId="47E3BC78">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（2）设备应具备状态自检和故障报警功能，能够及时发现并报告设备故障，确保系统的稳定运行。</w:t>
      </w:r>
    </w:p>
    <w:p w14:paraId="10616C2B">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（3）在设备选型时，应优先考虑响应速度快、控制精度高、稳定性高、维护成本低且综合性价比高的产品。</w:t>
      </w:r>
    </w:p>
    <w:p w14:paraId="629EE6C8">
      <w:pPr>
        <w:pStyle w:val="45"/>
        <w:numPr>
          <w:ilvl w:val="2"/>
          <w:numId w:val="2"/>
        </w:numPr>
        <w:bidi w:val="0"/>
        <w:ind w:left="0" w:leftChars="0" w:firstLine="0" w:firstLineChars="0"/>
        <w:rPr>
          <w:rFonts w:hint="eastAsia"/>
          <w:lang w:val="en-US" w:eastAsia="zh-CN"/>
        </w:rPr>
      </w:pPr>
      <w:r>
        <w:rPr>
          <w:rFonts w:hint="eastAsia"/>
          <w:lang w:val="en-US" w:eastAsia="zh-CN"/>
        </w:rPr>
        <w:t>远程控制功能集成要求</w:t>
      </w:r>
    </w:p>
    <w:p w14:paraId="7777C7DC">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（1）监测控制设备的远程控制功能应统一集成至所属管控系统，实现集中管理和控制。</w:t>
      </w:r>
    </w:p>
    <w:p w14:paraId="55406CE3">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（2）设备供货方应确保用户拥有对监测控制设备的全部控制权限，包括但不限于设备配置、数据查询、远程控制等。</w:t>
      </w:r>
    </w:p>
    <w:p w14:paraId="161B6AF7">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（3）设备生产商、供货商及相关技术服务商应严格遵守数据保护规定，不得擅自修改、拷贝或删除相关数据，确保数据的安全性和完整性。</w:t>
      </w:r>
    </w:p>
    <w:p w14:paraId="264A676D">
      <w:pPr>
        <w:pStyle w:val="45"/>
        <w:spacing w:before="156" w:after="156"/>
        <w:ind w:left="0"/>
        <w:outlineLvl w:val="1"/>
        <w:rPr>
          <w:shd w:val="clear" w:color="auto" w:fill="FFFFFF"/>
        </w:rPr>
      </w:pPr>
      <w:bookmarkStart w:id="33" w:name="OLE_LINK11"/>
      <w:r>
        <w:rPr>
          <w:rFonts w:hint="eastAsia"/>
          <w:shd w:val="clear" w:color="auto" w:fill="FFFFFF"/>
          <w:lang w:val="en-US" w:eastAsia="zh-CN"/>
        </w:rPr>
        <w:t>信息化控制中心（室）要求</w:t>
      </w:r>
      <w:bookmarkEnd w:id="33"/>
    </w:p>
    <w:p w14:paraId="6CE847A4">
      <w:pPr>
        <w:pStyle w:val="45"/>
        <w:numPr>
          <w:ilvl w:val="2"/>
          <w:numId w:val="2"/>
        </w:numPr>
        <w:bidi w:val="0"/>
        <w:ind w:left="0" w:leftChars="0" w:firstLine="0" w:firstLineChars="0"/>
        <w:rPr>
          <w:rFonts w:hint="default"/>
          <w:lang w:val="en-US" w:eastAsia="zh-CN"/>
        </w:rPr>
      </w:pPr>
      <w:bookmarkStart w:id="34" w:name="OLE_LINK12"/>
      <w:r>
        <w:rPr>
          <w:rFonts w:hint="eastAsia"/>
          <w:lang w:val="en-US" w:eastAsia="zh-CN"/>
        </w:rPr>
        <w:t>空间环境</w:t>
      </w:r>
      <w:bookmarkEnd w:id="34"/>
    </w:p>
    <w:p w14:paraId="1E7FC40E">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（1）应</w:t>
      </w:r>
      <w:r>
        <w:rPr>
          <w:rFonts w:hint="default"/>
          <w:shd w:val="clear" w:color="auto" w:fill="FFFFFF"/>
          <w:lang w:val="en-US" w:eastAsia="zh-CN"/>
        </w:rPr>
        <w:t>远离强磁场、强电场和强震动源等干扰源</w:t>
      </w:r>
      <w:r>
        <w:rPr>
          <w:rFonts w:hint="eastAsia"/>
          <w:shd w:val="clear" w:color="auto" w:fill="FFFFFF"/>
          <w:lang w:val="en-US" w:eastAsia="zh-CN"/>
        </w:rPr>
        <w:t>；</w:t>
      </w:r>
    </w:p>
    <w:p w14:paraId="0B7549A3">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（2）内部布局合理，便于人员操作和设备维护；</w:t>
      </w:r>
    </w:p>
    <w:p w14:paraId="73EE5E71">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（3）温度应控制在适宜的范围内，通常为15～30摄氏度，以确保设备的正常运行和延长使用寿命。</w:t>
      </w:r>
    </w:p>
    <w:p w14:paraId="09B3279A">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（4）机房内部的湿度应保持在40%～65%的范围内，以防止静电和腐蚀等问题。</w:t>
      </w:r>
    </w:p>
    <w:p w14:paraId="414D8530">
      <w:pPr>
        <w:pStyle w:val="45"/>
        <w:numPr>
          <w:ilvl w:val="2"/>
          <w:numId w:val="2"/>
        </w:numPr>
        <w:bidi w:val="0"/>
        <w:ind w:left="0" w:leftChars="0" w:firstLine="0" w:firstLineChars="0"/>
        <w:rPr>
          <w:rFonts w:hint="eastAsia"/>
          <w:lang w:val="en-US" w:eastAsia="zh-CN"/>
        </w:rPr>
      </w:pPr>
      <w:r>
        <w:rPr>
          <w:rFonts w:hint="eastAsia"/>
          <w:lang w:val="en-US" w:eastAsia="zh-CN"/>
        </w:rPr>
        <w:t>供电要求</w:t>
      </w:r>
    </w:p>
    <w:p w14:paraId="4833B766">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w:t>
      </w:r>
      <w:r>
        <w:rPr>
          <w:rFonts w:hint="default"/>
          <w:shd w:val="clear" w:color="auto" w:fill="FFFFFF"/>
          <w:lang w:val="en-US" w:eastAsia="zh-CN"/>
        </w:rPr>
        <w:t>根据设备的功耗和未来扩充需求，确定合适的供电容量</w:t>
      </w:r>
      <w:r>
        <w:rPr>
          <w:rFonts w:hint="eastAsia"/>
          <w:shd w:val="clear" w:color="auto" w:fill="FFFFFF"/>
          <w:lang w:val="en-US" w:eastAsia="zh-CN"/>
        </w:rPr>
        <w:t>；</w:t>
      </w:r>
    </w:p>
    <w:p w14:paraId="503E4133">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（2）</w:t>
      </w:r>
      <w:r>
        <w:rPr>
          <w:rFonts w:hint="default"/>
          <w:shd w:val="clear" w:color="auto" w:fill="FFFFFF"/>
          <w:lang w:val="en-US" w:eastAsia="zh-CN"/>
        </w:rPr>
        <w:t>配备备用电源（如双路供电或备用发电机），以确保在电力故障时能够迅速恢复供电</w:t>
      </w:r>
      <w:r>
        <w:rPr>
          <w:rFonts w:hint="eastAsia"/>
          <w:shd w:val="clear" w:color="auto" w:fill="FFFFFF"/>
          <w:lang w:val="en-US" w:eastAsia="zh-CN"/>
        </w:rPr>
        <w:t>；</w:t>
      </w:r>
    </w:p>
    <w:p w14:paraId="47E4243E">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（3）</w:t>
      </w:r>
      <w:r>
        <w:rPr>
          <w:rFonts w:hint="default"/>
          <w:shd w:val="clear" w:color="auto" w:fill="FFFFFF"/>
          <w:lang w:val="en-US" w:eastAsia="zh-CN"/>
        </w:rPr>
        <w:t>设计合理的电源回路，确保电力供应的稳定性和可靠性</w:t>
      </w:r>
      <w:r>
        <w:rPr>
          <w:rFonts w:hint="eastAsia"/>
          <w:shd w:val="clear" w:color="auto" w:fill="FFFFFF"/>
          <w:lang w:val="en-US" w:eastAsia="zh-CN"/>
        </w:rPr>
        <w:t>；</w:t>
      </w:r>
    </w:p>
    <w:p w14:paraId="623FFE07">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（4）</w:t>
      </w:r>
      <w:r>
        <w:rPr>
          <w:rFonts w:hint="default"/>
          <w:shd w:val="clear" w:color="auto" w:fill="FFFFFF"/>
          <w:lang w:val="en-US" w:eastAsia="zh-CN"/>
        </w:rPr>
        <w:t>整个供电系统应以系统专用地线单一点为零点参考，接地电阻值应小于1Ω，以提高系统的安全性</w:t>
      </w:r>
      <w:r>
        <w:rPr>
          <w:rFonts w:hint="eastAsia"/>
          <w:shd w:val="clear" w:color="auto" w:fill="FFFFFF"/>
          <w:lang w:val="en-US" w:eastAsia="zh-CN"/>
        </w:rPr>
        <w:t>；</w:t>
      </w:r>
    </w:p>
    <w:p w14:paraId="3D800019">
      <w:pPr>
        <w:pStyle w:val="45"/>
        <w:numPr>
          <w:ilvl w:val="2"/>
          <w:numId w:val="2"/>
        </w:numPr>
        <w:bidi w:val="0"/>
        <w:ind w:left="0" w:leftChars="0" w:firstLine="0" w:firstLineChars="0"/>
        <w:rPr>
          <w:rFonts w:hint="default"/>
          <w:lang w:val="en-US" w:eastAsia="zh-CN"/>
        </w:rPr>
      </w:pPr>
      <w:r>
        <w:rPr>
          <w:rFonts w:hint="eastAsia"/>
          <w:lang w:val="en-US" w:eastAsia="zh-CN"/>
        </w:rPr>
        <w:t>安全要求</w:t>
      </w:r>
    </w:p>
    <w:p w14:paraId="50510425">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（1）设置门禁管理系统，限制人员随意进出重要区域。同时，应采用防火、防盗、防水等措施，确保设备安全；</w:t>
      </w:r>
    </w:p>
    <w:p w14:paraId="74EAAFE9">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（2）出入口应保持通畅，便于人员疏散和设备维护；</w:t>
      </w:r>
    </w:p>
    <w:p w14:paraId="0F606FCC">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（3）所有装饰材料应采用防火材料，以进一步提高防火性能</w:t>
      </w:r>
      <w:r>
        <w:rPr>
          <w:rFonts w:hint="default"/>
          <w:shd w:val="clear" w:color="auto" w:fill="FFFFFF"/>
          <w:lang w:val="en-US" w:eastAsia="zh-CN"/>
        </w:rPr>
        <w:t>。</w:t>
      </w:r>
    </w:p>
    <w:p w14:paraId="4149EDF6">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default"/>
          <w:shd w:val="clear" w:color="auto" w:fill="FFFFFF"/>
          <w:lang w:val="en-US" w:eastAsia="zh-CN"/>
        </w:rPr>
      </w:pPr>
      <w:r>
        <w:rPr>
          <w:rFonts w:hint="eastAsia"/>
          <w:shd w:val="clear" w:color="auto" w:fill="FFFFFF"/>
          <w:lang w:val="en-US" w:eastAsia="zh-CN"/>
        </w:rPr>
        <w:t>（4）</w:t>
      </w:r>
      <w:r>
        <w:rPr>
          <w:rFonts w:hint="default"/>
          <w:shd w:val="clear" w:color="auto" w:fill="FFFFFF"/>
          <w:lang w:val="en-US" w:eastAsia="zh-CN"/>
        </w:rPr>
        <w:t>建立处理预案，明确各种故障和灾害的应对措施，确保在紧急情况下能够迅速恢复系统。</w:t>
      </w:r>
    </w:p>
    <w:p w14:paraId="2B301204">
      <w:pPr>
        <w:pStyle w:val="45"/>
        <w:numPr>
          <w:ilvl w:val="2"/>
          <w:numId w:val="2"/>
        </w:numPr>
        <w:bidi w:val="0"/>
        <w:ind w:left="0" w:leftChars="0" w:firstLine="0" w:firstLineChars="0"/>
        <w:rPr>
          <w:rFonts w:hint="eastAsia"/>
          <w:lang w:val="en-US" w:eastAsia="zh-CN"/>
        </w:rPr>
      </w:pPr>
      <w:r>
        <w:rPr>
          <w:rFonts w:hint="eastAsia"/>
          <w:lang w:val="en-US" w:eastAsia="zh-CN"/>
        </w:rPr>
        <w:t>设备购置与布置</w:t>
      </w:r>
    </w:p>
    <w:p w14:paraId="523D25CE">
      <w:pPr>
        <w:pStyle w:val="25"/>
        <w:keepNext w:val="0"/>
        <w:keepLines w:val="0"/>
        <w:pageBreakBefore w:val="0"/>
        <w:widowControl/>
        <w:numPr>
          <w:ilvl w:val="0"/>
          <w:numId w:val="0"/>
        </w:numPr>
        <w:kinsoku/>
        <w:wordWrap/>
        <w:overflowPunct/>
        <w:topLinePunct w:val="0"/>
        <w:autoSpaceDE w:val="0"/>
        <w:autoSpaceDN w:val="0"/>
        <w:bidi w:val="0"/>
        <w:adjustRightInd/>
        <w:snapToGrid/>
        <w:ind w:firstLine="420" w:firstLineChars="200"/>
        <w:textAlignment w:val="auto"/>
        <w:rPr>
          <w:rFonts w:hint="eastAsia"/>
          <w:shd w:val="clear" w:color="auto" w:fill="FFFFFF"/>
          <w:lang w:val="en-US" w:eastAsia="zh-CN"/>
        </w:rPr>
      </w:pPr>
      <w:r>
        <w:rPr>
          <w:rFonts w:hint="eastAsia"/>
          <w:shd w:val="clear" w:color="auto" w:fill="FFFFFF"/>
          <w:lang w:val="en-US" w:eastAsia="zh-CN"/>
        </w:rPr>
        <w:t>应购置质量体系具有严格保证、完善的服务和支持网络的设备，且具备标准化、商业化、技术成熟、性价比优及良好可替代性的特点；在高标准农田信息化监控中心（室）应布置服务器、控制设备、网络设备、打印机等。</w:t>
      </w:r>
    </w:p>
    <w:p w14:paraId="37269EF9">
      <w:pPr>
        <w:pStyle w:val="45"/>
        <w:spacing w:before="156" w:after="156"/>
        <w:ind w:left="0"/>
        <w:outlineLvl w:val="1"/>
        <w:rPr>
          <w:shd w:val="clear" w:color="auto" w:fill="FFFFFF"/>
        </w:rPr>
      </w:pPr>
      <w:r>
        <w:rPr>
          <w:rFonts w:hint="eastAsia"/>
          <w:shd w:val="clear" w:color="auto" w:fill="FFFFFF"/>
          <w:lang w:val="en-US" w:eastAsia="zh-CN"/>
        </w:rPr>
        <w:t>安全与运维管理要求</w:t>
      </w:r>
    </w:p>
    <w:p w14:paraId="095EDC5A">
      <w:pPr>
        <w:pStyle w:val="45"/>
        <w:numPr>
          <w:ilvl w:val="2"/>
          <w:numId w:val="2"/>
        </w:numPr>
        <w:bidi w:val="0"/>
        <w:ind w:left="0" w:leftChars="0" w:firstLine="0" w:firstLineChars="0"/>
        <w:rPr>
          <w:rFonts w:hint="eastAsia"/>
          <w:lang w:val="en-US" w:eastAsia="zh-CN"/>
        </w:rPr>
      </w:pPr>
      <w:r>
        <w:rPr>
          <w:rFonts w:hint="eastAsia"/>
          <w:lang w:val="en-US" w:eastAsia="zh-CN"/>
        </w:rPr>
        <w:t>系统资产管理</w:t>
      </w:r>
    </w:p>
    <w:p w14:paraId="5B589E69">
      <w:pPr>
        <w:pStyle w:val="25"/>
        <w:keepNext w:val="0"/>
        <w:keepLines w:val="0"/>
        <w:pageBreakBefore w:val="0"/>
        <w:widowControl/>
        <w:kinsoku/>
        <w:wordWrap/>
        <w:overflowPunct/>
        <w:topLinePunct w:val="0"/>
        <w:autoSpaceDE w:val="0"/>
        <w:autoSpaceDN w:val="0"/>
        <w:bidi w:val="0"/>
        <w:adjustRightInd/>
        <w:snapToGrid/>
        <w:textAlignment w:val="auto"/>
        <w:rPr>
          <w:rFonts w:hint="default"/>
          <w:lang w:val="en-US" w:eastAsia="zh-CN"/>
        </w:rPr>
      </w:pPr>
      <w:r>
        <w:rPr>
          <w:rFonts w:hint="eastAsia"/>
          <w:lang w:val="en-US" w:eastAsia="zh-CN"/>
        </w:rPr>
        <w:t>（</w:t>
      </w:r>
      <w:r>
        <w:rPr>
          <w:rFonts w:hint="default"/>
          <w:lang w:val="en-US" w:eastAsia="zh-CN"/>
        </w:rPr>
        <w:t>1）确立系统资产的唯一识别体系，以确保资产信息的准确无误与高效管理。</w:t>
      </w:r>
    </w:p>
    <w:p w14:paraId="111AE03C">
      <w:pPr>
        <w:pStyle w:val="25"/>
        <w:keepNext w:val="0"/>
        <w:keepLines w:val="0"/>
        <w:pageBreakBefore w:val="0"/>
        <w:widowControl/>
        <w:kinsoku/>
        <w:wordWrap/>
        <w:overflowPunct/>
        <w:topLinePunct w:val="0"/>
        <w:autoSpaceDE w:val="0"/>
        <w:autoSpaceDN w:val="0"/>
        <w:bidi w:val="0"/>
        <w:adjustRightInd/>
        <w:snapToGrid/>
        <w:textAlignment w:val="auto"/>
        <w:rPr>
          <w:rFonts w:hint="default"/>
          <w:lang w:val="en-US" w:eastAsia="zh-CN"/>
        </w:rPr>
      </w:pPr>
      <w:r>
        <w:rPr>
          <w:rFonts w:hint="eastAsia"/>
          <w:lang w:val="en-US" w:eastAsia="zh-CN"/>
        </w:rPr>
        <w:t>（</w:t>
      </w:r>
      <w:r>
        <w:rPr>
          <w:rFonts w:hint="default"/>
          <w:lang w:val="en-US" w:eastAsia="zh-CN"/>
        </w:rPr>
        <w:t>2）清晰界定每项资产的所有权归属、使用权分配以及运维责任归属，确保权责分明。</w:t>
      </w:r>
    </w:p>
    <w:p w14:paraId="2C138EE3">
      <w:pPr>
        <w:pStyle w:val="25"/>
        <w:keepNext w:val="0"/>
        <w:keepLines w:val="0"/>
        <w:pageBreakBefore w:val="0"/>
        <w:widowControl/>
        <w:kinsoku/>
        <w:wordWrap/>
        <w:overflowPunct/>
        <w:topLinePunct w:val="0"/>
        <w:autoSpaceDE w:val="0"/>
        <w:autoSpaceDN w:val="0"/>
        <w:bidi w:val="0"/>
        <w:adjustRightInd/>
        <w:snapToGrid/>
        <w:textAlignment w:val="auto"/>
        <w:rPr>
          <w:rFonts w:hint="default"/>
          <w:lang w:val="en-US" w:eastAsia="zh-CN"/>
        </w:rPr>
      </w:pPr>
      <w:r>
        <w:rPr>
          <w:rFonts w:hint="eastAsia"/>
          <w:lang w:val="en-US" w:eastAsia="zh-CN"/>
        </w:rPr>
        <w:t>（</w:t>
      </w:r>
      <w:r>
        <w:rPr>
          <w:rFonts w:hint="default"/>
          <w:lang w:val="en-US" w:eastAsia="zh-CN"/>
        </w:rPr>
        <w:t>3）构建全面覆盖系统使用全周期的管理台账，详细记录资产从购置到报废的每一步历程。</w:t>
      </w:r>
    </w:p>
    <w:p w14:paraId="5E6F4B0B">
      <w:pPr>
        <w:pStyle w:val="25"/>
        <w:keepNext w:val="0"/>
        <w:keepLines w:val="0"/>
        <w:pageBreakBefore w:val="0"/>
        <w:widowControl/>
        <w:kinsoku/>
        <w:wordWrap/>
        <w:overflowPunct/>
        <w:topLinePunct w:val="0"/>
        <w:autoSpaceDE w:val="0"/>
        <w:autoSpaceDN w:val="0"/>
        <w:bidi w:val="0"/>
        <w:adjustRightInd/>
        <w:snapToGrid/>
        <w:textAlignment w:val="auto"/>
        <w:rPr>
          <w:rFonts w:hint="default"/>
          <w:lang w:val="en-US" w:eastAsia="zh-CN"/>
        </w:rPr>
      </w:pPr>
      <w:r>
        <w:rPr>
          <w:rFonts w:hint="eastAsia"/>
          <w:lang w:val="en-US" w:eastAsia="zh-CN"/>
        </w:rPr>
        <w:t>（</w:t>
      </w:r>
      <w:r>
        <w:rPr>
          <w:rFonts w:hint="default"/>
          <w:lang w:val="en-US" w:eastAsia="zh-CN"/>
        </w:rPr>
        <w:t>4）针对关键资产，实施智能化的维护提醒与故障预警机制，确保资产运行的安全稳定。</w:t>
      </w:r>
    </w:p>
    <w:p w14:paraId="359542E5">
      <w:pPr>
        <w:pStyle w:val="45"/>
        <w:numPr>
          <w:ilvl w:val="2"/>
          <w:numId w:val="2"/>
        </w:numPr>
        <w:bidi w:val="0"/>
        <w:ind w:left="0" w:leftChars="0" w:firstLine="0" w:firstLineChars="0"/>
        <w:rPr>
          <w:rFonts w:hint="default"/>
          <w:lang w:val="en-US" w:eastAsia="zh-CN"/>
        </w:rPr>
      </w:pPr>
      <w:r>
        <w:rPr>
          <w:rFonts w:hint="eastAsia"/>
          <w:lang w:val="en-US" w:eastAsia="zh-CN"/>
        </w:rPr>
        <w:t>安全保障体系</w:t>
      </w:r>
    </w:p>
    <w:p w14:paraId="20228C2C">
      <w:pPr>
        <w:pStyle w:val="25"/>
        <w:keepNext w:val="0"/>
        <w:keepLines w:val="0"/>
        <w:pageBreakBefore w:val="0"/>
        <w:widowControl/>
        <w:kinsoku/>
        <w:wordWrap/>
        <w:overflowPunct/>
        <w:topLinePunct w:val="0"/>
        <w:autoSpaceDE w:val="0"/>
        <w:autoSpaceDN w:val="0"/>
        <w:bidi w:val="0"/>
        <w:adjustRightInd/>
        <w:snapToGrid/>
        <w:textAlignment w:val="auto"/>
        <w:rPr>
          <w:rFonts w:hint="eastAsia"/>
          <w:lang w:val="en-US" w:eastAsia="zh-CN"/>
        </w:rPr>
      </w:pPr>
      <w:r>
        <w:rPr>
          <w:rFonts w:hint="eastAsia"/>
          <w:lang w:val="en-US" w:eastAsia="zh-CN"/>
        </w:rPr>
        <w:t>（1）构建包含基础设施层、数据资源层、公共支撑层、业务应用层及用户交互层的全方位、全流程安全技术保障体系。</w:t>
      </w:r>
    </w:p>
    <w:p w14:paraId="762A4C86">
      <w:pPr>
        <w:pStyle w:val="25"/>
        <w:keepNext w:val="0"/>
        <w:keepLines w:val="0"/>
        <w:pageBreakBefore w:val="0"/>
        <w:widowControl/>
        <w:kinsoku/>
        <w:wordWrap/>
        <w:overflowPunct/>
        <w:topLinePunct w:val="0"/>
        <w:autoSpaceDE w:val="0"/>
        <w:autoSpaceDN w:val="0"/>
        <w:bidi w:val="0"/>
        <w:adjustRightInd/>
        <w:snapToGrid/>
        <w:textAlignment w:val="auto"/>
        <w:rPr>
          <w:rFonts w:hint="eastAsia"/>
          <w:lang w:val="en-US" w:eastAsia="zh-CN"/>
        </w:rPr>
      </w:pPr>
      <w:r>
        <w:rPr>
          <w:rFonts w:hint="eastAsia"/>
          <w:lang w:val="en-US" w:eastAsia="zh-CN"/>
        </w:rPr>
        <w:t>（2）建立健全涵盖流程管理、人才培养、技术措施实施、效果评价体系及安全审计在内的安全运维综合体系。</w:t>
      </w:r>
    </w:p>
    <w:p w14:paraId="4AB34328">
      <w:pPr>
        <w:pStyle w:val="25"/>
        <w:keepNext w:val="0"/>
        <w:keepLines w:val="0"/>
        <w:pageBreakBefore w:val="0"/>
        <w:widowControl/>
        <w:kinsoku/>
        <w:wordWrap/>
        <w:overflowPunct/>
        <w:topLinePunct w:val="0"/>
        <w:autoSpaceDE w:val="0"/>
        <w:autoSpaceDN w:val="0"/>
        <w:bidi w:val="0"/>
        <w:adjustRightInd/>
        <w:snapToGrid/>
        <w:textAlignment w:val="auto"/>
        <w:rPr>
          <w:rFonts w:hint="eastAsia"/>
          <w:lang w:val="en-US" w:eastAsia="zh-CN"/>
        </w:rPr>
      </w:pPr>
      <w:r>
        <w:rPr>
          <w:rFonts w:hint="eastAsia"/>
          <w:lang w:val="en-US" w:eastAsia="zh-CN"/>
        </w:rPr>
        <w:t>（3）确立完善的安全组织架构，制定详尽的安全策略与措施，建立统一标准规范与管理制度，并明确操作规程，形成全面的安全保障机制。</w:t>
      </w:r>
    </w:p>
    <w:p w14:paraId="3E317C7B">
      <w:pPr>
        <w:pStyle w:val="45"/>
        <w:numPr>
          <w:ilvl w:val="2"/>
          <w:numId w:val="2"/>
        </w:numPr>
        <w:bidi w:val="0"/>
        <w:ind w:left="0" w:leftChars="0" w:firstLine="0" w:firstLineChars="0"/>
        <w:rPr>
          <w:rFonts w:hint="default"/>
          <w:lang w:val="en-US" w:eastAsia="zh-CN"/>
        </w:rPr>
      </w:pPr>
      <w:bookmarkStart w:id="35" w:name="OLE_LINK13"/>
      <w:r>
        <w:rPr>
          <w:rFonts w:hint="eastAsia"/>
          <w:lang w:val="en-US" w:eastAsia="zh-CN"/>
        </w:rPr>
        <w:t>运维管理体系</w:t>
      </w:r>
      <w:bookmarkEnd w:id="35"/>
    </w:p>
    <w:p w14:paraId="03A434CF">
      <w:pPr>
        <w:pStyle w:val="25"/>
        <w:rPr>
          <w:rFonts w:hint="eastAsia"/>
          <w:lang w:val="en-US" w:eastAsia="zh-CN"/>
        </w:rPr>
      </w:pPr>
      <w:r>
        <w:rPr>
          <w:rFonts w:hint="eastAsia"/>
          <w:lang w:val="en-US" w:eastAsia="zh-CN"/>
        </w:rPr>
        <w:t>（1）构建全面且统一的高标准农田信息化运维体系，并符合GB/T 28827.1的规定；</w:t>
      </w:r>
    </w:p>
    <w:p w14:paraId="0702727B">
      <w:pPr>
        <w:pStyle w:val="25"/>
        <w:rPr>
          <w:rFonts w:hint="default"/>
          <w:lang w:val="en-US" w:eastAsia="zh-CN"/>
        </w:rPr>
      </w:pPr>
      <w:r>
        <w:rPr>
          <w:rFonts w:hint="default"/>
          <w:lang w:val="en-US" w:eastAsia="zh-CN"/>
        </w:rPr>
        <w:t>（2）设立专门的运维管理组织，明确职责划分，制定并执行科学的运维管理流程与规章制度。</w:t>
      </w:r>
    </w:p>
    <w:p w14:paraId="058F885D">
      <w:pPr>
        <w:pStyle w:val="25"/>
        <w:rPr>
          <w:rFonts w:hint="default"/>
          <w:lang w:val="en-US" w:eastAsia="zh-CN"/>
        </w:rPr>
      </w:pPr>
      <w:r>
        <w:rPr>
          <w:rFonts w:hint="default"/>
          <w:lang w:val="en-US" w:eastAsia="zh-CN"/>
        </w:rPr>
        <w:t>（3）打造标准化的运维管理体系，该体系需全面覆盖运维人员管理、过程监控、应用保障、信息安全及运维质量等多个维度。</w:t>
      </w:r>
    </w:p>
    <w:p w14:paraId="5BD03F49">
      <w:pPr>
        <w:pStyle w:val="25"/>
        <w:rPr>
          <w:rFonts w:hint="default"/>
          <w:lang w:val="en-US" w:eastAsia="zh-CN"/>
        </w:rPr>
      </w:pPr>
      <w:r>
        <w:rPr>
          <w:rFonts w:hint="eastAsia"/>
          <w:lang w:val="en-US" w:eastAsia="zh-CN"/>
        </w:rPr>
        <w:t>（4）应用大数据、人工智能、区块链等技术构建智能运维体系，实现监管控一体化管理。</w:t>
      </w:r>
    </w:p>
    <w:p w14:paraId="5F6C9231">
      <w:pPr>
        <w:pStyle w:val="25"/>
        <w:rPr>
          <w:rFonts w:hint="default"/>
          <w:szCs w:val="20"/>
          <w:lang w:val="en-US" w:eastAsia="zh-CN"/>
        </w:rPr>
      </w:pPr>
    </w:p>
    <w:p w14:paraId="739FE3A6">
      <w:pPr>
        <w:pStyle w:val="25"/>
      </w:pPr>
    </w:p>
    <w:p w14:paraId="1564C641">
      <w:pPr>
        <w:pStyle w:val="25"/>
      </w:pPr>
    </w:p>
    <w:p w14:paraId="72DBDB82">
      <w:pPr>
        <w:pStyle w:val="25"/>
        <w:jc w:val="center"/>
      </w:pPr>
      <w:r>
        <w:rPr>
          <w:rFonts w:hint="eastAsia"/>
        </w:rPr>
        <w:t>————————————————————————————</w:t>
      </w:r>
    </w:p>
    <w:p w14:paraId="469C2695">
      <w:pPr>
        <w:pStyle w:val="25"/>
      </w:pPr>
    </w:p>
    <w:sectPr>
      <w:headerReference r:id="rId5" w:type="default"/>
      <w:footerReference r:id="rId6" w:type="default"/>
      <w:pgSz w:w="11906" w:h="16838"/>
      <w:pgMar w:top="567" w:right="1134" w:bottom="1134" w:left="1418" w:header="1418" w:footer="113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1CDC7">
    <w:pPr>
      <w:pStyle w:val="46"/>
    </w:pPr>
    <w:r>
      <w:fldChar w:fldCharType="begin"/>
    </w:r>
    <w:r>
      <w:instrText xml:space="preserve"> PAGE  \* MERGEFORMAT </w:instrText>
    </w:r>
    <w:r>
      <w:fldChar w:fldCharType="separate"/>
    </w:r>
    <w:r>
      <w:t>9</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7B7E51">
    <w:pPr>
      <w:pStyle w:val="46"/>
    </w:pPr>
    <w:r>
      <w:fldChar w:fldCharType="begin"/>
    </w:r>
    <w:r>
      <w:instrText xml:space="preserve"> PAGE  \* MERGEFORMAT </w:instrText>
    </w:r>
    <w:r>
      <w:fldChar w:fldCharType="separate"/>
    </w:r>
    <w:r>
      <w:t>9</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A3AA1">
    <w:pPr>
      <w:pStyle w:val="47"/>
    </w:pPr>
    <w:r>
      <w:t>DB13</w:t>
    </w:r>
    <w:r>
      <w:rPr>
        <w:rFonts w:hint="eastAsia"/>
        <w:lang w:val="en-US" w:eastAsia="zh-CN"/>
      </w:rPr>
      <w:t xml:space="preserve">  </w:t>
    </w:r>
    <w:r>
      <w:t>/T XXXX—XXXX</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61F882">
    <w:pPr>
      <w:pStyle w:val="47"/>
    </w:pPr>
    <w:r>
      <w:t>DB13</w:t>
    </w:r>
    <w:r>
      <w:rPr>
        <w:rFonts w:hint="eastAsia"/>
        <w:lang w:val="en-US" w:eastAsia="zh-CN"/>
      </w:rPr>
      <w:t xml:space="preserve">  </w:t>
    </w:r>
    <w:r>
      <w:t>/T XXXX—XXXX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1"/>
    <w:multiLevelType w:val="multilevel"/>
    <w:tmpl w:val="00000001"/>
    <w:lvl w:ilvl="0" w:tentative="0">
      <w:start w:val="1"/>
      <w:numFmt w:val="decimal"/>
      <w:pStyle w:val="61"/>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2">
    <w:nsid w:val="00000002"/>
    <w:multiLevelType w:val="multilevel"/>
    <w:tmpl w:val="00000002"/>
    <w:lvl w:ilvl="0" w:tentative="0">
      <w:start w:val="1"/>
      <w:numFmt w:val="decimal"/>
      <w:pStyle w:val="119"/>
      <w:suff w:val="nothing"/>
      <w:lvlText w:val="示例%1："/>
      <w:lvlJc w:val="left"/>
      <w:pPr>
        <w:ind w:left="0" w:firstLine="397"/>
      </w:pPr>
      <w:rPr>
        <w:rFonts w:hint="eastAsia" w:ascii="黑体" w:eastAsia="黑体"/>
        <w:sz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3">
    <w:nsid w:val="00000003"/>
    <w:multiLevelType w:val="multilevel"/>
    <w:tmpl w:val="00000003"/>
    <w:lvl w:ilvl="0" w:tentative="0">
      <w:start w:val="1"/>
      <w:numFmt w:val="none"/>
      <w:pStyle w:val="55"/>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4">
    <w:nsid w:val="00000004"/>
    <w:multiLevelType w:val="multilevel"/>
    <w:tmpl w:val="00000004"/>
    <w:lvl w:ilvl="0" w:tentative="0">
      <w:start w:val="1"/>
      <w:numFmt w:val="decimal"/>
      <w:pStyle w:val="132"/>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5">
    <w:nsid w:val="00000005"/>
    <w:multiLevelType w:val="multilevel"/>
    <w:tmpl w:val="00000005"/>
    <w:lvl w:ilvl="0" w:tentative="0">
      <w:start w:val="1"/>
      <w:numFmt w:val="lowerLetter"/>
      <w:pStyle w:val="124"/>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6">
    <w:nsid w:val="00000006"/>
    <w:multiLevelType w:val="multilevel"/>
    <w:tmpl w:val="00000006"/>
    <w:lvl w:ilvl="0" w:tentative="0">
      <w:start w:val="1"/>
      <w:numFmt w:val="lowerLetter"/>
      <w:pStyle w:val="62"/>
      <w:lvlText w:val="%1)"/>
      <w:lvlJc w:val="left"/>
      <w:pPr>
        <w:tabs>
          <w:tab w:val="left" w:pos="840"/>
        </w:tabs>
        <w:ind w:left="839" w:hanging="419"/>
      </w:pPr>
      <w:rPr>
        <w:rFonts w:hint="eastAsia"/>
        <w:b w:val="0"/>
        <w:i w:val="0"/>
        <w:sz w:val="21"/>
        <w:szCs w:val="21"/>
      </w:rPr>
    </w:lvl>
    <w:lvl w:ilvl="1" w:tentative="0">
      <w:start w:val="1"/>
      <w:numFmt w:val="decimal"/>
      <w:pStyle w:val="57"/>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7">
    <w:nsid w:val="00000007"/>
    <w:multiLevelType w:val="multilevel"/>
    <w:tmpl w:val="00000007"/>
    <w:lvl w:ilvl="0" w:tentative="0">
      <w:start w:val="1"/>
      <w:numFmt w:val="decimal"/>
      <w:pStyle w:val="127"/>
      <w:suff w:val="nothing"/>
      <w:lvlText w:val="%1　"/>
      <w:lvlJc w:val="left"/>
      <w:pPr>
        <w:ind w:left="0" w:firstLine="0"/>
      </w:pPr>
      <w:rPr>
        <w:rFonts w:hint="eastAsia" w:ascii="黑体" w:hAnsi="Times New Roman" w:eastAsia="黑体"/>
        <w:b w:val="0"/>
        <w:i w:val="0"/>
        <w:sz w:val="21"/>
        <w:szCs w:val="21"/>
      </w:rPr>
    </w:lvl>
    <w:lvl w:ilvl="1" w:tentative="0">
      <w:start w:val="1"/>
      <w:numFmt w:val="decimal"/>
      <w:suff w:val="nothing"/>
      <w:lvlText w:val="%1.%2 "/>
      <w:lvlJc w:val="left"/>
      <w:pPr>
        <w:ind w:left="0" w:firstLine="0"/>
      </w:pPr>
      <w:rPr>
        <w:rFonts w:hint="eastAsia" w:ascii="黑体" w:hAnsi="Times New Roman" w:eastAsia="黑体" w:cs="Times New Roman"/>
        <w:b w:val="0"/>
        <w:bCs w:val="0"/>
        <w:i w:val="0"/>
        <w:iCs w:val="0"/>
        <w:caps w:val="0"/>
        <w:vanish w:val="0"/>
        <w:color w:val="000000"/>
        <w:spacing w:val="0"/>
        <w:kern w:val="0"/>
        <w:position w:val="0"/>
        <w:sz w:val="21"/>
        <w:szCs w:val="21"/>
        <w:u w:val="none"/>
        <w:vertAlign w:val="baseline"/>
      </w:rPr>
    </w:lvl>
    <w:lvl w:ilvl="2" w:tentative="0">
      <w:start w:val="1"/>
      <w:numFmt w:val="decimal"/>
      <w:suff w:val="nothing"/>
      <w:lvlText w:val="%1.%2.%3 "/>
      <w:lvlJc w:val="left"/>
      <w:pPr>
        <w:ind w:left="710" w:firstLine="0"/>
      </w:pPr>
      <w:rPr>
        <w:rFonts w:hint="eastAsia" w:ascii="黑体" w:hAnsi="Times New Roman" w:eastAsia="黑体"/>
        <w:b w:val="0"/>
        <w:i w:val="0"/>
        <w:sz w:val="21"/>
      </w:rPr>
    </w:lvl>
    <w:lvl w:ilvl="3" w:tentative="0">
      <w:start w:val="1"/>
      <w:numFmt w:val="decimal"/>
      <w:lvlText w:val="%1.%2.%3.%4 "/>
      <w:lvlJc w:val="left"/>
      <w:pPr>
        <w:ind w:left="0" w:firstLine="0"/>
      </w:pPr>
      <w:rPr>
        <w:rFonts w:hint="default"/>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00000008"/>
    <w:multiLevelType w:val="multilevel"/>
    <w:tmpl w:val="00000008"/>
    <w:lvl w:ilvl="0" w:tentative="0">
      <w:start w:val="1"/>
      <w:numFmt w:val="none"/>
      <w:pStyle w:val="67"/>
      <w:suff w:val="nothing"/>
      <w:lvlText w:val="%1注："/>
      <w:lvlJc w:val="left"/>
      <w:pPr>
        <w:ind w:left="789" w:hanging="363"/>
      </w:pPr>
      <w:rPr>
        <w:rFonts w:hint="eastAsia" w:ascii="黑体" w:hAnsi="Times New Roman" w:eastAsia="黑体"/>
        <w:b w:val="0"/>
        <w:i w:val="0"/>
        <w:color w:val="000000"/>
        <w:sz w:val="18"/>
      </w:rPr>
    </w:lvl>
    <w:lvl w:ilvl="1" w:tentative="0">
      <w:start w:val="1"/>
      <w:numFmt w:val="lowerLetter"/>
      <w:lvlText w:val="%2)"/>
      <w:lvlJc w:val="left"/>
      <w:pPr>
        <w:tabs>
          <w:tab w:val="left" w:pos="1203"/>
        </w:tabs>
        <w:ind w:left="789" w:hanging="363"/>
      </w:pPr>
      <w:rPr>
        <w:rFonts w:hint="eastAsia"/>
      </w:rPr>
    </w:lvl>
    <w:lvl w:ilvl="2" w:tentative="0">
      <w:start w:val="1"/>
      <w:numFmt w:val="lowerRoman"/>
      <w:lvlText w:val="%3."/>
      <w:lvlJc w:val="right"/>
      <w:pPr>
        <w:tabs>
          <w:tab w:val="left" w:pos="1203"/>
        </w:tabs>
        <w:ind w:left="789" w:hanging="363"/>
      </w:pPr>
      <w:rPr>
        <w:rFonts w:hint="eastAsia"/>
      </w:rPr>
    </w:lvl>
    <w:lvl w:ilvl="3" w:tentative="0">
      <w:start w:val="1"/>
      <w:numFmt w:val="decimal"/>
      <w:lvlText w:val="%4."/>
      <w:lvlJc w:val="left"/>
      <w:pPr>
        <w:tabs>
          <w:tab w:val="left" w:pos="1203"/>
        </w:tabs>
        <w:ind w:left="789" w:hanging="363"/>
      </w:pPr>
      <w:rPr>
        <w:rFonts w:hint="eastAsia"/>
      </w:rPr>
    </w:lvl>
    <w:lvl w:ilvl="4" w:tentative="0">
      <w:start w:val="1"/>
      <w:numFmt w:val="lowerLetter"/>
      <w:lvlText w:val="%5)"/>
      <w:lvlJc w:val="left"/>
      <w:pPr>
        <w:tabs>
          <w:tab w:val="left" w:pos="1203"/>
        </w:tabs>
        <w:ind w:left="789" w:hanging="363"/>
      </w:pPr>
      <w:rPr>
        <w:rFonts w:hint="eastAsia"/>
      </w:rPr>
    </w:lvl>
    <w:lvl w:ilvl="5" w:tentative="0">
      <w:start w:val="1"/>
      <w:numFmt w:val="lowerRoman"/>
      <w:lvlText w:val="%6."/>
      <w:lvlJc w:val="right"/>
      <w:pPr>
        <w:tabs>
          <w:tab w:val="left" w:pos="1203"/>
        </w:tabs>
        <w:ind w:left="789" w:hanging="363"/>
      </w:pPr>
      <w:rPr>
        <w:rFonts w:hint="eastAsia"/>
      </w:rPr>
    </w:lvl>
    <w:lvl w:ilvl="6" w:tentative="0">
      <w:start w:val="1"/>
      <w:numFmt w:val="decimal"/>
      <w:lvlText w:val="%7."/>
      <w:lvlJc w:val="left"/>
      <w:pPr>
        <w:tabs>
          <w:tab w:val="left" w:pos="1203"/>
        </w:tabs>
        <w:ind w:left="789" w:hanging="363"/>
      </w:pPr>
      <w:rPr>
        <w:rFonts w:hint="eastAsia"/>
      </w:rPr>
    </w:lvl>
    <w:lvl w:ilvl="7" w:tentative="0">
      <w:start w:val="1"/>
      <w:numFmt w:val="lowerLetter"/>
      <w:lvlText w:val="%8)"/>
      <w:lvlJc w:val="left"/>
      <w:pPr>
        <w:tabs>
          <w:tab w:val="left" w:pos="1203"/>
        </w:tabs>
        <w:ind w:left="789" w:hanging="363"/>
      </w:pPr>
      <w:rPr>
        <w:rFonts w:hint="eastAsia"/>
      </w:rPr>
    </w:lvl>
    <w:lvl w:ilvl="8" w:tentative="0">
      <w:start w:val="1"/>
      <w:numFmt w:val="lowerRoman"/>
      <w:lvlText w:val="%9."/>
      <w:lvlJc w:val="right"/>
      <w:pPr>
        <w:tabs>
          <w:tab w:val="left" w:pos="1203"/>
        </w:tabs>
        <w:ind w:left="789" w:hanging="363"/>
      </w:pPr>
      <w:rPr>
        <w:rFonts w:hint="eastAsia"/>
      </w:rPr>
    </w:lvl>
  </w:abstractNum>
  <w:abstractNum w:abstractNumId="9">
    <w:nsid w:val="00000009"/>
    <w:multiLevelType w:val="multilevel"/>
    <w:tmpl w:val="00000009"/>
    <w:lvl w:ilvl="0" w:tentative="0">
      <w:start w:val="1"/>
      <w:numFmt w:val="upperLetter"/>
      <w:pStyle w:val="101"/>
      <w:suff w:val="space"/>
      <w:lvlText w:val="%1"/>
      <w:lvlJc w:val="left"/>
      <w:pPr>
        <w:ind w:left="623" w:hanging="425"/>
      </w:pPr>
      <w:rPr>
        <w:rFonts w:hint="eastAsia"/>
      </w:rPr>
    </w:lvl>
    <w:lvl w:ilvl="1" w:tentative="0">
      <w:start w:val="1"/>
      <w:numFmt w:val="decimal"/>
      <w:pStyle w:val="102"/>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0">
    <w:nsid w:val="0000000A"/>
    <w:multiLevelType w:val="multilevel"/>
    <w:tmpl w:val="0000000A"/>
    <w:lvl w:ilvl="0" w:tentative="0">
      <w:start w:val="1"/>
      <w:numFmt w:val="none"/>
      <w:pStyle w:val="51"/>
      <w:suff w:val="nothing"/>
      <w:lvlText w:val="%1——"/>
      <w:lvlJc w:val="left"/>
      <w:pPr>
        <w:ind w:left="833" w:hanging="408"/>
      </w:pPr>
      <w:rPr>
        <w:rFonts w:hint="eastAsia"/>
      </w:rPr>
    </w:lvl>
    <w:lvl w:ilvl="1" w:tentative="0">
      <w:start w:val="1"/>
      <w:numFmt w:val="bullet"/>
      <w:pStyle w:val="52"/>
      <w:lvlText w:val=""/>
      <w:lvlJc w:val="left"/>
      <w:pPr>
        <w:tabs>
          <w:tab w:val="left" w:pos="760"/>
        </w:tabs>
        <w:ind w:left="1264" w:hanging="413"/>
      </w:pPr>
      <w:rPr>
        <w:rFonts w:hint="default" w:ascii="Symbol" w:hAnsi="Symbol"/>
        <w:color w:val="auto"/>
      </w:rPr>
    </w:lvl>
    <w:lvl w:ilvl="2" w:tentative="0">
      <w:start w:val="1"/>
      <w:numFmt w:val="bullet"/>
      <w:pStyle w:val="63"/>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0000000B"/>
    <w:multiLevelType w:val="multilevel"/>
    <w:tmpl w:val="0000000B"/>
    <w:lvl w:ilvl="0" w:tentative="0">
      <w:start w:val="1"/>
      <w:numFmt w:val="decimal"/>
      <w:pStyle w:val="26"/>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2">
    <w:nsid w:val="0000000C"/>
    <w:multiLevelType w:val="multilevel"/>
    <w:tmpl w:val="0000000C"/>
    <w:lvl w:ilvl="0" w:tentative="0">
      <w:start w:val="1"/>
      <w:numFmt w:val="decimal"/>
      <w:pStyle w:val="65"/>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3">
    <w:nsid w:val="0000000D"/>
    <w:multiLevelType w:val="multilevel"/>
    <w:tmpl w:val="0000000D"/>
    <w:lvl w:ilvl="0" w:tentative="0">
      <w:start w:val="1"/>
      <w:numFmt w:val="upperLetter"/>
      <w:pStyle w:val="89"/>
      <w:lvlText w:val="%1"/>
      <w:lvlJc w:val="left"/>
      <w:pPr>
        <w:tabs>
          <w:tab w:val="left" w:pos="0"/>
        </w:tabs>
        <w:ind w:left="0" w:hanging="425"/>
      </w:pPr>
      <w:rPr>
        <w:rFonts w:hint="eastAsia"/>
      </w:rPr>
    </w:lvl>
    <w:lvl w:ilvl="1" w:tentative="0">
      <w:start w:val="1"/>
      <w:numFmt w:val="decimal"/>
      <w:pStyle w:val="90"/>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4">
    <w:nsid w:val="0000000E"/>
    <w:multiLevelType w:val="multilevel"/>
    <w:tmpl w:val="0000000E"/>
    <w:lvl w:ilvl="0" w:tentative="0">
      <w:start w:val="1"/>
      <w:numFmt w:val="decimal"/>
      <w:pStyle w:val="130"/>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5">
    <w:nsid w:val="0000000F"/>
    <w:multiLevelType w:val="multilevel"/>
    <w:tmpl w:val="0000000F"/>
    <w:lvl w:ilvl="0" w:tentative="0">
      <w:start w:val="1"/>
      <w:numFmt w:val="upperLetter"/>
      <w:pStyle w:val="87"/>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05"/>
      <w:suff w:val="nothing"/>
      <w:lvlText w:val="%1.%2　"/>
      <w:lvlJc w:val="left"/>
      <w:pPr>
        <w:ind w:left="2836"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pStyle w:val="91"/>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00000010"/>
    <w:multiLevelType w:val="multilevel"/>
    <w:tmpl w:val="00000010"/>
    <w:lvl w:ilvl="0" w:tentative="0">
      <w:start w:val="1"/>
      <w:numFmt w:val="decimal"/>
      <w:pStyle w:val="68"/>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17">
    <w:nsid w:val="00000011"/>
    <w:multiLevelType w:val="multilevel"/>
    <w:tmpl w:val="00000011"/>
    <w:lvl w:ilvl="0" w:tentative="0">
      <w:start w:val="1"/>
      <w:numFmt w:val="decimal"/>
      <w:pStyle w:val="48"/>
      <w:suff w:val="space"/>
      <w:lvlText w:val="%1 "/>
      <w:lvlJc w:val="left"/>
      <w:pPr>
        <w:ind w:left="0" w:firstLine="0"/>
      </w:pPr>
      <w:rPr>
        <w:rFonts w:hint="eastAsia" w:eastAsia="黑体"/>
        <w:sz w:val="21"/>
      </w:rPr>
    </w:lvl>
    <w:lvl w:ilvl="1" w:tentative="0">
      <w:start w:val="1"/>
      <w:numFmt w:val="decimal"/>
      <w:pStyle w:val="45"/>
      <w:suff w:val="space"/>
      <w:lvlText w:val="%1.%2 "/>
      <w:lvlJc w:val="left"/>
      <w:pPr>
        <w:ind w:left="630" w:firstLine="0"/>
      </w:pPr>
      <w:rPr>
        <w:rFonts w:hint="eastAsia"/>
      </w:rPr>
    </w:lvl>
    <w:lvl w:ilvl="2" w:tentative="0">
      <w:start w:val="1"/>
      <w:numFmt w:val="decimal"/>
      <w:suff w:val="space"/>
      <w:lvlText w:val="%1.%2.%3 "/>
      <w:lvlJc w:val="left"/>
      <w:pPr>
        <w:ind w:left="0" w:firstLine="0"/>
      </w:pPr>
      <w:rPr>
        <w:rFonts w:hint="eastAsia"/>
      </w:rPr>
    </w:lvl>
    <w:lvl w:ilvl="3" w:tentative="0">
      <w:start w:val="1"/>
      <w:numFmt w:val="decimal"/>
      <w:suff w:val="space"/>
      <w:lvlText w:val="%1.%2.%3.%4 "/>
      <w:lvlJc w:val="left"/>
      <w:pPr>
        <w:ind w:left="852" w:firstLine="0"/>
      </w:pPr>
      <w:rPr>
        <w:rFonts w:hint="eastAsia"/>
      </w:rPr>
    </w:lvl>
    <w:lvl w:ilvl="4" w:tentative="0">
      <w:start w:val="1"/>
      <w:numFmt w:val="decimal"/>
      <w:suff w:val="space"/>
      <w:lvlText w:val="%1.%2.%3.%4.%5 "/>
      <w:lvlJc w:val="left"/>
      <w:pPr>
        <w:ind w:left="0" w:firstLine="0"/>
      </w:pPr>
      <w:rPr>
        <w:rFonts w:hint="eastAsia"/>
      </w:rPr>
    </w:lvl>
    <w:lvl w:ilvl="5" w:tentative="0">
      <w:start w:val="1"/>
      <w:numFmt w:val="decimal"/>
      <w:suff w:val="space"/>
      <w:lvlText w:val="%1.%2.%3.%4.%5.%6 "/>
      <w:lvlJc w:val="left"/>
      <w:pPr>
        <w:ind w:left="993"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18">
    <w:nsid w:val="00000012"/>
    <w:multiLevelType w:val="multilevel"/>
    <w:tmpl w:val="00000012"/>
    <w:lvl w:ilvl="0" w:tentative="0">
      <w:start w:val="1"/>
      <w:numFmt w:val="lowerLetter"/>
      <w:pStyle w:val="108"/>
      <w:lvlText w:val="%1)"/>
      <w:lvlJc w:val="left"/>
      <w:pPr>
        <w:tabs>
          <w:tab w:val="left" w:pos="839"/>
        </w:tabs>
        <w:ind w:left="839" w:hanging="419"/>
      </w:pPr>
      <w:rPr>
        <w:rFonts w:hint="eastAsia" w:ascii="宋体" w:eastAsia="宋体"/>
        <w:b w:val="0"/>
        <w:i w:val="0"/>
        <w:sz w:val="21"/>
      </w:rPr>
    </w:lvl>
    <w:lvl w:ilvl="1" w:tentative="0">
      <w:start w:val="1"/>
      <w:numFmt w:val="decimal"/>
      <w:pStyle w:val="98"/>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9">
    <w:nsid w:val="00000013"/>
    <w:multiLevelType w:val="multilevel"/>
    <w:tmpl w:val="00000013"/>
    <w:lvl w:ilvl="0" w:tentative="0">
      <w:start w:val="1"/>
      <w:numFmt w:val="none"/>
      <w:pStyle w:val="60"/>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11"/>
  </w:num>
  <w:num w:numId="2">
    <w:abstractNumId w:val="17"/>
  </w:num>
  <w:num w:numId="3">
    <w:abstractNumId w:val="10"/>
  </w:num>
  <w:num w:numId="4">
    <w:abstractNumId w:val="3"/>
  </w:num>
  <w:num w:numId="5">
    <w:abstractNumId w:val="6"/>
  </w:num>
  <w:num w:numId="6">
    <w:abstractNumId w:val="19"/>
  </w:num>
  <w:num w:numId="7">
    <w:abstractNumId w:val="1"/>
  </w:num>
  <w:num w:numId="8">
    <w:abstractNumId w:val="12"/>
  </w:num>
  <w:num w:numId="9">
    <w:abstractNumId w:val="8"/>
  </w:num>
  <w:num w:numId="10">
    <w:abstractNumId w:val="16"/>
  </w:num>
  <w:num w:numId="11">
    <w:abstractNumId w:val="15"/>
  </w:num>
  <w:num w:numId="12">
    <w:abstractNumId w:val="13"/>
  </w:num>
  <w:num w:numId="13">
    <w:abstractNumId w:val="18"/>
  </w:num>
  <w:num w:numId="14">
    <w:abstractNumId w:val="9"/>
  </w:num>
  <w:num w:numId="15">
    <w:abstractNumId w:val="7"/>
  </w:num>
  <w:num w:numId="16">
    <w:abstractNumId w:val="2"/>
  </w:num>
  <w:num w:numId="17">
    <w:abstractNumId w:val="5"/>
  </w:num>
  <w:num w:numId="18">
    <w:abstractNumId w:val="14"/>
  </w:num>
  <w:num w:numId="19">
    <w:abstractNumId w:val="4"/>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wZjkyNzk3Mjk0MDQwZWQyM2JhNDU2ZjZmNTcwZjcifQ=="/>
  </w:docVars>
  <w:rsids>
    <w:rsidRoot w:val="00000000"/>
    <w:rsid w:val="00D4179D"/>
    <w:rsid w:val="0498752A"/>
    <w:rsid w:val="087B66AE"/>
    <w:rsid w:val="0D6F49B5"/>
    <w:rsid w:val="0D907DC5"/>
    <w:rsid w:val="12E73814"/>
    <w:rsid w:val="13792A22"/>
    <w:rsid w:val="215E0285"/>
    <w:rsid w:val="23DE19CD"/>
    <w:rsid w:val="2CDE3F21"/>
    <w:rsid w:val="34737502"/>
    <w:rsid w:val="375378A7"/>
    <w:rsid w:val="3AA82343"/>
    <w:rsid w:val="3CD63197"/>
    <w:rsid w:val="3E3A1504"/>
    <w:rsid w:val="404C688B"/>
    <w:rsid w:val="43A04842"/>
    <w:rsid w:val="44450992"/>
    <w:rsid w:val="47580D1B"/>
    <w:rsid w:val="493279A7"/>
    <w:rsid w:val="49816239"/>
    <w:rsid w:val="49B77EAC"/>
    <w:rsid w:val="51894824"/>
    <w:rsid w:val="51977773"/>
    <w:rsid w:val="59575007"/>
    <w:rsid w:val="595D1055"/>
    <w:rsid w:val="5BCA1CC1"/>
    <w:rsid w:val="5CAC586B"/>
    <w:rsid w:val="5E5E4943"/>
    <w:rsid w:val="616B1851"/>
    <w:rsid w:val="62AF0FEF"/>
    <w:rsid w:val="6692753B"/>
    <w:rsid w:val="6937322A"/>
    <w:rsid w:val="6CF11227"/>
    <w:rsid w:val="709B4B8D"/>
    <w:rsid w:val="764A7F9A"/>
    <w:rsid w:val="7CBF289B"/>
    <w:rsid w:val="7D005233"/>
    <w:rsid w:val="AEEFB52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5"/>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42"/>
    <w:qFormat/>
    <w:uiPriority w:val="9"/>
    <w:pPr>
      <w:keepNext/>
      <w:keepLines/>
      <w:spacing w:before="260" w:after="260" w:line="416" w:lineRule="auto"/>
      <w:outlineLvl w:val="1"/>
    </w:pPr>
    <w:rPr>
      <w:rFonts w:ascii="Cambria" w:hAnsi="Cambria"/>
      <w:b/>
      <w:bCs/>
      <w:sz w:val="32"/>
      <w:szCs w:val="32"/>
      <w:lang w:val="zh-CN"/>
    </w:rPr>
  </w:style>
  <w:style w:type="paragraph" w:styleId="4">
    <w:name w:val="heading 3"/>
    <w:basedOn w:val="1"/>
    <w:next w:val="1"/>
    <w:link w:val="143"/>
    <w:qFormat/>
    <w:uiPriority w:val="9"/>
    <w:pPr>
      <w:keepNext/>
      <w:keepLines/>
      <w:spacing w:before="260" w:after="260" w:line="416" w:lineRule="auto"/>
      <w:outlineLvl w:val="2"/>
    </w:pPr>
    <w:rPr>
      <w:rFonts w:ascii="Calibri" w:hAnsi="Calibri"/>
      <w:b/>
      <w:bCs/>
      <w:sz w:val="32"/>
      <w:szCs w:val="32"/>
      <w:lang w:val="zh-CN"/>
    </w:rPr>
  </w:style>
  <w:style w:type="character" w:default="1" w:styleId="37">
    <w:name w:val="Default Paragraph Font"/>
    <w:qFormat/>
    <w:uiPriority w:val="1"/>
  </w:style>
  <w:style w:type="table" w:default="1" w:styleId="35">
    <w:name w:val="Normal Table"/>
    <w:qFormat/>
    <w:uiPriority w:val="99"/>
    <w:tblPr>
      <w:tblCellMar>
        <w:top w:w="0" w:type="dxa"/>
        <w:left w:w="108" w:type="dxa"/>
        <w:bottom w:w="0" w:type="dxa"/>
        <w:right w:w="108" w:type="dxa"/>
      </w:tblCellMar>
    </w:tblPr>
  </w:style>
  <w:style w:type="paragraph" w:styleId="5">
    <w:name w:val="toc 7"/>
    <w:basedOn w:val="1"/>
    <w:next w:val="1"/>
    <w:qFormat/>
    <w:uiPriority w:val="0"/>
    <w:pPr>
      <w:tabs>
        <w:tab w:val="right" w:leader="dot" w:pos="9241"/>
      </w:tabs>
      <w:ind w:firstLine="500" w:firstLineChars="500"/>
      <w:jc w:val="left"/>
    </w:pPr>
    <w:rPr>
      <w:rFonts w:ascii="宋体"/>
      <w:szCs w:val="21"/>
    </w:rPr>
  </w:style>
  <w:style w:type="paragraph" w:styleId="6">
    <w:name w:val="index 8"/>
    <w:basedOn w:val="1"/>
    <w:next w:val="1"/>
    <w:qFormat/>
    <w:uiPriority w:val="0"/>
    <w:pPr>
      <w:ind w:left="1680" w:hanging="210"/>
      <w:jc w:val="left"/>
    </w:pPr>
    <w:rPr>
      <w:rFonts w:ascii="Calibri" w:hAnsi="Calibri"/>
      <w:sz w:val="20"/>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index 5"/>
    <w:basedOn w:val="1"/>
    <w:next w:val="1"/>
    <w:qFormat/>
    <w:uiPriority w:val="0"/>
    <w:pPr>
      <w:ind w:left="1050" w:hanging="210"/>
      <w:jc w:val="left"/>
    </w:pPr>
    <w:rPr>
      <w:rFonts w:ascii="Calibri" w:hAnsi="Calibri"/>
      <w:sz w:val="20"/>
      <w:szCs w:val="20"/>
    </w:rPr>
  </w:style>
  <w:style w:type="paragraph" w:styleId="9">
    <w:name w:val="Document Map"/>
    <w:basedOn w:val="1"/>
    <w:qFormat/>
    <w:uiPriority w:val="0"/>
    <w:pPr>
      <w:shd w:val="clear" w:color="auto" w:fill="000080"/>
    </w:pPr>
  </w:style>
  <w:style w:type="paragraph" w:styleId="10">
    <w:name w:val="annotation text"/>
    <w:basedOn w:val="1"/>
    <w:link w:val="155"/>
    <w:qFormat/>
    <w:uiPriority w:val="0"/>
    <w:pPr>
      <w:jc w:val="left"/>
    </w:pPr>
  </w:style>
  <w:style w:type="paragraph" w:styleId="11">
    <w:name w:val="index 6"/>
    <w:basedOn w:val="1"/>
    <w:next w:val="1"/>
    <w:qFormat/>
    <w:uiPriority w:val="0"/>
    <w:pPr>
      <w:ind w:left="1260" w:hanging="210"/>
      <w:jc w:val="left"/>
    </w:pPr>
    <w:rPr>
      <w:rFonts w:ascii="Calibri" w:hAnsi="Calibri"/>
      <w:sz w:val="20"/>
      <w:szCs w:val="20"/>
    </w:rPr>
  </w:style>
  <w:style w:type="paragraph" w:styleId="12">
    <w:name w:val="index 4"/>
    <w:basedOn w:val="1"/>
    <w:next w:val="1"/>
    <w:qFormat/>
    <w:uiPriority w:val="0"/>
    <w:pPr>
      <w:ind w:left="840" w:hanging="210"/>
      <w:jc w:val="left"/>
    </w:pPr>
    <w:rPr>
      <w:rFonts w:ascii="Calibri" w:hAnsi="Calibri"/>
      <w:sz w:val="20"/>
      <w:szCs w:val="20"/>
    </w:rPr>
  </w:style>
  <w:style w:type="paragraph" w:styleId="13">
    <w:name w:val="toc 5"/>
    <w:basedOn w:val="1"/>
    <w:next w:val="1"/>
    <w:qFormat/>
    <w:uiPriority w:val="0"/>
    <w:pPr>
      <w:tabs>
        <w:tab w:val="right" w:leader="dot" w:pos="9241"/>
      </w:tabs>
      <w:ind w:firstLine="300" w:firstLineChars="300"/>
      <w:jc w:val="left"/>
    </w:pPr>
    <w:rPr>
      <w:rFonts w:ascii="宋体"/>
      <w:szCs w:val="21"/>
    </w:rPr>
  </w:style>
  <w:style w:type="paragraph" w:styleId="14">
    <w:name w:val="toc 3"/>
    <w:basedOn w:val="1"/>
    <w:next w:val="1"/>
    <w:qFormat/>
    <w:uiPriority w:val="39"/>
    <w:pPr>
      <w:tabs>
        <w:tab w:val="right" w:leader="dot" w:pos="9241"/>
      </w:tabs>
      <w:ind w:firstLine="100" w:firstLineChars="100"/>
      <w:jc w:val="left"/>
    </w:pPr>
    <w:rPr>
      <w:rFonts w:ascii="宋体"/>
      <w:szCs w:val="21"/>
    </w:rPr>
  </w:style>
  <w:style w:type="paragraph" w:styleId="15">
    <w:name w:val="toc 8"/>
    <w:basedOn w:val="1"/>
    <w:next w:val="1"/>
    <w:qFormat/>
    <w:uiPriority w:val="0"/>
    <w:pPr>
      <w:tabs>
        <w:tab w:val="right" w:leader="dot" w:pos="9241"/>
      </w:tabs>
      <w:ind w:firstLine="607" w:firstLineChars="600"/>
      <w:jc w:val="left"/>
    </w:pPr>
    <w:rPr>
      <w:rFonts w:ascii="宋体"/>
      <w:szCs w:val="21"/>
    </w:rPr>
  </w:style>
  <w:style w:type="paragraph" w:styleId="16">
    <w:name w:val="index 3"/>
    <w:basedOn w:val="1"/>
    <w:next w:val="1"/>
    <w:qFormat/>
    <w:uiPriority w:val="0"/>
    <w:pPr>
      <w:ind w:left="630" w:hanging="210"/>
      <w:jc w:val="left"/>
    </w:pPr>
    <w:rPr>
      <w:rFonts w:ascii="Calibri" w:hAnsi="Calibri"/>
      <w:sz w:val="20"/>
      <w:szCs w:val="20"/>
    </w:rPr>
  </w:style>
  <w:style w:type="paragraph" w:styleId="17">
    <w:name w:val="endnote text"/>
    <w:basedOn w:val="1"/>
    <w:qFormat/>
    <w:uiPriority w:val="0"/>
    <w:pPr>
      <w:snapToGrid w:val="0"/>
      <w:jc w:val="left"/>
    </w:pPr>
  </w:style>
  <w:style w:type="paragraph" w:styleId="18">
    <w:name w:val="Balloon Text"/>
    <w:basedOn w:val="1"/>
    <w:link w:val="144"/>
    <w:qFormat/>
    <w:uiPriority w:val="0"/>
    <w:rPr>
      <w:sz w:val="18"/>
      <w:szCs w:val="18"/>
    </w:rPr>
  </w:style>
  <w:style w:type="paragraph" w:styleId="19">
    <w:name w:val="footer"/>
    <w:basedOn w:val="1"/>
    <w:qFormat/>
    <w:uiPriority w:val="0"/>
    <w:pPr>
      <w:snapToGrid w:val="0"/>
      <w:ind w:right="210" w:rightChars="100"/>
      <w:jc w:val="right"/>
    </w:pPr>
    <w:rPr>
      <w:sz w:val="18"/>
      <w:szCs w:val="18"/>
    </w:rPr>
  </w:style>
  <w:style w:type="paragraph" w:styleId="20">
    <w:name w:val="header"/>
    <w:basedOn w:val="1"/>
    <w:qFormat/>
    <w:uiPriority w:val="0"/>
    <w:pPr>
      <w:snapToGrid w:val="0"/>
      <w:jc w:val="left"/>
    </w:pPr>
    <w:rPr>
      <w:sz w:val="18"/>
      <w:szCs w:val="18"/>
    </w:rPr>
  </w:style>
  <w:style w:type="paragraph" w:styleId="21">
    <w:name w:val="toc 1"/>
    <w:basedOn w:val="1"/>
    <w:next w:val="1"/>
    <w:qFormat/>
    <w:uiPriority w:val="39"/>
    <w:pPr>
      <w:tabs>
        <w:tab w:val="right" w:leader="dot" w:pos="9242"/>
      </w:tabs>
      <w:spacing w:beforeLines="25" w:afterLines="25"/>
      <w:jc w:val="left"/>
    </w:pPr>
    <w:rPr>
      <w:rFonts w:ascii="宋体"/>
      <w:szCs w:val="21"/>
    </w:rPr>
  </w:style>
  <w:style w:type="paragraph" w:styleId="22">
    <w:name w:val="toc 4"/>
    <w:basedOn w:val="1"/>
    <w:next w:val="1"/>
    <w:qFormat/>
    <w:uiPriority w:val="0"/>
    <w:pPr>
      <w:tabs>
        <w:tab w:val="right" w:leader="dot" w:pos="9241"/>
      </w:tabs>
      <w:ind w:firstLine="200" w:firstLineChars="200"/>
      <w:jc w:val="left"/>
    </w:pPr>
    <w:rPr>
      <w:rFonts w:ascii="宋体"/>
      <w:szCs w:val="21"/>
    </w:rPr>
  </w:style>
  <w:style w:type="paragraph" w:styleId="23">
    <w:name w:val="index heading"/>
    <w:basedOn w:val="1"/>
    <w:next w:val="24"/>
    <w:qFormat/>
    <w:uiPriority w:val="0"/>
    <w:pPr>
      <w:spacing w:before="120" w:after="120"/>
      <w:jc w:val="center"/>
    </w:pPr>
    <w:rPr>
      <w:rFonts w:ascii="Calibri" w:hAnsi="Calibri"/>
      <w:b/>
      <w:bCs/>
      <w:iCs/>
      <w:szCs w:val="20"/>
    </w:rPr>
  </w:style>
  <w:style w:type="paragraph" w:styleId="24">
    <w:name w:val="index 1"/>
    <w:basedOn w:val="1"/>
    <w:next w:val="25"/>
    <w:qFormat/>
    <w:uiPriority w:val="0"/>
    <w:pPr>
      <w:tabs>
        <w:tab w:val="right" w:leader="dot" w:pos="9299"/>
      </w:tabs>
      <w:jc w:val="left"/>
    </w:pPr>
    <w:rPr>
      <w:rFonts w:ascii="宋体"/>
      <w:szCs w:val="21"/>
    </w:rPr>
  </w:style>
  <w:style w:type="paragraph" w:customStyle="1" w:styleId="25">
    <w:name w:val="段"/>
    <w:link w:val="44"/>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6">
    <w:name w:val="footnote text"/>
    <w:basedOn w:val="1"/>
    <w:qFormat/>
    <w:uiPriority w:val="0"/>
    <w:pPr>
      <w:numPr>
        <w:ilvl w:val="0"/>
        <w:numId w:val="1"/>
      </w:numPr>
      <w:snapToGrid w:val="0"/>
      <w:jc w:val="left"/>
    </w:pPr>
    <w:rPr>
      <w:rFonts w:ascii="宋体"/>
      <w:sz w:val="18"/>
      <w:szCs w:val="18"/>
    </w:rPr>
  </w:style>
  <w:style w:type="paragraph" w:styleId="27">
    <w:name w:val="toc 6"/>
    <w:basedOn w:val="1"/>
    <w:next w:val="1"/>
    <w:qFormat/>
    <w:uiPriority w:val="0"/>
    <w:pPr>
      <w:tabs>
        <w:tab w:val="right" w:leader="dot" w:pos="9241"/>
      </w:tabs>
      <w:ind w:firstLine="400" w:firstLineChars="400"/>
      <w:jc w:val="left"/>
    </w:pPr>
    <w:rPr>
      <w:rFonts w:ascii="宋体"/>
      <w:szCs w:val="21"/>
    </w:rPr>
  </w:style>
  <w:style w:type="paragraph" w:styleId="28">
    <w:name w:val="index 7"/>
    <w:basedOn w:val="1"/>
    <w:next w:val="1"/>
    <w:qFormat/>
    <w:uiPriority w:val="0"/>
    <w:pPr>
      <w:ind w:left="1470" w:hanging="210"/>
      <w:jc w:val="left"/>
    </w:pPr>
    <w:rPr>
      <w:rFonts w:ascii="Calibri" w:hAnsi="Calibri"/>
      <w:sz w:val="20"/>
      <w:szCs w:val="20"/>
    </w:rPr>
  </w:style>
  <w:style w:type="paragraph" w:styleId="29">
    <w:name w:val="index 9"/>
    <w:basedOn w:val="1"/>
    <w:next w:val="1"/>
    <w:qFormat/>
    <w:uiPriority w:val="0"/>
    <w:pPr>
      <w:ind w:left="1890" w:hanging="210"/>
      <w:jc w:val="left"/>
    </w:pPr>
    <w:rPr>
      <w:rFonts w:ascii="Calibri" w:hAnsi="Calibri"/>
      <w:sz w:val="20"/>
      <w:szCs w:val="20"/>
    </w:rPr>
  </w:style>
  <w:style w:type="paragraph" w:styleId="30">
    <w:name w:val="toc 2"/>
    <w:basedOn w:val="1"/>
    <w:next w:val="1"/>
    <w:qFormat/>
    <w:uiPriority w:val="39"/>
    <w:pPr>
      <w:tabs>
        <w:tab w:val="right" w:leader="dot" w:pos="9242"/>
      </w:tabs>
      <w:ind w:left="100" w:leftChars="100"/>
    </w:pPr>
    <w:rPr>
      <w:rFonts w:ascii="宋体"/>
      <w:szCs w:val="21"/>
    </w:rPr>
  </w:style>
  <w:style w:type="paragraph" w:styleId="31">
    <w:name w:val="toc 9"/>
    <w:basedOn w:val="1"/>
    <w:next w:val="1"/>
    <w:qFormat/>
    <w:uiPriority w:val="0"/>
    <w:pPr>
      <w:ind w:left="1470"/>
      <w:jc w:val="left"/>
    </w:pPr>
    <w:rPr>
      <w:sz w:val="20"/>
      <w:szCs w:val="20"/>
    </w:rPr>
  </w:style>
  <w:style w:type="paragraph" w:styleId="32">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3">
    <w:name w:val="index 2"/>
    <w:basedOn w:val="1"/>
    <w:next w:val="1"/>
    <w:qFormat/>
    <w:uiPriority w:val="0"/>
    <w:pPr>
      <w:ind w:left="420" w:hanging="210"/>
      <w:jc w:val="left"/>
    </w:pPr>
    <w:rPr>
      <w:rFonts w:ascii="Calibri" w:hAnsi="Calibri"/>
      <w:sz w:val="20"/>
      <w:szCs w:val="20"/>
    </w:rPr>
  </w:style>
  <w:style w:type="paragraph" w:styleId="34">
    <w:name w:val="annotation subject"/>
    <w:basedOn w:val="10"/>
    <w:next w:val="10"/>
    <w:link w:val="156"/>
    <w:qFormat/>
    <w:uiPriority w:val="0"/>
    <w:rPr>
      <w:b/>
      <w:bCs/>
    </w:rPr>
  </w:style>
  <w:style w:type="table" w:styleId="36">
    <w:name w:val="Table Grid"/>
    <w:basedOn w:val="35"/>
    <w:qFormat/>
    <w:uiPriority w:val="0"/>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8">
    <w:name w:val="Strong"/>
    <w:qFormat/>
    <w:uiPriority w:val="22"/>
    <w:rPr>
      <w:b/>
      <w:bCs/>
    </w:rPr>
  </w:style>
  <w:style w:type="character" w:styleId="39">
    <w:name w:val="endnote reference"/>
    <w:qFormat/>
    <w:uiPriority w:val="0"/>
    <w:rPr>
      <w:vertAlign w:val="superscript"/>
    </w:rPr>
  </w:style>
  <w:style w:type="character" w:styleId="40">
    <w:name w:val="page number"/>
    <w:qFormat/>
    <w:uiPriority w:val="0"/>
    <w:rPr>
      <w:rFonts w:ascii="Times New Roman" w:hAnsi="Times New Roman" w:eastAsia="宋体"/>
      <w:sz w:val="18"/>
    </w:rPr>
  </w:style>
  <w:style w:type="character" w:styleId="41">
    <w:name w:val="Hyperlink"/>
    <w:qFormat/>
    <w:uiPriority w:val="99"/>
    <w:rPr>
      <w:color w:val="0000FF"/>
      <w:spacing w:val="0"/>
      <w:w w:val="100"/>
      <w:szCs w:val="21"/>
      <w:u w:val="single"/>
    </w:rPr>
  </w:style>
  <w:style w:type="character" w:styleId="42">
    <w:name w:val="annotation reference"/>
    <w:basedOn w:val="37"/>
    <w:qFormat/>
    <w:uiPriority w:val="0"/>
    <w:rPr>
      <w:sz w:val="21"/>
      <w:szCs w:val="21"/>
    </w:rPr>
  </w:style>
  <w:style w:type="character" w:styleId="43">
    <w:name w:val="footnote reference"/>
    <w:qFormat/>
    <w:uiPriority w:val="0"/>
    <w:rPr>
      <w:vertAlign w:val="superscript"/>
    </w:rPr>
  </w:style>
  <w:style w:type="character" w:customStyle="1" w:styleId="44">
    <w:name w:val="段 Char"/>
    <w:link w:val="25"/>
    <w:qFormat/>
    <w:uiPriority w:val="0"/>
    <w:rPr>
      <w:rFonts w:ascii="宋体"/>
      <w:sz w:val="21"/>
      <w:lang w:val="en-US" w:eastAsia="zh-CN" w:bidi="ar-SA"/>
    </w:rPr>
  </w:style>
  <w:style w:type="paragraph" w:customStyle="1" w:styleId="45">
    <w:name w:val="一级条标题"/>
    <w:next w:val="25"/>
    <w:qFormat/>
    <w:uiPriority w:val="0"/>
    <w:pPr>
      <w:numPr>
        <w:ilvl w:val="1"/>
        <w:numId w:val="2"/>
      </w:numPr>
      <w:spacing w:beforeLines="50" w:afterLines="50"/>
      <w:outlineLvl w:val="2"/>
    </w:pPr>
    <w:rPr>
      <w:rFonts w:ascii="黑体" w:hAnsi="Times New Roman" w:eastAsia="黑体" w:cs="Times New Roman"/>
      <w:sz w:val="21"/>
      <w:szCs w:val="21"/>
      <w:lang w:val="en-US" w:eastAsia="zh-CN" w:bidi="ar-SA"/>
    </w:rPr>
  </w:style>
  <w:style w:type="paragraph" w:customStyle="1" w:styleId="46">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47">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8">
    <w:name w:val="章标题"/>
    <w:next w:val="25"/>
    <w:qFormat/>
    <w:uiPriority w:val="0"/>
    <w:pPr>
      <w:numPr>
        <w:ilvl w:val="0"/>
        <w:numId w:val="2"/>
      </w:numPr>
      <w:spacing w:beforeLines="100" w:afterLines="100"/>
      <w:jc w:val="both"/>
      <w:outlineLvl w:val="1"/>
    </w:pPr>
    <w:rPr>
      <w:rFonts w:ascii="黑体" w:hAnsi="Times New Roman" w:eastAsia="黑体" w:cs="Times New Roman"/>
      <w:sz w:val="21"/>
      <w:lang w:val="en-US" w:eastAsia="zh-CN" w:bidi="ar-SA"/>
    </w:rPr>
  </w:style>
  <w:style w:type="paragraph" w:customStyle="1" w:styleId="49">
    <w:name w:val="二级条标题"/>
    <w:basedOn w:val="45"/>
    <w:next w:val="25"/>
    <w:qFormat/>
    <w:uiPriority w:val="0"/>
    <w:pPr>
      <w:numPr>
        <w:ilvl w:val="2"/>
        <w:numId w:val="0"/>
      </w:numPr>
      <w:outlineLvl w:val="3"/>
    </w:pPr>
  </w:style>
  <w:style w:type="paragraph" w:customStyle="1" w:styleId="50">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51">
    <w:name w:val="列项——（一级）"/>
    <w:qFormat/>
    <w:uiPriority w:val="0"/>
    <w:pPr>
      <w:widowControl w:val="0"/>
      <w:numPr>
        <w:ilvl w:val="0"/>
        <w:numId w:val="3"/>
      </w:numPr>
      <w:jc w:val="both"/>
    </w:pPr>
    <w:rPr>
      <w:rFonts w:ascii="宋体" w:hAnsi="Times New Roman" w:eastAsia="宋体" w:cs="Times New Roman"/>
      <w:sz w:val="21"/>
      <w:lang w:val="en-US" w:eastAsia="zh-CN" w:bidi="ar-SA"/>
    </w:rPr>
  </w:style>
  <w:style w:type="paragraph" w:customStyle="1" w:styleId="52">
    <w:name w:val="列项●（二级）"/>
    <w:qFormat/>
    <w:uiPriority w:val="0"/>
    <w:pPr>
      <w:numPr>
        <w:ilvl w:val="1"/>
        <w:numId w:val="3"/>
      </w:numPr>
      <w:tabs>
        <w:tab w:val="left" w:pos="840"/>
      </w:tabs>
      <w:jc w:val="both"/>
    </w:pPr>
    <w:rPr>
      <w:rFonts w:ascii="宋体" w:hAnsi="Times New Roman" w:eastAsia="宋体" w:cs="Times New Roman"/>
      <w:sz w:val="21"/>
      <w:lang w:val="en-US" w:eastAsia="zh-CN" w:bidi="ar-SA"/>
    </w:rPr>
  </w:style>
  <w:style w:type="paragraph" w:customStyle="1" w:styleId="53">
    <w:name w:val="目次、标准名称标题"/>
    <w:basedOn w:val="1"/>
    <w:next w:val="25"/>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4">
    <w:name w:val="三级条标题"/>
    <w:basedOn w:val="49"/>
    <w:next w:val="25"/>
    <w:qFormat/>
    <w:uiPriority w:val="0"/>
    <w:pPr>
      <w:numPr>
        <w:ilvl w:val="3"/>
        <w:numId w:val="0"/>
      </w:numPr>
      <w:outlineLvl w:val="4"/>
    </w:pPr>
    <w:rPr>
      <w:rFonts w:ascii="宋体" w:hAnsi="宋体"/>
    </w:rPr>
  </w:style>
  <w:style w:type="paragraph" w:customStyle="1" w:styleId="55">
    <w:name w:val="示例"/>
    <w:next w:val="56"/>
    <w:qFormat/>
    <w:uiPriority w:val="0"/>
    <w:pPr>
      <w:widowControl w:val="0"/>
      <w:numPr>
        <w:ilvl w:val="0"/>
        <w:numId w:val="4"/>
      </w:numPr>
      <w:jc w:val="both"/>
    </w:pPr>
    <w:rPr>
      <w:rFonts w:ascii="宋体" w:hAnsi="Times New Roman" w:eastAsia="宋体" w:cs="Times New Roman"/>
      <w:sz w:val="18"/>
      <w:szCs w:val="18"/>
      <w:lang w:val="en-US" w:eastAsia="zh-CN" w:bidi="ar-SA"/>
    </w:rPr>
  </w:style>
  <w:style w:type="paragraph" w:customStyle="1" w:styleId="56">
    <w:name w:val="示例内容"/>
    <w:qFormat/>
    <w:uiPriority w:val="0"/>
    <w:pPr>
      <w:ind w:firstLine="200" w:firstLineChars="200"/>
    </w:pPr>
    <w:rPr>
      <w:rFonts w:ascii="宋体" w:hAnsi="Times New Roman" w:eastAsia="宋体" w:cs="Times New Roman"/>
      <w:sz w:val="18"/>
      <w:szCs w:val="18"/>
      <w:lang w:val="en-US" w:eastAsia="zh-CN" w:bidi="ar-SA"/>
    </w:rPr>
  </w:style>
  <w:style w:type="paragraph" w:customStyle="1" w:styleId="57">
    <w:name w:val="数字编号列项（二级）"/>
    <w:qFormat/>
    <w:uiPriority w:val="0"/>
    <w:pPr>
      <w:numPr>
        <w:ilvl w:val="1"/>
        <w:numId w:val="5"/>
      </w:numPr>
      <w:jc w:val="both"/>
    </w:pPr>
    <w:rPr>
      <w:rFonts w:ascii="宋体" w:hAnsi="Times New Roman" w:eastAsia="宋体" w:cs="Times New Roman"/>
      <w:sz w:val="21"/>
      <w:lang w:val="en-US" w:eastAsia="zh-CN" w:bidi="ar-SA"/>
    </w:rPr>
  </w:style>
  <w:style w:type="paragraph" w:customStyle="1" w:styleId="58">
    <w:name w:val="四级条标题"/>
    <w:basedOn w:val="54"/>
    <w:next w:val="25"/>
    <w:qFormat/>
    <w:uiPriority w:val="0"/>
    <w:pPr>
      <w:numPr>
        <w:ilvl w:val="4"/>
        <w:numId w:val="0"/>
      </w:numPr>
      <w:outlineLvl w:val="5"/>
    </w:pPr>
  </w:style>
  <w:style w:type="paragraph" w:customStyle="1" w:styleId="59">
    <w:name w:val="五级条标题"/>
    <w:basedOn w:val="58"/>
    <w:next w:val="25"/>
    <w:qFormat/>
    <w:uiPriority w:val="0"/>
    <w:pPr>
      <w:numPr>
        <w:ilvl w:val="5"/>
        <w:numId w:val="0"/>
      </w:numPr>
      <w:outlineLvl w:val="6"/>
    </w:pPr>
  </w:style>
  <w:style w:type="paragraph" w:customStyle="1" w:styleId="60">
    <w:name w:val="注："/>
    <w:next w:val="25"/>
    <w:qFormat/>
    <w:uiPriority w:val="0"/>
    <w:pPr>
      <w:widowControl w:val="0"/>
      <w:numPr>
        <w:ilvl w:val="0"/>
        <w:numId w:val="6"/>
      </w:numPr>
      <w:autoSpaceDE w:val="0"/>
      <w:autoSpaceDN w:val="0"/>
      <w:jc w:val="both"/>
    </w:pPr>
    <w:rPr>
      <w:rFonts w:ascii="宋体" w:hAnsi="Times New Roman" w:eastAsia="宋体" w:cs="Times New Roman"/>
      <w:sz w:val="18"/>
      <w:szCs w:val="18"/>
      <w:lang w:val="en-US" w:eastAsia="zh-CN" w:bidi="ar-SA"/>
    </w:rPr>
  </w:style>
  <w:style w:type="paragraph" w:customStyle="1" w:styleId="61">
    <w:name w:val="注×："/>
    <w:qFormat/>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62">
    <w:name w:val="字母编号列项（一级）"/>
    <w:qFormat/>
    <w:uiPriority w:val="0"/>
    <w:pPr>
      <w:numPr>
        <w:ilvl w:val="0"/>
        <w:numId w:val="5"/>
      </w:numPr>
      <w:jc w:val="both"/>
    </w:pPr>
    <w:rPr>
      <w:rFonts w:ascii="宋体" w:hAnsi="Times New Roman" w:eastAsia="宋体" w:cs="Times New Roman"/>
      <w:sz w:val="21"/>
      <w:lang w:val="en-US" w:eastAsia="zh-CN" w:bidi="ar-SA"/>
    </w:rPr>
  </w:style>
  <w:style w:type="paragraph" w:customStyle="1" w:styleId="63">
    <w:name w:val="列项◆（三级）"/>
    <w:basedOn w:val="1"/>
    <w:qFormat/>
    <w:uiPriority w:val="0"/>
    <w:pPr>
      <w:numPr>
        <w:ilvl w:val="2"/>
        <w:numId w:val="3"/>
      </w:numPr>
    </w:pPr>
    <w:rPr>
      <w:rFonts w:ascii="宋体"/>
      <w:szCs w:val="21"/>
    </w:rPr>
  </w:style>
  <w:style w:type="paragraph" w:customStyle="1" w:styleId="64">
    <w:name w:val="编号列项（三级）"/>
    <w:qFormat/>
    <w:uiPriority w:val="0"/>
    <w:rPr>
      <w:rFonts w:ascii="宋体" w:hAnsi="Times New Roman" w:eastAsia="宋体" w:cs="Times New Roman"/>
      <w:sz w:val="21"/>
      <w:lang w:val="en-US" w:eastAsia="zh-CN" w:bidi="ar-SA"/>
    </w:rPr>
  </w:style>
  <w:style w:type="paragraph" w:customStyle="1" w:styleId="65">
    <w:name w:val="示例×："/>
    <w:basedOn w:val="48"/>
    <w:qFormat/>
    <w:uiPriority w:val="0"/>
    <w:pPr>
      <w:numPr>
        <w:ilvl w:val="0"/>
        <w:numId w:val="8"/>
      </w:numPr>
      <w:outlineLvl w:val="9"/>
    </w:pPr>
    <w:rPr>
      <w:rFonts w:ascii="宋体" w:eastAsia="宋体"/>
      <w:sz w:val="18"/>
      <w:szCs w:val="18"/>
    </w:rPr>
  </w:style>
  <w:style w:type="paragraph" w:customStyle="1" w:styleId="66">
    <w:name w:val="五级无标题条"/>
    <w:basedOn w:val="59"/>
    <w:qFormat/>
    <w:uiPriority w:val="0"/>
    <w:rPr>
      <w:rFonts w:eastAsia="宋体"/>
    </w:rPr>
  </w:style>
  <w:style w:type="paragraph" w:customStyle="1" w:styleId="67">
    <w:name w:val="注：（正文）"/>
    <w:basedOn w:val="60"/>
    <w:next w:val="25"/>
    <w:qFormat/>
    <w:uiPriority w:val="0"/>
    <w:pPr>
      <w:numPr>
        <w:ilvl w:val="0"/>
        <w:numId w:val="9"/>
      </w:numPr>
    </w:pPr>
  </w:style>
  <w:style w:type="paragraph" w:customStyle="1" w:styleId="68">
    <w:name w:val="注×：（正文）"/>
    <w:qFormat/>
    <w:uiPriority w:val="0"/>
    <w:pPr>
      <w:numPr>
        <w:ilvl w:val="0"/>
        <w:numId w:val="10"/>
      </w:numPr>
      <w:jc w:val="both"/>
    </w:pPr>
    <w:rPr>
      <w:rFonts w:ascii="宋体" w:hAnsi="Times New Roman" w:eastAsia="宋体" w:cs="Times New Roman"/>
      <w:sz w:val="18"/>
      <w:szCs w:val="18"/>
      <w:lang w:val="en-US" w:eastAsia="zh-CN" w:bidi="ar-SA"/>
    </w:rPr>
  </w:style>
  <w:style w:type="paragraph" w:customStyle="1" w:styleId="69">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70">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71">
    <w:name w:val="标准书脚_偶数页"/>
    <w:qFormat/>
    <w:uiPriority w:val="0"/>
    <w:pPr>
      <w:spacing w:before="120"/>
      <w:ind w:left="221"/>
    </w:pPr>
    <w:rPr>
      <w:rFonts w:ascii="宋体" w:hAnsi="Times New Roman" w:eastAsia="宋体" w:cs="Times New Roman"/>
      <w:sz w:val="18"/>
      <w:szCs w:val="18"/>
      <w:lang w:val="en-US" w:eastAsia="zh-CN" w:bidi="ar-SA"/>
    </w:rPr>
  </w:style>
  <w:style w:type="paragraph" w:customStyle="1" w:styleId="72">
    <w:name w:val="标准书眉_偶数页"/>
    <w:basedOn w:val="47"/>
    <w:next w:val="1"/>
    <w:qFormat/>
    <w:uiPriority w:val="0"/>
    <w:pPr>
      <w:jc w:val="left"/>
    </w:pPr>
  </w:style>
  <w:style w:type="paragraph" w:customStyle="1" w:styleId="73">
    <w:name w:val="标准书眉一"/>
    <w:qFormat/>
    <w:uiPriority w:val="0"/>
    <w:pPr>
      <w:jc w:val="both"/>
    </w:pPr>
    <w:rPr>
      <w:rFonts w:ascii="Times New Roman" w:hAnsi="Times New Roman" w:eastAsia="宋体" w:cs="Times New Roman"/>
      <w:lang w:val="en-US" w:eastAsia="zh-CN" w:bidi="ar-SA"/>
    </w:rPr>
  </w:style>
  <w:style w:type="paragraph" w:customStyle="1" w:styleId="74">
    <w:name w:val="参考文献"/>
    <w:basedOn w:val="1"/>
    <w:next w:val="25"/>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75">
    <w:name w:val="参考文献、索引标题"/>
    <w:basedOn w:val="1"/>
    <w:next w:val="25"/>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6">
    <w:name w:val="发布"/>
    <w:qFormat/>
    <w:uiPriority w:val="0"/>
    <w:rPr>
      <w:rFonts w:ascii="黑体" w:eastAsia="黑体"/>
      <w:spacing w:val="85"/>
      <w:w w:val="100"/>
      <w:position w:val="3"/>
      <w:sz w:val="28"/>
      <w:szCs w:val="28"/>
    </w:rPr>
  </w:style>
  <w:style w:type="paragraph" w:customStyle="1" w:styleId="77">
    <w:name w:val="发布部门"/>
    <w:next w:val="25"/>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78">
    <w:name w:val="发布日期"/>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79">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8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1">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2">
    <w:name w:val="封面标准英文名称"/>
    <w:basedOn w:val="81"/>
    <w:qFormat/>
    <w:uiPriority w:val="0"/>
    <w:pPr>
      <w:spacing w:before="370" w:line="400" w:lineRule="exact"/>
    </w:pPr>
    <w:rPr>
      <w:rFonts w:ascii="Times New Roman"/>
      <w:sz w:val="28"/>
      <w:szCs w:val="28"/>
    </w:rPr>
  </w:style>
  <w:style w:type="paragraph" w:customStyle="1" w:styleId="83">
    <w:name w:val="封面一致性程度标识"/>
    <w:basedOn w:val="82"/>
    <w:qFormat/>
    <w:uiPriority w:val="0"/>
    <w:pPr>
      <w:spacing w:before="440"/>
    </w:pPr>
    <w:rPr>
      <w:rFonts w:ascii="宋体" w:eastAsia="宋体"/>
    </w:rPr>
  </w:style>
  <w:style w:type="paragraph" w:customStyle="1" w:styleId="84">
    <w:name w:val="封面标准文稿类别"/>
    <w:basedOn w:val="83"/>
    <w:qFormat/>
    <w:uiPriority w:val="0"/>
    <w:pPr>
      <w:spacing w:after="160" w:line="240" w:lineRule="auto"/>
    </w:pPr>
    <w:rPr>
      <w:sz w:val="24"/>
    </w:rPr>
  </w:style>
  <w:style w:type="paragraph" w:customStyle="1" w:styleId="85">
    <w:name w:val="封面标准文稿编辑信息"/>
    <w:basedOn w:val="84"/>
    <w:qFormat/>
    <w:uiPriority w:val="0"/>
    <w:pPr>
      <w:spacing w:before="180" w:line="180" w:lineRule="exact"/>
    </w:pPr>
    <w:rPr>
      <w:sz w:val="21"/>
    </w:rPr>
  </w:style>
  <w:style w:type="paragraph" w:customStyle="1" w:styleId="86">
    <w:name w:val="封面正文"/>
    <w:qFormat/>
    <w:uiPriority w:val="0"/>
    <w:pPr>
      <w:jc w:val="both"/>
    </w:pPr>
    <w:rPr>
      <w:rFonts w:ascii="Times New Roman" w:hAnsi="Times New Roman" w:eastAsia="宋体" w:cs="Times New Roman"/>
      <w:lang w:val="en-US" w:eastAsia="zh-CN" w:bidi="ar-SA"/>
    </w:rPr>
  </w:style>
  <w:style w:type="paragraph" w:customStyle="1" w:styleId="87">
    <w:name w:val="附录标识"/>
    <w:basedOn w:val="1"/>
    <w:next w:val="25"/>
    <w:qFormat/>
    <w:uiPriority w:val="0"/>
    <w:pPr>
      <w:keepNext/>
      <w:widowControl/>
      <w:numPr>
        <w:ilvl w:val="0"/>
        <w:numId w:val="11"/>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88">
    <w:name w:val="附录标题"/>
    <w:basedOn w:val="25"/>
    <w:next w:val="25"/>
    <w:qFormat/>
    <w:uiPriority w:val="0"/>
    <w:pPr>
      <w:ind w:firstLine="0" w:firstLineChars="0"/>
      <w:jc w:val="center"/>
    </w:pPr>
    <w:rPr>
      <w:rFonts w:ascii="黑体" w:eastAsia="黑体"/>
    </w:rPr>
  </w:style>
  <w:style w:type="paragraph" w:customStyle="1" w:styleId="89">
    <w:name w:val="附录表标号"/>
    <w:basedOn w:val="1"/>
    <w:next w:val="25"/>
    <w:qFormat/>
    <w:uiPriority w:val="0"/>
    <w:pPr>
      <w:numPr>
        <w:ilvl w:val="0"/>
        <w:numId w:val="12"/>
      </w:numPr>
      <w:spacing w:line="14" w:lineRule="exact"/>
      <w:ind w:left="811" w:hanging="448"/>
      <w:jc w:val="center"/>
      <w:outlineLvl w:val="0"/>
    </w:pPr>
    <w:rPr>
      <w:color w:val="FFFFFF"/>
    </w:rPr>
  </w:style>
  <w:style w:type="paragraph" w:customStyle="1" w:styleId="90">
    <w:name w:val="附录表标题"/>
    <w:basedOn w:val="1"/>
    <w:next w:val="25"/>
    <w:qFormat/>
    <w:uiPriority w:val="0"/>
    <w:pPr>
      <w:numPr>
        <w:ilvl w:val="1"/>
        <w:numId w:val="12"/>
      </w:numPr>
      <w:tabs>
        <w:tab w:val="left" w:pos="180"/>
      </w:tabs>
      <w:spacing w:beforeLines="50" w:afterLines="50"/>
      <w:ind w:left="0" w:firstLine="0"/>
      <w:jc w:val="center"/>
    </w:pPr>
    <w:rPr>
      <w:rFonts w:ascii="黑体" w:eastAsia="黑体"/>
      <w:szCs w:val="21"/>
    </w:rPr>
  </w:style>
  <w:style w:type="paragraph" w:customStyle="1" w:styleId="91">
    <w:name w:val="附录二级条标题"/>
    <w:basedOn w:val="1"/>
    <w:next w:val="25"/>
    <w:qFormat/>
    <w:uiPriority w:val="0"/>
    <w:pPr>
      <w:widowControl/>
      <w:numPr>
        <w:ilvl w:val="3"/>
        <w:numId w:val="11"/>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2">
    <w:name w:val="附录二级无"/>
    <w:basedOn w:val="91"/>
    <w:qFormat/>
    <w:uiPriority w:val="0"/>
    <w:pPr>
      <w:tabs>
        <w:tab w:val="clear" w:pos="360"/>
      </w:tabs>
    </w:pPr>
    <w:rPr>
      <w:rFonts w:ascii="宋体" w:eastAsia="宋体"/>
      <w:szCs w:val="21"/>
    </w:rPr>
  </w:style>
  <w:style w:type="paragraph" w:customStyle="1" w:styleId="93">
    <w:name w:val="附录公式"/>
    <w:basedOn w:val="25"/>
    <w:next w:val="25"/>
    <w:link w:val="94"/>
    <w:qFormat/>
    <w:uiPriority w:val="0"/>
  </w:style>
  <w:style w:type="character" w:customStyle="1" w:styleId="94">
    <w:name w:val="附录公式 Char"/>
    <w:basedOn w:val="44"/>
    <w:link w:val="93"/>
    <w:qFormat/>
    <w:uiPriority w:val="0"/>
    <w:rPr>
      <w:rFonts w:ascii="宋体"/>
      <w:sz w:val="21"/>
      <w:lang w:val="en-US" w:eastAsia="zh-CN" w:bidi="ar-SA"/>
    </w:rPr>
  </w:style>
  <w:style w:type="paragraph" w:customStyle="1" w:styleId="95">
    <w:name w:val="附录公式编号制表符"/>
    <w:basedOn w:val="1"/>
    <w:next w:val="25"/>
    <w:qFormat/>
    <w:uiPriority w:val="0"/>
    <w:pPr>
      <w:widowControl/>
      <w:tabs>
        <w:tab w:val="center" w:pos="4201"/>
        <w:tab w:val="right" w:leader="dot" w:pos="9298"/>
      </w:tabs>
      <w:autoSpaceDE w:val="0"/>
      <w:autoSpaceDN w:val="0"/>
    </w:pPr>
    <w:rPr>
      <w:rFonts w:ascii="宋体"/>
      <w:kern w:val="0"/>
      <w:szCs w:val="20"/>
    </w:rPr>
  </w:style>
  <w:style w:type="paragraph" w:customStyle="1" w:styleId="96">
    <w:name w:val="附录三级条标题"/>
    <w:basedOn w:val="91"/>
    <w:next w:val="25"/>
    <w:qFormat/>
    <w:uiPriority w:val="0"/>
    <w:pPr>
      <w:numPr>
        <w:ilvl w:val="4"/>
        <w:numId w:val="0"/>
      </w:numPr>
      <w:outlineLvl w:val="4"/>
    </w:pPr>
  </w:style>
  <w:style w:type="paragraph" w:customStyle="1" w:styleId="97">
    <w:name w:val="附录三级无"/>
    <w:basedOn w:val="96"/>
    <w:qFormat/>
    <w:uiPriority w:val="0"/>
    <w:pPr>
      <w:tabs>
        <w:tab w:val="clear" w:pos="360"/>
      </w:tabs>
    </w:pPr>
    <w:rPr>
      <w:rFonts w:ascii="宋体" w:eastAsia="宋体"/>
      <w:szCs w:val="21"/>
    </w:rPr>
  </w:style>
  <w:style w:type="paragraph" w:customStyle="1" w:styleId="98">
    <w:name w:val="附录数字编号列项（二级）"/>
    <w:qFormat/>
    <w:uiPriority w:val="0"/>
    <w:pPr>
      <w:numPr>
        <w:ilvl w:val="1"/>
        <w:numId w:val="13"/>
      </w:numPr>
    </w:pPr>
    <w:rPr>
      <w:rFonts w:ascii="宋体" w:hAnsi="Times New Roman" w:eastAsia="宋体" w:cs="Times New Roman"/>
      <w:sz w:val="21"/>
      <w:lang w:val="en-US" w:eastAsia="zh-CN" w:bidi="ar-SA"/>
    </w:rPr>
  </w:style>
  <w:style w:type="paragraph" w:customStyle="1" w:styleId="99">
    <w:name w:val="附录四级条标题"/>
    <w:basedOn w:val="96"/>
    <w:next w:val="25"/>
    <w:qFormat/>
    <w:uiPriority w:val="0"/>
    <w:pPr>
      <w:numPr>
        <w:ilvl w:val="5"/>
        <w:numId w:val="0"/>
      </w:numPr>
      <w:outlineLvl w:val="5"/>
    </w:pPr>
  </w:style>
  <w:style w:type="paragraph" w:customStyle="1" w:styleId="100">
    <w:name w:val="附录四级无"/>
    <w:basedOn w:val="99"/>
    <w:qFormat/>
    <w:uiPriority w:val="0"/>
    <w:pPr>
      <w:tabs>
        <w:tab w:val="clear" w:pos="360"/>
      </w:tabs>
    </w:pPr>
    <w:rPr>
      <w:rFonts w:ascii="宋体" w:eastAsia="宋体"/>
      <w:szCs w:val="21"/>
    </w:rPr>
  </w:style>
  <w:style w:type="paragraph" w:customStyle="1" w:styleId="101">
    <w:name w:val="附录图标号"/>
    <w:basedOn w:val="1"/>
    <w:qFormat/>
    <w:uiPriority w:val="0"/>
    <w:pPr>
      <w:keepNext/>
      <w:pageBreakBefore/>
      <w:widowControl/>
      <w:numPr>
        <w:ilvl w:val="0"/>
        <w:numId w:val="14"/>
      </w:numPr>
      <w:spacing w:line="14" w:lineRule="exact"/>
      <w:ind w:left="0" w:firstLine="363"/>
      <w:jc w:val="center"/>
      <w:outlineLvl w:val="0"/>
    </w:pPr>
    <w:rPr>
      <w:color w:val="FFFFFF"/>
    </w:rPr>
  </w:style>
  <w:style w:type="paragraph" w:customStyle="1" w:styleId="102">
    <w:name w:val="附录图标题"/>
    <w:basedOn w:val="1"/>
    <w:next w:val="25"/>
    <w:qFormat/>
    <w:uiPriority w:val="0"/>
    <w:pPr>
      <w:numPr>
        <w:ilvl w:val="1"/>
        <w:numId w:val="14"/>
      </w:numPr>
      <w:tabs>
        <w:tab w:val="left" w:pos="363"/>
      </w:tabs>
      <w:spacing w:beforeLines="50" w:afterLines="50"/>
      <w:ind w:left="0" w:firstLine="0"/>
      <w:jc w:val="center"/>
    </w:pPr>
    <w:rPr>
      <w:rFonts w:ascii="黑体" w:eastAsia="黑体"/>
      <w:szCs w:val="21"/>
    </w:rPr>
  </w:style>
  <w:style w:type="paragraph" w:customStyle="1" w:styleId="103">
    <w:name w:val="附录五级条标题"/>
    <w:basedOn w:val="99"/>
    <w:next w:val="25"/>
    <w:qFormat/>
    <w:uiPriority w:val="0"/>
    <w:pPr>
      <w:numPr>
        <w:ilvl w:val="6"/>
        <w:numId w:val="0"/>
      </w:numPr>
      <w:outlineLvl w:val="6"/>
    </w:pPr>
  </w:style>
  <w:style w:type="paragraph" w:customStyle="1" w:styleId="104">
    <w:name w:val="附录五级无"/>
    <w:basedOn w:val="103"/>
    <w:qFormat/>
    <w:uiPriority w:val="0"/>
    <w:pPr>
      <w:tabs>
        <w:tab w:val="clear" w:pos="360"/>
      </w:tabs>
    </w:pPr>
    <w:rPr>
      <w:rFonts w:ascii="宋体" w:eastAsia="宋体"/>
      <w:szCs w:val="21"/>
    </w:rPr>
  </w:style>
  <w:style w:type="paragraph" w:customStyle="1" w:styleId="105">
    <w:name w:val="附录章标题"/>
    <w:next w:val="25"/>
    <w:qFormat/>
    <w:uiPriority w:val="0"/>
    <w:pPr>
      <w:numPr>
        <w:ilvl w:val="1"/>
        <w:numId w:val="11"/>
      </w:numPr>
      <w:tabs>
        <w:tab w:val="left" w:pos="360"/>
      </w:tabs>
      <w:wordWrap w:val="0"/>
      <w:overflowPunct w:val="0"/>
      <w:autoSpaceDE w:val="0"/>
      <w:spacing w:beforeLines="100" w:afterLines="100"/>
      <w:ind w:left="0"/>
      <w:jc w:val="both"/>
      <w:textAlignment w:val="baseline"/>
      <w:outlineLvl w:val="1"/>
    </w:pPr>
    <w:rPr>
      <w:rFonts w:ascii="黑体" w:hAnsi="Times New Roman" w:eastAsia="黑体" w:cs="Times New Roman"/>
      <w:kern w:val="21"/>
      <w:sz w:val="21"/>
      <w:lang w:val="en-US" w:eastAsia="zh-CN" w:bidi="ar-SA"/>
    </w:rPr>
  </w:style>
  <w:style w:type="paragraph" w:customStyle="1" w:styleId="106">
    <w:name w:val="附录一级条标题"/>
    <w:basedOn w:val="105"/>
    <w:next w:val="25"/>
    <w:qFormat/>
    <w:uiPriority w:val="0"/>
    <w:pPr>
      <w:numPr>
        <w:ilvl w:val="2"/>
        <w:numId w:val="0"/>
      </w:numPr>
      <w:autoSpaceDN w:val="0"/>
      <w:spacing w:beforeLines="50" w:afterLines="50"/>
      <w:outlineLvl w:val="2"/>
    </w:pPr>
  </w:style>
  <w:style w:type="paragraph" w:customStyle="1" w:styleId="107">
    <w:name w:val="附录一级无"/>
    <w:basedOn w:val="106"/>
    <w:qFormat/>
    <w:uiPriority w:val="0"/>
    <w:pPr>
      <w:tabs>
        <w:tab w:val="clear" w:pos="360"/>
      </w:tabs>
    </w:pPr>
    <w:rPr>
      <w:rFonts w:ascii="宋体" w:eastAsia="宋体"/>
      <w:szCs w:val="21"/>
    </w:rPr>
  </w:style>
  <w:style w:type="paragraph" w:customStyle="1" w:styleId="108">
    <w:name w:val="附录字母编号列项（一级）"/>
    <w:qFormat/>
    <w:uiPriority w:val="0"/>
    <w:pPr>
      <w:numPr>
        <w:ilvl w:val="0"/>
        <w:numId w:val="13"/>
      </w:numPr>
    </w:pPr>
    <w:rPr>
      <w:rFonts w:ascii="宋体" w:hAnsi="Times New Roman" w:eastAsia="宋体" w:cs="Times New Roman"/>
      <w:sz w:val="21"/>
      <w:lang w:val="en-US" w:eastAsia="zh-CN" w:bidi="ar-SA"/>
    </w:rPr>
  </w:style>
  <w:style w:type="paragraph" w:customStyle="1" w:styleId="109">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10">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11">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12">
    <w:name w:val="其他标准标志"/>
    <w:basedOn w:val="69"/>
    <w:qFormat/>
    <w:uiPriority w:val="0"/>
    <w:pPr>
      <w:framePr w:w="6101" w:vAnchor="page" w:hAnchor="page" w:x="4673" w:y="942"/>
    </w:pPr>
    <w:rPr>
      <w:w w:val="130"/>
    </w:rPr>
  </w:style>
  <w:style w:type="paragraph" w:customStyle="1" w:styleId="113">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14">
    <w:name w:val="其他发布部门"/>
    <w:basedOn w:val="77"/>
    <w:qFormat/>
    <w:uiPriority w:val="0"/>
    <w:pPr>
      <w:framePr w:y="15310"/>
      <w:spacing w:line="0" w:lineRule="atLeast"/>
    </w:pPr>
    <w:rPr>
      <w:rFonts w:ascii="黑体" w:eastAsia="黑体"/>
      <w:b w:val="0"/>
    </w:rPr>
  </w:style>
  <w:style w:type="paragraph" w:customStyle="1" w:styleId="115">
    <w:name w:val="前言、引言标题"/>
    <w:next w:val="25"/>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16">
    <w:name w:val="三级无"/>
    <w:basedOn w:val="54"/>
    <w:qFormat/>
    <w:uiPriority w:val="0"/>
    <w:pPr>
      <w:numPr>
        <w:ilvl w:val="0"/>
        <w:numId w:val="15"/>
      </w:numPr>
    </w:pPr>
    <w:rPr>
      <w:rFonts w:ascii="宋体" w:eastAsia="宋体"/>
    </w:rPr>
  </w:style>
  <w:style w:type="paragraph" w:customStyle="1" w:styleId="117">
    <w:name w:val="实施日期"/>
    <w:basedOn w:val="78"/>
    <w:qFormat/>
    <w:uiPriority w:val="0"/>
    <w:pPr>
      <w:framePr w:vAnchor="page" w:hAnchor="text"/>
      <w:jc w:val="right"/>
    </w:pPr>
  </w:style>
  <w:style w:type="paragraph" w:customStyle="1" w:styleId="118">
    <w:name w:val="示例后文字"/>
    <w:basedOn w:val="25"/>
    <w:next w:val="25"/>
    <w:qFormat/>
    <w:uiPriority w:val="0"/>
    <w:pPr>
      <w:ind w:firstLine="360"/>
    </w:pPr>
    <w:rPr>
      <w:sz w:val="18"/>
    </w:rPr>
  </w:style>
  <w:style w:type="paragraph" w:customStyle="1" w:styleId="119">
    <w:name w:val="首示例"/>
    <w:next w:val="25"/>
    <w:link w:val="120"/>
    <w:qFormat/>
    <w:uiPriority w:val="0"/>
    <w:pPr>
      <w:numPr>
        <w:ilvl w:val="0"/>
        <w:numId w:val="16"/>
      </w:numPr>
      <w:tabs>
        <w:tab w:val="left" w:pos="360"/>
      </w:tabs>
      <w:ind w:firstLine="0"/>
    </w:pPr>
    <w:rPr>
      <w:rFonts w:ascii="宋体" w:hAnsi="宋体" w:eastAsia="宋体" w:cs="Times New Roman"/>
      <w:kern w:val="2"/>
      <w:sz w:val="18"/>
      <w:szCs w:val="18"/>
      <w:lang w:val="en-US" w:eastAsia="zh-CN" w:bidi="ar-SA"/>
    </w:rPr>
  </w:style>
  <w:style w:type="character" w:customStyle="1" w:styleId="120">
    <w:name w:val="首示例 Char"/>
    <w:link w:val="119"/>
    <w:qFormat/>
    <w:uiPriority w:val="0"/>
    <w:rPr>
      <w:rFonts w:ascii="宋体" w:hAnsi="宋体"/>
      <w:kern w:val="2"/>
      <w:sz w:val="18"/>
      <w:szCs w:val="18"/>
    </w:rPr>
  </w:style>
  <w:style w:type="paragraph" w:customStyle="1" w:styleId="121">
    <w:name w:val="四级无"/>
    <w:basedOn w:val="58"/>
    <w:qFormat/>
    <w:uiPriority w:val="0"/>
    <w:pPr>
      <w:numPr>
        <w:ilvl w:val="0"/>
        <w:numId w:val="15"/>
      </w:numPr>
    </w:pPr>
    <w:rPr>
      <w:rFonts w:ascii="宋体" w:eastAsia="宋体"/>
    </w:rPr>
  </w:style>
  <w:style w:type="paragraph" w:customStyle="1" w:styleId="122">
    <w:name w:val="条文脚注"/>
    <w:basedOn w:val="26"/>
    <w:qFormat/>
    <w:uiPriority w:val="0"/>
    <w:pPr>
      <w:numPr>
        <w:ilvl w:val="0"/>
        <w:numId w:val="0"/>
      </w:numPr>
      <w:jc w:val="both"/>
    </w:pPr>
  </w:style>
  <w:style w:type="paragraph" w:customStyle="1" w:styleId="123">
    <w:name w:val="图标脚注说明"/>
    <w:basedOn w:val="25"/>
    <w:qFormat/>
    <w:uiPriority w:val="0"/>
    <w:pPr>
      <w:ind w:left="840" w:hanging="420" w:firstLineChars="0"/>
    </w:pPr>
    <w:rPr>
      <w:sz w:val="18"/>
      <w:szCs w:val="18"/>
    </w:rPr>
  </w:style>
  <w:style w:type="paragraph" w:customStyle="1" w:styleId="124">
    <w:name w:val="图表脚注说明"/>
    <w:basedOn w:val="1"/>
    <w:qFormat/>
    <w:uiPriority w:val="0"/>
    <w:pPr>
      <w:numPr>
        <w:ilvl w:val="0"/>
        <w:numId w:val="17"/>
      </w:numPr>
    </w:pPr>
    <w:rPr>
      <w:rFonts w:ascii="宋体"/>
      <w:sz w:val="18"/>
      <w:szCs w:val="18"/>
    </w:rPr>
  </w:style>
  <w:style w:type="paragraph" w:customStyle="1" w:styleId="125">
    <w:name w:val="图的脚注"/>
    <w:next w:val="25"/>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26">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7">
    <w:name w:val="五级无"/>
    <w:basedOn w:val="59"/>
    <w:qFormat/>
    <w:uiPriority w:val="0"/>
    <w:pPr>
      <w:numPr>
        <w:ilvl w:val="0"/>
        <w:numId w:val="15"/>
      </w:numPr>
    </w:pPr>
    <w:rPr>
      <w:rFonts w:ascii="宋体" w:eastAsia="宋体"/>
    </w:rPr>
  </w:style>
  <w:style w:type="paragraph" w:customStyle="1" w:styleId="128">
    <w:name w:val="四级无标题条"/>
    <w:basedOn w:val="58"/>
    <w:qFormat/>
    <w:uiPriority w:val="0"/>
    <w:rPr>
      <w:rFonts w:eastAsia="宋体"/>
    </w:rPr>
  </w:style>
  <w:style w:type="character" w:customStyle="1" w:styleId="129">
    <w:name w:val="已访问的超链接1"/>
    <w:qFormat/>
    <w:uiPriority w:val="0"/>
    <w:rPr>
      <w:color w:val="800080"/>
      <w:u w:val="single"/>
    </w:rPr>
  </w:style>
  <w:style w:type="paragraph" w:customStyle="1" w:styleId="130">
    <w:name w:val="正文表标题"/>
    <w:next w:val="25"/>
    <w:qFormat/>
    <w:uiPriority w:val="0"/>
    <w:pPr>
      <w:numPr>
        <w:ilvl w:val="0"/>
        <w:numId w:val="18"/>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31">
    <w:name w:val="正文公式编号制表符"/>
    <w:basedOn w:val="25"/>
    <w:next w:val="25"/>
    <w:qFormat/>
    <w:uiPriority w:val="0"/>
    <w:pPr>
      <w:ind w:firstLine="0" w:firstLineChars="0"/>
    </w:pPr>
  </w:style>
  <w:style w:type="paragraph" w:customStyle="1" w:styleId="132">
    <w:name w:val="正文图标题"/>
    <w:next w:val="25"/>
    <w:qFormat/>
    <w:uiPriority w:val="0"/>
    <w:pPr>
      <w:numPr>
        <w:ilvl w:val="0"/>
        <w:numId w:val="19"/>
      </w:numPr>
      <w:spacing w:beforeLines="50" w:afterLines="50"/>
      <w:jc w:val="center"/>
    </w:pPr>
    <w:rPr>
      <w:rFonts w:ascii="黑体" w:hAnsi="Times New Roman" w:eastAsia="黑体" w:cs="Times New Roman"/>
      <w:sz w:val="21"/>
      <w:lang w:val="en-US" w:eastAsia="zh-CN" w:bidi="ar-SA"/>
    </w:rPr>
  </w:style>
  <w:style w:type="paragraph" w:customStyle="1" w:styleId="133">
    <w:name w:val="终结线"/>
    <w:basedOn w:val="1"/>
    <w:qFormat/>
    <w:uiPriority w:val="0"/>
    <w:pPr>
      <w:framePr w:hSpace="181" w:vSpace="181" w:wrap="around" w:vAnchor="text" w:hAnchor="margin" w:xAlign="center" w:y="285"/>
    </w:pPr>
  </w:style>
  <w:style w:type="paragraph" w:customStyle="1" w:styleId="134">
    <w:name w:val="其他发布日期"/>
    <w:basedOn w:val="78"/>
    <w:qFormat/>
    <w:uiPriority w:val="0"/>
    <w:pPr>
      <w:framePr w:vAnchor="page" w:hAnchor="text" w:x="1419"/>
    </w:pPr>
  </w:style>
  <w:style w:type="paragraph" w:customStyle="1" w:styleId="135">
    <w:name w:val="其他实施日期"/>
    <w:basedOn w:val="117"/>
    <w:qFormat/>
    <w:uiPriority w:val="0"/>
  </w:style>
  <w:style w:type="paragraph" w:customStyle="1" w:styleId="136">
    <w:name w:val="封面标准名称2"/>
    <w:basedOn w:val="81"/>
    <w:qFormat/>
    <w:uiPriority w:val="0"/>
    <w:pPr>
      <w:framePr w:y="4469"/>
      <w:spacing w:beforeLines="630"/>
    </w:pPr>
  </w:style>
  <w:style w:type="paragraph" w:customStyle="1" w:styleId="137">
    <w:name w:val="封面标准英文名称2"/>
    <w:basedOn w:val="82"/>
    <w:qFormat/>
    <w:uiPriority w:val="0"/>
    <w:pPr>
      <w:framePr w:y="4469"/>
    </w:pPr>
  </w:style>
  <w:style w:type="paragraph" w:customStyle="1" w:styleId="138">
    <w:name w:val="封面一致性程度标识2"/>
    <w:basedOn w:val="83"/>
    <w:qFormat/>
    <w:uiPriority w:val="0"/>
    <w:pPr>
      <w:framePr w:y="4469"/>
    </w:pPr>
  </w:style>
  <w:style w:type="paragraph" w:customStyle="1" w:styleId="139">
    <w:name w:val="封面标准文稿类别2"/>
    <w:basedOn w:val="84"/>
    <w:qFormat/>
    <w:uiPriority w:val="0"/>
    <w:pPr>
      <w:framePr w:y="4469"/>
    </w:pPr>
  </w:style>
  <w:style w:type="paragraph" w:customStyle="1" w:styleId="140">
    <w:name w:val="封面标准文稿编辑信息2"/>
    <w:basedOn w:val="85"/>
    <w:qFormat/>
    <w:uiPriority w:val="0"/>
    <w:pPr>
      <w:framePr w:y="4469"/>
    </w:pPr>
  </w:style>
  <w:style w:type="paragraph" w:customStyle="1" w:styleId="141">
    <w:name w:val="列出段落1"/>
    <w:basedOn w:val="1"/>
    <w:qFormat/>
    <w:uiPriority w:val="34"/>
    <w:pPr>
      <w:ind w:firstLine="420" w:firstLineChars="200"/>
    </w:pPr>
    <w:rPr>
      <w:rFonts w:ascii="Calibri" w:hAnsi="Calibri"/>
      <w:sz w:val="28"/>
      <w:szCs w:val="22"/>
    </w:rPr>
  </w:style>
  <w:style w:type="character" w:customStyle="1" w:styleId="142">
    <w:name w:val="标题 2 Char"/>
    <w:link w:val="3"/>
    <w:qFormat/>
    <w:uiPriority w:val="9"/>
    <w:rPr>
      <w:rFonts w:ascii="Cambria" w:hAnsi="Cambria" w:eastAsia="宋体" w:cs="Times New Roman"/>
      <w:b/>
      <w:bCs/>
      <w:kern w:val="2"/>
      <w:sz w:val="32"/>
      <w:szCs w:val="32"/>
    </w:rPr>
  </w:style>
  <w:style w:type="character" w:customStyle="1" w:styleId="143">
    <w:name w:val="标题 3 Char"/>
    <w:link w:val="4"/>
    <w:qFormat/>
    <w:uiPriority w:val="9"/>
    <w:rPr>
      <w:rFonts w:ascii="Calibri" w:hAnsi="Calibri" w:eastAsia="宋体" w:cs="Times New Roman"/>
      <w:b/>
      <w:bCs/>
      <w:kern w:val="2"/>
      <w:sz w:val="32"/>
      <w:szCs w:val="32"/>
    </w:rPr>
  </w:style>
  <w:style w:type="character" w:customStyle="1" w:styleId="144">
    <w:name w:val="批注框文本 Char"/>
    <w:link w:val="18"/>
    <w:qFormat/>
    <w:uiPriority w:val="0"/>
    <w:rPr>
      <w:kern w:val="2"/>
      <w:sz w:val="18"/>
      <w:szCs w:val="18"/>
    </w:rPr>
  </w:style>
  <w:style w:type="character" w:customStyle="1" w:styleId="145">
    <w:name w:val="标题 1 Char"/>
    <w:link w:val="2"/>
    <w:qFormat/>
    <w:uiPriority w:val="0"/>
    <w:rPr>
      <w:b/>
      <w:bCs/>
      <w:kern w:val="44"/>
      <w:sz w:val="44"/>
      <w:szCs w:val="44"/>
    </w:rPr>
  </w:style>
  <w:style w:type="paragraph" w:customStyle="1" w:styleId="146">
    <w:name w:val="TOC 标题1"/>
    <w:basedOn w:val="2"/>
    <w:next w:val="1"/>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147">
    <w:name w:val="修订1"/>
    <w:qFormat/>
    <w:uiPriority w:val="99"/>
    <w:rPr>
      <w:rFonts w:ascii="Times New Roman" w:hAnsi="Times New Roman" w:eastAsia="宋体" w:cs="Times New Roman"/>
      <w:kern w:val="2"/>
      <w:sz w:val="21"/>
      <w:szCs w:val="24"/>
      <w:lang w:val="en-US" w:eastAsia="zh-CN" w:bidi="ar-SA"/>
    </w:rPr>
  </w:style>
  <w:style w:type="paragraph" w:customStyle="1" w:styleId="148">
    <w:name w:val="一级无标题条"/>
    <w:basedOn w:val="45"/>
    <w:qFormat/>
    <w:uiPriority w:val="0"/>
    <w:rPr>
      <w:rFonts w:ascii="宋体" w:hAnsi="宋体" w:eastAsia="宋体"/>
    </w:rPr>
  </w:style>
  <w:style w:type="paragraph" w:customStyle="1" w:styleId="149">
    <w:name w:val="二级无标题条"/>
    <w:basedOn w:val="49"/>
    <w:qFormat/>
    <w:uiPriority w:val="0"/>
    <w:rPr>
      <w:rFonts w:ascii="宋体" w:hAnsi="宋体" w:eastAsia="宋体"/>
    </w:rPr>
  </w:style>
  <w:style w:type="paragraph" w:customStyle="1" w:styleId="150">
    <w:name w:val="术语"/>
    <w:basedOn w:val="25"/>
    <w:next w:val="25"/>
    <w:qFormat/>
    <w:uiPriority w:val="0"/>
    <w:rPr>
      <w:rFonts w:ascii="黑体" w:hAnsi="黑体" w:eastAsia="黑体"/>
      <w:color w:val="000000"/>
    </w:rPr>
  </w:style>
  <w:style w:type="paragraph" w:customStyle="1" w:styleId="151">
    <w:name w:val="列出段落2"/>
    <w:basedOn w:val="1"/>
    <w:qFormat/>
    <w:uiPriority w:val="99"/>
    <w:pPr>
      <w:ind w:firstLine="420" w:firstLineChars="200"/>
    </w:pPr>
  </w:style>
  <w:style w:type="paragraph" w:customStyle="1" w:styleId="152">
    <w:name w:val="三级无标题"/>
    <w:basedOn w:val="54"/>
    <w:qFormat/>
    <w:uiPriority w:val="0"/>
    <w:rPr>
      <w:rFonts w:eastAsia="宋体"/>
    </w:rPr>
  </w:style>
  <w:style w:type="paragraph" w:customStyle="1" w:styleId="153">
    <w:name w:val="List Paragraph"/>
    <w:basedOn w:val="1"/>
    <w:qFormat/>
    <w:uiPriority w:val="99"/>
    <w:pPr>
      <w:ind w:firstLine="420" w:firstLineChars="200"/>
    </w:pPr>
  </w:style>
  <w:style w:type="character" w:customStyle="1" w:styleId="154">
    <w:name w:val="Placeholder Text"/>
    <w:basedOn w:val="37"/>
    <w:qFormat/>
    <w:uiPriority w:val="99"/>
    <w:rPr>
      <w:color w:val="808080"/>
    </w:rPr>
  </w:style>
  <w:style w:type="character" w:customStyle="1" w:styleId="155">
    <w:name w:val="批注文字 Char"/>
    <w:basedOn w:val="37"/>
    <w:link w:val="10"/>
    <w:qFormat/>
    <w:uiPriority w:val="0"/>
    <w:rPr>
      <w:rFonts w:ascii="Times New Roman" w:hAnsi="Times New Roman"/>
      <w:kern w:val="2"/>
      <w:sz w:val="21"/>
      <w:szCs w:val="24"/>
    </w:rPr>
  </w:style>
  <w:style w:type="character" w:customStyle="1" w:styleId="156">
    <w:name w:val="批注主题 Char"/>
    <w:basedOn w:val="155"/>
    <w:link w:val="34"/>
    <w:qFormat/>
    <w:uiPriority w:val="0"/>
    <w:rPr>
      <w:rFonts w:ascii="Times New Roman" w:hAnsi="Times New Roman"/>
      <w:b/>
      <w:bCs/>
      <w:kern w:val="2"/>
      <w:sz w:val="21"/>
      <w:szCs w:val="24"/>
    </w:rPr>
  </w:style>
  <w:style w:type="paragraph" w:customStyle="1" w:styleId="157">
    <w:name w:val="WPSOffice手动目录 1"/>
    <w:qFormat/>
    <w:uiPriority w:val="0"/>
    <w:rPr>
      <w:rFonts w:ascii="Times New Roman" w:hAnsi="Times New Roman" w:eastAsia="宋体" w:cs="Times New Roman"/>
      <w:lang w:val="en-US" w:eastAsia="zh-CN" w:bidi="ar-SA"/>
    </w:rPr>
  </w:style>
  <w:style w:type="paragraph" w:customStyle="1" w:styleId="158">
    <w:name w:val="WPSOffice手动目录 2"/>
    <w:qFormat/>
    <w:uiPriority w:val="0"/>
    <w:pPr>
      <w:ind w:left="200" w:leftChars="200"/>
    </w:pPr>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emf"/><Relationship Id="rId8" Type="http://schemas.openxmlformats.org/officeDocument/2006/relationships/oleObject" Target="embeddings/oleObject1.bin"/><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石家庄市地方标准2</Template>
  <Company>zle</Company>
  <Pages>12</Pages>
  <Words>7172</Words>
  <Characters>7486</Characters>
  <Paragraphs>231</Paragraphs>
  <TotalTime>4</TotalTime>
  <ScaleCrop>false</ScaleCrop>
  <LinksUpToDate>false</LinksUpToDate>
  <CharactersWithSpaces>7529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2017-07-29T01:37:00Z</dcterms:created>
  <dc:creator>路源</dc:creator>
  <cp:lastModifiedBy>赵金辉</cp:lastModifiedBy>
  <cp:lastPrinted>2024-04-07T14:53:00Z</cp:lastPrinted>
  <dcterms:modified xsi:type="dcterms:W3CDTF">2024-10-31T02:26:16Z</dcterms:modified>
  <dc:title>标准名称</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491CDDBA0F244A8A8AF60F17EA7EA8D6_13</vt:lpwstr>
  </property>
</Properties>
</file>