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  <w:lang w:eastAsia="zh-CN"/>
        </w:rPr>
        <w:t>南宁市工程技术研究中心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后补助奖励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名单及金额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6"/>
        <w:tblpPr w:leftFromText="180" w:rightFromText="180" w:vertAnchor="text" w:horzAnchor="page" w:tblpXSpec="center" w:tblpY="341"/>
        <w:tblOverlap w:val="never"/>
        <w:tblW w:w="9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63"/>
        <w:gridCol w:w="2350"/>
        <w:gridCol w:w="1853"/>
        <w:gridCol w:w="1722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南宁市先进半导体工程技术研究中心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广西华芯振邦半导体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91450108MAA7MAJXXP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南宁市集成电路设计与测试工程技术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南宁国芯检测科技有限公司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91450103MA5NABF90R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南宁市低空管制工程技术研究中心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万航星空科技集团有限公司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91450100MA5NR1HF8L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南宁市高性能铝零部件精深加工工程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广西天恒汽车部件制造股份有限公司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91450100MA5QH44M91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南宁市新能源汽车底盘关键零部件工程技术研究中心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广西巨石新能源科技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91320412MA1WMLGN5N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南宁市医学诊断工程技术研究中心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广西华银医学检验所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91450100MA5KAUHM9X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南宁市湿热地区沥青材料工程技术研究中心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广西交科新材料科技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91450100MA5KA0RU65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南宁市污染控制及资源化工程技术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华鸿水务集团股份有限公司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91450000672453387P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南宁市地质隐伏灾害探测及预警工程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广西有色勘察设计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91450100198438410T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南宁市无源射频识别标签（RFID）工程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南宁新歌山电子科技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914501006877794270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南宁市绿色环保石膏新材料工程技术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广西云鹰新材料科技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91450123768929458C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南宁市城镇污泥协同生物质资源化利用工程技术研究中心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广西风向标环保科技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9145012607377105XD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南宁市新型吸声材料工程技术研究中心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广西超聚材料科技有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91450125MA5P1JL42J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48B0"/>
    <w:rsid w:val="43DA1533"/>
    <w:rsid w:val="515F48B0"/>
    <w:rsid w:val="5BE93EEE"/>
    <w:rsid w:val="76DB8821"/>
    <w:rsid w:val="C77FE6F9"/>
    <w:rsid w:val="FF7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5"/>
    <w:basedOn w:val="1"/>
    <w:qFormat/>
    <w:uiPriority w:val="99"/>
    <w:pPr>
      <w:ind w:left="800" w:leftChars="800" w:hanging="200" w:hangingChars="200"/>
    </w:pPr>
  </w:style>
  <w:style w:type="paragraph" w:customStyle="1" w:styleId="8">
    <w:name w:val="大标题"/>
    <w:basedOn w:val="3"/>
    <w:next w:val="3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2023-03-14T02:04:00Z</dcterms:created>
  <dc:creator>lenovo</dc:creator>
  <cp:lastModifiedBy>guest</cp:lastModifiedBy>
  <cp:lastPrinted>2025-04-09T09:02:55Z</cp:lastPrinted>
  <dcterms:modified xsi:type="dcterms:W3CDTF">2025-04-09T09:12:03Z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61F32BC89E0ECF2D107228668183D4BA</vt:lpwstr>
  </property>
</Properties>
</file>