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E8464">
      <w:pPr>
        <w:rPr>
          <w:rFonts w:ascii="方正小标宋_GBK" w:eastAsia="方正小标宋_GBK"/>
          <w:sz w:val="44"/>
          <w:szCs w:val="44"/>
        </w:rPr>
      </w:pPr>
    </w:p>
    <w:p w14:paraId="7A3A06CB">
      <w:pPr>
        <w:rPr>
          <w:rFonts w:ascii="方正小标宋_GBK" w:eastAsia="方正小标宋_GBK"/>
          <w:sz w:val="44"/>
          <w:szCs w:val="44"/>
        </w:rPr>
      </w:pPr>
    </w:p>
    <w:p w14:paraId="121EBCF0">
      <w:pPr>
        <w:pStyle w:val="7"/>
        <w:spacing w:line="580" w:lineRule="exact"/>
        <w:rPr>
          <w:rFonts w:hint="eastAsia" w:ascii="方正小标宋_GBK"/>
          <w:szCs w:val="44"/>
        </w:rPr>
      </w:pPr>
      <w:r>
        <w:rPr>
          <w:rFonts w:hint="eastAsia" w:ascii="方正小标宋_GBK"/>
          <w:szCs w:val="44"/>
        </w:rPr>
        <w:t>《扬州市</w:t>
      </w:r>
      <w:r>
        <w:rPr>
          <w:rFonts w:hint="eastAsia" w:ascii="方正小标宋_GBK" w:hAnsi="方正小标宋_GBK" w:cs="方正小标宋_GBK"/>
          <w:lang w:val="en"/>
        </w:rPr>
        <w:t>产教融合促进条例</w:t>
      </w:r>
      <w:r>
        <w:rPr>
          <w:rFonts w:hint="eastAsia" w:ascii="方正小标宋_GBK"/>
          <w:szCs w:val="44"/>
        </w:rPr>
        <w:t xml:space="preserve">》起草说明  </w:t>
      </w:r>
    </w:p>
    <w:p w14:paraId="7E4C7CC9">
      <w:pPr>
        <w:rPr>
          <w:rFonts w:hint="eastAsia" w:ascii="方正小标宋_GBK" w:eastAsia="方正小标宋_GBK"/>
          <w:sz w:val="44"/>
          <w:szCs w:val="44"/>
        </w:rPr>
      </w:pPr>
    </w:p>
    <w:p w14:paraId="3FC1E129">
      <w:pPr>
        <w:spacing w:line="58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一、立法背景与必要性</w:t>
      </w:r>
    </w:p>
    <w:p w14:paraId="2071086E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党的二十大报告明确提出“统筹职业教育、高等教育、继续教育协同创新，推进职普融通、产教融合、科教融汇”。产教融合作为衡量职业教育改革成效的重要标志，是实现教育链、产业链、供应链、人才链与价值链有机衔接的重要举措，是推动现代职业教育高质量发展的重要路径。但从实践层面来看，产教融合“合而不深”、校企合作“校热企冷”是长久以来困扰现代职业教育发展的一大瓶颈。职业院校容易“剃头挑子一头热”，部分校企合作停留在协议层面或劳务用工的表层，企业未能深入参与到职业院校人才培养过程中。</w:t>
      </w:r>
    </w:p>
    <w:p w14:paraId="77AA8745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当前，扬州正聚焦“613”现代产业体系，加快建设产业科创名城，对高素质技术技能人才需求迫切。但现行政策对产教融合的引导、激励和保障措施缺乏系统性、稳定性，需通过地方立法构建长效制度框架。近年来，我市在产教联合体建设、职业教育“双元制”改革、“扬家匠”人才培育等方面积累了一定的经验，需要将成熟做法上升为法规，为国省职业教育产教融合发展提供“扬州样本”。</w:t>
      </w:r>
    </w:p>
    <w:p w14:paraId="21368B6D">
      <w:pPr>
        <w:spacing w:line="58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二、立法依据与原则</w:t>
      </w:r>
    </w:p>
    <w:p w14:paraId="0EFC882F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以《教育法》《职业教育法》《劳动法》为核心依据，衔接</w:t>
      </w:r>
      <w:r>
        <w:rPr>
          <w:rFonts w:ascii="Times New Roman" w:hAnsi="Times New Roman" w:eastAsia="方正仿宋_GBK" w:cs="Times New Roman"/>
          <w:sz w:val="32"/>
          <w:szCs w:val="32"/>
        </w:rPr>
        <w:t>《江苏省职业教育校企合作促进条例》《关于深化现代职业教育体系建设改革的意见》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等法规政策，坚持以下三个原则：</w:t>
      </w:r>
      <w:r>
        <w:rPr>
          <w:rFonts w:hint="eastAsia" w:ascii="方正仿宋_GBK" w:eastAsia="方正仿宋_GBK"/>
          <w:b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问题导向。根据市人大《关于我市职业教育有关情况的专题报告——产教融合、校企合作的“十问十策”》，针对校企合作松散、企业参与动力不足、政策协同性弱等痛点，强化制度设计。</w:t>
      </w:r>
      <w:r>
        <w:rPr>
          <w:rFonts w:hint="eastAsia" w:ascii="方正仿宋_GBK" w:eastAsia="方正仿宋_GBK"/>
          <w:b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协同治理。明确政府、行业、企业、学校多元主体职责，构建“政行企校研”协同机制。</w:t>
      </w:r>
      <w:r>
        <w:rPr>
          <w:rFonts w:hint="eastAsia" w:ascii="方正仿宋_GBK" w:eastAsia="方正仿宋_GBK"/>
          <w:b/>
          <w:sz w:val="32"/>
          <w:szCs w:val="32"/>
        </w:rPr>
        <w:t>三是</w:t>
      </w:r>
      <w:r>
        <w:rPr>
          <w:rFonts w:hint="eastAsia" w:ascii="方正仿宋_GBK" w:eastAsia="方正仿宋_GBK"/>
          <w:sz w:val="32"/>
          <w:szCs w:val="32"/>
        </w:rPr>
        <w:t xml:space="preserve">创新突破。在培养载体、建设信息平台、土地供给、成果转化等领域探索地方特色政策，激发市场活力。 </w:t>
      </w:r>
    </w:p>
    <w:p w14:paraId="2ABB70CD">
      <w:pPr>
        <w:spacing w:line="58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三、主要内容与制度创新</w:t>
      </w:r>
    </w:p>
    <w:p w14:paraId="2DF77423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《条例》共五章三十九条，主要内容如下：</w:t>
      </w:r>
    </w:p>
    <w:p w14:paraId="2284EB1B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（一）明确责任体系，强化统筹协调。</w:t>
      </w:r>
      <w:r>
        <w:rPr>
          <w:rFonts w:hint="eastAsia" w:ascii="方正仿宋_GBK" w:eastAsia="方正仿宋_GBK"/>
          <w:b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政府主导责任（第四条至第六条）。要求市、县（区）政府将产教融合纳入国民经济和社会发展规划，建立协调机制，优化资源布局，并加强宣传激励。</w:t>
      </w:r>
      <w:r>
        <w:rPr>
          <w:rFonts w:hint="eastAsia" w:ascii="方正仿宋_GBK" w:eastAsia="方正仿宋_GBK"/>
          <w:b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部门协同职责（第五条、第十五条）。细化教育、人社、发改、科技等部门分工，如发改部门牵头产教融合型企业认定，教育部门动态调整专业设置。</w:t>
      </w:r>
      <w:r>
        <w:rPr>
          <w:rFonts w:hint="eastAsia" w:ascii="方正仿宋_GBK" w:eastAsia="方正仿宋_GBK"/>
          <w:b/>
          <w:sz w:val="32"/>
          <w:szCs w:val="32"/>
        </w:rPr>
        <w:t>三是</w:t>
      </w:r>
      <w:r>
        <w:rPr>
          <w:rFonts w:hint="eastAsia" w:ascii="方正仿宋_GBK" w:eastAsia="方正仿宋_GBK"/>
          <w:sz w:val="32"/>
          <w:szCs w:val="32"/>
        </w:rPr>
        <w:t xml:space="preserve">多元主体参与（第七条、第十七条）。推动组建产教联合体，鼓励企业、社会力量举办混合所有制职业院校，构建“企业学院+产业学院+职教联盟”矩阵。 </w:t>
      </w:r>
    </w:p>
    <w:p w14:paraId="7D6C973C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（二）深化产教对接，创新培养模式。</w:t>
      </w:r>
      <w:r>
        <w:rPr>
          <w:rFonts w:hint="eastAsia" w:ascii="方正仿宋_GBK" w:eastAsia="方正仿宋_GBK"/>
          <w:b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需求导向机制。比如，明确动态专业调整（第十一条），建立专业与产业吻合度报告制度，重点支持“6</w:t>
      </w:r>
      <w:r>
        <w:rPr>
          <w:rFonts w:ascii="方正仿宋_GBK" w:eastAsia="方正仿宋_GBK"/>
          <w:sz w:val="32"/>
          <w:szCs w:val="32"/>
        </w:rPr>
        <w:t>13</w:t>
      </w:r>
      <w:r>
        <w:rPr>
          <w:rFonts w:hint="eastAsia" w:ascii="方正仿宋_GBK" w:eastAsia="方正仿宋_GBK"/>
          <w:sz w:val="32"/>
          <w:szCs w:val="32"/>
        </w:rPr>
        <w:t>”产业体系和民生领域专业建设。推进校企联合培养（第十六条、第十八条），推行中国特色学徒制、“订单班”，支持学校按协议支付企业培养成本。</w:t>
      </w:r>
      <w:r>
        <w:rPr>
          <w:rFonts w:hint="eastAsia" w:ascii="方正仿宋_GBK" w:eastAsia="方正仿宋_GBK"/>
          <w:b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资源共建共享机制。比如，加快实训基地建设（第八条、第二十一条），鼓励企业、开发区共建实训基地，提供配套生活设施，推动教学场景与生产场景融合。推动师资双向流动（第二十三条、第二十四条），允许高技能人才直接担任专职教师，建立国企兼职教师资源库，将师资贡献纳入企业评价指标。</w:t>
      </w:r>
    </w:p>
    <w:p w14:paraId="6BCC8065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（三）强化要素保障，优化政策供给。</w:t>
      </w:r>
      <w:r>
        <w:rPr>
          <w:rFonts w:hint="eastAsia" w:ascii="方正仿宋_GBK" w:eastAsia="方正仿宋_GBK"/>
          <w:b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土地与资金支持（第二十六条、第二十七条）。比如将职教用地纳入规划，探索弹性供地方式；安排适当比例的专项资金支持职业教育（高等职业学校生均财政拨款水平提高到与普通本科同等标准）。</w:t>
      </w:r>
      <w:r>
        <w:rPr>
          <w:rFonts w:hint="eastAsia" w:ascii="方正仿宋_GBK" w:eastAsia="方正仿宋_GBK"/>
          <w:b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金融与税费激励（第二十八条至第三十一条）。对产教融合型企业给予信贷倾斜、信用贷款支持；明确教育费附加抵免、职工教育经费税前扣除等优惠政策，试点企业收益可跨年结转。</w:t>
      </w:r>
      <w:r>
        <w:rPr>
          <w:rFonts w:hint="eastAsia" w:ascii="方正仿宋_GBK" w:eastAsia="方正仿宋_GBK"/>
          <w:b/>
          <w:sz w:val="32"/>
          <w:szCs w:val="32"/>
        </w:rPr>
        <w:t>三是</w:t>
      </w:r>
      <w:r>
        <w:rPr>
          <w:rFonts w:hint="eastAsia" w:ascii="方正仿宋_GBK" w:eastAsia="方正仿宋_GBK"/>
          <w:sz w:val="32"/>
          <w:szCs w:val="32"/>
        </w:rPr>
        <w:t>科技成果转化（第二十五条），</w:t>
      </w:r>
      <w:r>
        <w:rPr>
          <w:rFonts w:ascii="Times New Roman" w:hAnsi="Times New Roman" w:eastAsia="方正仿宋_GBK" w:cs="Times New Roman"/>
          <w:sz w:val="32"/>
          <w:szCs w:val="32"/>
        </w:rPr>
        <w:t>规定职务科技成果转化收益用于团队奖励比例不低于80%，探索科技成果资产单列管理。</w:t>
      </w:r>
    </w:p>
    <w:p w14:paraId="4CB496D4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（四）健全评价监督，保障实施效能。</w:t>
      </w:r>
      <w:r>
        <w:rPr>
          <w:rFonts w:hint="eastAsia" w:ascii="方正仿宋_GBK" w:eastAsia="方正仿宋_GBK"/>
          <w:b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效能评价机制**（第三十三条至第三十四条）。建立学校、行业、企业联合评价制度，将评价结果纳入示范企业评选、学校考核。</w:t>
      </w:r>
      <w:r>
        <w:rPr>
          <w:rFonts w:hint="eastAsia" w:ascii="方正仿宋_GBK" w:eastAsia="方正仿宋_GBK"/>
          <w:b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信用监管体系（第三十五条）。对产教融合型企业实施分级分类监管，依法惩戒失信行为。</w:t>
      </w:r>
      <w:r>
        <w:rPr>
          <w:rFonts w:hint="eastAsia" w:ascii="方正仿宋_GBK" w:eastAsia="方正仿宋_GBK"/>
          <w:b/>
          <w:sz w:val="32"/>
          <w:szCs w:val="32"/>
        </w:rPr>
        <w:t>三是</w:t>
      </w:r>
      <w:r>
        <w:rPr>
          <w:rFonts w:hint="eastAsia" w:ascii="方正仿宋_GBK" w:eastAsia="方正仿宋_GBK"/>
          <w:sz w:val="32"/>
          <w:szCs w:val="32"/>
        </w:rPr>
        <w:t>法律责任衔接（第三十七条）。明确骗取优惠、滥用职权等行为的处罚依据，衔接《财政违法行为处罚处分条例》等上位法。</w:t>
      </w:r>
    </w:p>
    <w:p w14:paraId="65BAC515">
      <w:pPr>
        <w:spacing w:line="58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四、特色与亮点 </w:t>
      </w:r>
    </w:p>
    <w:p w14:paraId="5F18F25A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突出地方实践。将“扬州工匠日”系列活动（第二十二条）、产业科创名城建设目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标写入法规，彰显地域特色。</w:t>
      </w:r>
    </w:p>
    <w:p w14:paraId="17DF2EBA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破解关键堵点。通过校企成本分担（第十八条）、教师职称转评（第二十三条）等条款，打通校企合作“最后一公里”。</w:t>
      </w:r>
    </w:p>
    <w:p w14:paraId="70A66F2D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三是</w:t>
      </w:r>
      <w:r>
        <w:rPr>
          <w:rFonts w:hint="eastAsia" w:ascii="方正仿宋_GBK" w:eastAsia="方正仿宋_GBK"/>
          <w:sz w:val="32"/>
          <w:szCs w:val="32"/>
        </w:rPr>
        <w:t>政策集成创新。整合土地、金融、税收等跨领域政策，形成覆盖“人才培养—成果转化—产业服务”全链条的产教融合地方立法。</w:t>
      </w:r>
    </w:p>
    <w:sectPr>
      <w:pgSz w:w="11906" w:h="16838"/>
      <w:pgMar w:top="2098" w:right="1474" w:bottom="1985" w:left="1588" w:header="851" w:footer="1418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CA"/>
    <w:rsid w:val="000211A7"/>
    <w:rsid w:val="00084E78"/>
    <w:rsid w:val="000E025B"/>
    <w:rsid w:val="00136686"/>
    <w:rsid w:val="002E17D4"/>
    <w:rsid w:val="004F5047"/>
    <w:rsid w:val="005A1A04"/>
    <w:rsid w:val="005F1942"/>
    <w:rsid w:val="00624AFC"/>
    <w:rsid w:val="00B13D3C"/>
    <w:rsid w:val="00B317CA"/>
    <w:rsid w:val="00B736BB"/>
    <w:rsid w:val="00C27031"/>
    <w:rsid w:val="00C5136C"/>
    <w:rsid w:val="00D60E84"/>
    <w:rsid w:val="00DC1E0A"/>
    <w:rsid w:val="00E32CEC"/>
    <w:rsid w:val="00EB0C3C"/>
    <w:rsid w:val="2B5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  <w:style w:type="paragraph" w:customStyle="1" w:styleId="7">
    <w:name w:val="主标题"/>
    <w:basedOn w:val="1"/>
    <w:qFormat/>
    <w:uiPriority w:val="0"/>
    <w:pPr>
      <w:jc w:val="center"/>
    </w:pPr>
    <w:rPr>
      <w:rFonts w:eastAsia="方正小标宋_GBK"/>
      <w:bCs/>
      <w:sz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951</Words>
  <Characters>955</Characters>
  <Lines>14</Lines>
  <Paragraphs>4</Paragraphs>
  <TotalTime>1</TotalTime>
  <ScaleCrop>false</ScaleCrop>
  <LinksUpToDate>false</LinksUpToDate>
  <CharactersWithSpaces>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2025-04-01T07:34:00Z</dcterms:created>
  <dc:creator>张锋(zhangf_fgw)</dc:creator>
  <cp:lastModifiedBy>陆蓉(lr_fgw)</cp:lastModifiedBy>
  <cp:lastPrinted>2025-04-01T02:26:00Z</cp:lastPrinted>
  <dcterms:modified xsi:type="dcterms:W3CDTF">2025-04-03T03:03:29Z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eyJoZGlkIjoiNTNiODZhNTJlZTA1MTRkZmM4NTUyNzQxOTQ4NmJiODUifQ==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0C2E49E5FC19439B8A5E33856FBED236_12</vt:lpwstr>
  </property>
</Properties>
</file>