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5078AC">
      <w:pPr>
        <w:widowControl w:val="0"/>
        <w:spacing w:before="0" w:line="550" w:lineRule="exact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 w14:paraId="52FF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C2A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滨海新区中小企业数字化转型城市试点行业</w:t>
      </w:r>
    </w:p>
    <w:p w14:paraId="7B52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2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专精特新小巨人企业名单</w:t>
      </w:r>
    </w:p>
    <w:tbl>
      <w:tblPr>
        <w:tblStyle w:val="11"/>
        <w:tblW w:w="88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700"/>
        <w:gridCol w:w="1663"/>
        <w:gridCol w:w="1375"/>
        <w:gridCol w:w="1337"/>
      </w:tblGrid>
      <w:tr w14:paraId="4110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获批年份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</w:tr>
      <w:tr w14:paraId="42C4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天津凯发电气股份有限公司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1241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天津赛象科技股份有限公司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5460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天津同阳科技发展有限公司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479B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天津七六四通信导航技术有限公司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0D87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天津美腾科技股份有限公司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34E5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4358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致恒(天津)实业有限公司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1485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航天神舟飞行器有限公司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E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9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C1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 w14:paraId="1314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菲特(天津)检测技术有限公司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4FA4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天津市松正电动汽车技术股份有限公司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74DF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天津华鸿科技股份有限公司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7948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天津普林电路股份有限公司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44D7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天津万峰环保科技有限公司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5F1D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天津市昊航复合管业有限公司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大港街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3289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深之蓝海洋科技股份有限公司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6C03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天津开发区安能石油技术发展服务有限公司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16DB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天津津亚电子有限公司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627B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天津飞旋科技股份有限公司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7B14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天津德祥生物技术股份有限公司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71C3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德中(天津)技术发展股份有限公司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5190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天津空间电源科技有限公司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4C4D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天津壹鸣环境科技股份有限公司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2DCC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天津市创举科技股份有限公司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48E1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天津斯巴克瑞汽车电子股份有限公司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1332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天津航联迪克科技有限公司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第三批</w:t>
            </w:r>
          </w:p>
        </w:tc>
      </w:tr>
      <w:tr w14:paraId="0B6C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天津冶金集团天材科技发展有限公司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69AD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天津讯联科技有限公司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7E3F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天津文洲机械有限公司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33B4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天津云圣智能科技有限责任公司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19FB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天津七一二移动通信股份有限公司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32C0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天津航天瑞莱科技有限公司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5A4A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思腾合力(天津)科技有限公司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6938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天津博益气动股份有限公司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1E38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天津望圆智能科技股份有限公司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4906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东方电气(天津)风电叶片工程有限公司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3364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2BF4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突破电气(天津)有限公司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6653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天津津荣天宇精密机械股份有限公司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53BF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天津市橡胶工业研究所有限公司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25BE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天津布尔科技有限公司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61CF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天津伍嘉联创科技发展股份有限公司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512C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天津那诺机械制造有限公司(天津立中轻合金锻造有限公司)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6E8B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天津赛恩能源技术股份有限公司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第四批</w:t>
            </w:r>
          </w:p>
        </w:tc>
      </w:tr>
      <w:tr w14:paraId="5BEE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合力(天津)能源科技股份有限公司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06D4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太重(天津)滨海重型机械有限公司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2DC7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天津三和铁制品有限公司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中塘镇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6771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辰星(天津)自动化设备有限公司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70B3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一飞智控(天津)科技有限公司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2A4E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中航长城计量测试(天津)有限公司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6E60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天津市海王星海上工程技术股份有限公司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74EA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天津陆海石油设备系统工程有限责任公司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7055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天津安力信通讯科技有限公司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5C60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05F3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3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天津希格玛微电子技术有限公司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2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76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B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49F2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天津重钢机械装备股份有限公司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081A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天津德力仪器设备有限公司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079F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天津天堰科技股份有限公司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第五批</w:t>
            </w:r>
          </w:p>
        </w:tc>
      </w:tr>
      <w:tr w14:paraId="773D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天津瑞奇外科器械股份有限公司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6E6B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井芯微电子技术(天津)有限公司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087E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亚琛联合科技(天津)有限公司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20B0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5FC5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天津商科数控技术股份有限公司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7A42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天津朗誉机器人有限公司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529A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中汽研(天津)汽车工程研究院有限公司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77E3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沂普光电(天津)有限公司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53D6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诺思(天津)微系统有限责任公司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761C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博格华纳动力驱动系统(天津)有限公司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150D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32BB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南洋电缆(天津)有限公司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保税区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7654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海光信息技术股份有限公司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092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中环天仪(天津)气象仪器有限公司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491C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天津天大求实电力新技术股份有限公司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  <w:tr w14:paraId="6295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</w:p>
        </w:tc>
      </w:tr>
    </w:tbl>
    <w:p w14:paraId="5EB0FE91"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76F6266-E7DE-4F84-A4E8-A94415EAAAB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4B6554-F6E3-4F11-8A73-BC5E541E15C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7368C3-00C4-4222-86E5-B975743A32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9630E">
    <w:pPr>
      <w:pStyle w:val="8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619DC503"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6C82B">
    <w:pPr>
      <w:pStyle w:val="8"/>
      <w:ind w:right="360" w:firstLine="140" w:firstLineChars="50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6D26825"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7CE48">
    <w:pPr>
      <w:pStyle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6DC8B"/>
    <w:multiLevelType w:val="multilevel"/>
    <w:tmpl w:val="67B6DC8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172A27"/>
    <w:rsid w:val="001B5B74"/>
    <w:rsid w:val="001C1851"/>
    <w:rsid w:val="00246B34"/>
    <w:rsid w:val="00405FDB"/>
    <w:rsid w:val="00414C44"/>
    <w:rsid w:val="00484483"/>
    <w:rsid w:val="005546E2"/>
    <w:rsid w:val="00554AE0"/>
    <w:rsid w:val="00561F45"/>
    <w:rsid w:val="00743F79"/>
    <w:rsid w:val="007B1869"/>
    <w:rsid w:val="00831367"/>
    <w:rsid w:val="0085200A"/>
    <w:rsid w:val="00881526"/>
    <w:rsid w:val="008B7029"/>
    <w:rsid w:val="00946B26"/>
    <w:rsid w:val="009A5FFB"/>
    <w:rsid w:val="009C4F16"/>
    <w:rsid w:val="00AF2363"/>
    <w:rsid w:val="00C00D12"/>
    <w:rsid w:val="00D056A9"/>
    <w:rsid w:val="00D8260B"/>
    <w:rsid w:val="00D865C9"/>
    <w:rsid w:val="00DA34F6"/>
    <w:rsid w:val="00DC0CDB"/>
    <w:rsid w:val="00F32108"/>
    <w:rsid w:val="00FF12F6"/>
    <w:rsid w:val="01967DCC"/>
    <w:rsid w:val="110D7D33"/>
    <w:rsid w:val="1BCE6400"/>
    <w:rsid w:val="1E8878BD"/>
    <w:rsid w:val="1F1C595D"/>
    <w:rsid w:val="20E92118"/>
    <w:rsid w:val="22CD6F6E"/>
    <w:rsid w:val="266B71CA"/>
    <w:rsid w:val="29396DD6"/>
    <w:rsid w:val="33A947C9"/>
    <w:rsid w:val="350E769E"/>
    <w:rsid w:val="36C26992"/>
    <w:rsid w:val="3A971EE4"/>
    <w:rsid w:val="3B5F0060"/>
    <w:rsid w:val="3FDF8639"/>
    <w:rsid w:val="3FED1D40"/>
    <w:rsid w:val="49117305"/>
    <w:rsid w:val="4FEB6B02"/>
    <w:rsid w:val="59DD74BB"/>
    <w:rsid w:val="5B3E2989"/>
    <w:rsid w:val="5B7B6958"/>
    <w:rsid w:val="5EDA583B"/>
    <w:rsid w:val="69BC33DB"/>
    <w:rsid w:val="6DF76C8F"/>
    <w:rsid w:val="6F7264A0"/>
    <w:rsid w:val="6FBE3996"/>
    <w:rsid w:val="6FFB9A5F"/>
    <w:rsid w:val="759251A6"/>
    <w:rsid w:val="76D33C76"/>
    <w:rsid w:val="7777FC94"/>
    <w:rsid w:val="7A6F7005"/>
    <w:rsid w:val="7B845534"/>
    <w:rsid w:val="7BD79EE7"/>
    <w:rsid w:val="7CB37E1E"/>
    <w:rsid w:val="7DE76A9E"/>
    <w:rsid w:val="7E6F3FAA"/>
    <w:rsid w:val="7FF747A2"/>
    <w:rsid w:val="AFF7A790"/>
    <w:rsid w:val="B6EF1294"/>
    <w:rsid w:val="B97F6411"/>
    <w:rsid w:val="B9FEAEEE"/>
    <w:rsid w:val="BDE2B87E"/>
    <w:rsid w:val="BE3EA96E"/>
    <w:rsid w:val="BF6FB718"/>
    <w:rsid w:val="D6FFE0F2"/>
    <w:rsid w:val="DFFF4948"/>
    <w:rsid w:val="E73A1A9C"/>
    <w:rsid w:val="EFFE0DA8"/>
    <w:rsid w:val="F72DF403"/>
    <w:rsid w:val="F7EF8F79"/>
    <w:rsid w:val="FDFF48BA"/>
    <w:rsid w:val="FFB7947A"/>
    <w:rsid w:val="FF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jc w:val="left"/>
      <w:outlineLvl w:val="3"/>
    </w:pPr>
    <w:rPr>
      <w:rFonts w:ascii="Arial" w:hAnsi="Arial" w:cs="Times New Roman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_Style 2"/>
    <w:basedOn w:val="1"/>
    <w:qFormat/>
    <w:uiPriority w:val="0"/>
  </w:style>
  <w:style w:type="paragraph" w:customStyle="1" w:styleId="18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8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9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30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1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2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3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4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5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36">
    <w:name w:val="正文-工信委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8307</Words>
  <Characters>9926</Characters>
  <Lines>1</Lines>
  <Paragraphs>1</Paragraphs>
  <TotalTime>35</TotalTime>
  <ScaleCrop>false</ScaleCrop>
  <LinksUpToDate>false</LinksUpToDate>
  <CharactersWithSpaces>9926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2020-11-12T16:39:00Z</dcterms:created>
  <dc:creator>办公室</dc:creator>
  <cp:lastModifiedBy>豆町</cp:lastModifiedBy>
  <cp:lastPrinted>2014-07-11T20:32:00Z</cp:lastPrinted>
  <dcterms:modified xsi:type="dcterms:W3CDTF">2025-03-27T09:44:28Z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eyJoZGlkIjoiNTU0ZmIwYTQ3NzlmZGUxZmU3Zjk0M2IyZTNmM2IxNjAiLCJ1c2VySWQiOiIyMzM5NzE5OTcifQ==</vt:lpwstr>
  </property>
  <property fmtid="{D5CDD505-2E9C-101B-9397-08002B2CF9AE}" pid="4" name="ICV">
    <vt:lpwstr>FCD07F5668AE4BB997A0807576665C1B_12</vt:lpwstr>
  </property>
</Properties>
</file>