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831D70">
      <w:pPr>
        <w:ind w:firstLine="0" w:firstLineChars="0"/>
        <w:rPr>
          <w:rFonts w:hint="eastAsia" w:ascii="黑体" w:hAnsi="黑体" w:eastAsia="黑体" w:cs="黑体"/>
          <w:color w:val="auto"/>
          <w:sz w:val="32"/>
          <w:szCs w:val="32"/>
          <w:highlight w:val="none"/>
          <w:lang w:val="en-US" w:eastAsia="zh-CN"/>
        </w:rPr>
      </w:pPr>
      <w:r>
        <w:rPr>
          <w:rFonts w:hint="eastAsia" w:ascii="黑体" w:hAnsi="黑体" w:eastAsia="黑体" w:cs="黑体"/>
          <w:color w:val="auto"/>
          <w:sz w:val="32"/>
          <w:szCs w:val="32"/>
          <w:highlight w:val="none"/>
          <w:lang w:eastAsia="zh-CN"/>
        </w:rPr>
        <w:t>附件</w:t>
      </w:r>
      <w:r>
        <w:rPr>
          <w:rFonts w:hint="default" w:ascii="Times New Roman" w:hAnsi="Times New Roman" w:eastAsia="黑体" w:cs="Times New Roman"/>
          <w:color w:val="auto"/>
          <w:sz w:val="32"/>
          <w:szCs w:val="32"/>
          <w:highlight w:val="none"/>
          <w:lang w:val="en-US" w:eastAsia="zh-CN"/>
        </w:rPr>
        <w:t>2</w:t>
      </w:r>
    </w:p>
    <w:p w14:paraId="251FBDF8">
      <w:pPr>
        <w:ind w:firstLine="0" w:firstLineChars="0"/>
        <w:jc w:val="center"/>
        <w:rPr>
          <w:rFonts w:hint="eastAsia" w:ascii="方正小标宋简体" w:hAnsi="方正小标宋简体" w:eastAsia="方正小标宋简体" w:cs="方正小标宋简体"/>
          <w:color w:val="auto"/>
          <w:sz w:val="44"/>
          <w:szCs w:val="44"/>
          <w:highlight w:val="none"/>
          <w:lang w:val="en-US" w:eastAsia="zh-CN"/>
        </w:rPr>
      </w:pPr>
      <w:r>
        <w:rPr>
          <w:rFonts w:hint="eastAsia" w:ascii="方正小标宋简体" w:hAnsi="方正小标宋简体" w:eastAsia="方正小标宋简体" w:cs="方正小标宋简体"/>
          <w:color w:val="auto"/>
          <w:sz w:val="44"/>
          <w:szCs w:val="44"/>
          <w:highlight w:val="none"/>
          <w:lang w:val="en-US" w:eastAsia="zh-CN"/>
        </w:rPr>
        <w:t>起草说明</w:t>
      </w:r>
    </w:p>
    <w:p w14:paraId="3CF4C3AF">
      <w:pPr>
        <w:keepNext w:val="0"/>
        <w:keepLines w:val="0"/>
        <w:pageBreakBefore w:val="0"/>
        <w:widowControl w:val="0"/>
        <w:kinsoku/>
        <w:wordWrap/>
        <w:overflowPunct/>
        <w:topLinePunct w:val="0"/>
        <w:autoSpaceDE/>
        <w:autoSpaceDN/>
        <w:bidi w:val="0"/>
        <w:adjustRightInd/>
        <w:snapToGrid/>
        <w:ind w:firstLine="640" w:firstLineChars="200"/>
        <w:jc w:val="both"/>
        <w:textAlignment w:val="auto"/>
        <w:rPr>
          <w:rFonts w:hint="eastAsia" w:ascii="Calibri" w:hAnsi="Calibri" w:eastAsia="仿宋_GB2312" w:cs="Times New Roman"/>
          <w:kern w:val="2"/>
          <w:sz w:val="32"/>
          <w:szCs w:val="24"/>
          <w:lang w:val="en-US" w:eastAsia="zh-CN" w:bidi="ar"/>
        </w:rPr>
      </w:pPr>
    </w:p>
    <w:p w14:paraId="4BF923E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rPr>
        <w:t>一、起草背景及目的</w:t>
      </w:r>
    </w:p>
    <w:p w14:paraId="69D64E9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为深入贯彻党的二十大和二十届二中、三中全会精神，全面落实中央关于健全科技人才评价体系的重要部署，加快实施人才强桂战略，探索科技人才分类评价的新标准、新方式、新机制，推动解决科技人才评价中“破四唯”和“立新标”不到位、评价方式不够客观、评价制度不够完善等突出问题，加快建立以创新价值、能力、贡献为导向的科技人才评价体系，有效激发科技人才创新活力，</w:t>
      </w:r>
      <w:r>
        <w:rPr>
          <w:rFonts w:hint="eastAsia" w:ascii="Calibri" w:hAnsi="Calibri" w:eastAsia="仿宋_GB2312" w:cs="Times New Roman"/>
          <w:kern w:val="2"/>
          <w:sz w:val="32"/>
          <w:szCs w:val="24"/>
          <w:highlight w:val="none"/>
          <w:lang w:val="en-US" w:eastAsia="zh-CN" w:bidi="ar"/>
        </w:rPr>
        <w:t>为加快建设高水平创新型广西提供有力人才支撑</w:t>
      </w:r>
      <w:r>
        <w:rPr>
          <w:rFonts w:hint="eastAsia" w:eastAsia="仿宋_GB2312" w:cs="Times New Roman"/>
          <w:kern w:val="2"/>
          <w:sz w:val="32"/>
          <w:szCs w:val="24"/>
          <w:highlight w:val="none"/>
          <w:lang w:val="en-US" w:eastAsia="zh-CN" w:bidi="ar"/>
        </w:rPr>
        <w:t>。</w:t>
      </w:r>
    </w:p>
    <w:p w14:paraId="6F076C0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rPr>
        <w:t>二、起草的主要依据</w:t>
      </w:r>
    </w:p>
    <w:p w14:paraId="23D58B02">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楷体" w:hAnsi="楷体" w:eastAsia="楷体" w:cs="楷体"/>
          <w:color w:val="auto"/>
          <w:sz w:val="32"/>
          <w:szCs w:val="32"/>
          <w:highlight w:val="none"/>
          <w:lang w:eastAsia="zh-CN"/>
        </w:rPr>
      </w:pPr>
      <w:r>
        <w:rPr>
          <w:rFonts w:hint="eastAsia" w:ascii="楷体_GB2312" w:hAnsi="楷体_GB2312" w:eastAsia="楷体_GB2312" w:cs="楷体_GB2312"/>
          <w:b/>
          <w:bCs/>
          <w:color w:val="auto"/>
          <w:sz w:val="32"/>
          <w:szCs w:val="32"/>
          <w:highlight w:val="none"/>
        </w:rPr>
        <w:t>（一）国家有关政策</w:t>
      </w:r>
    </w:p>
    <w:p w14:paraId="6858A3DB">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1.《中共中央办公厅 国务院办公厅印发〈关于分类推进人才评价机制改革的指导意见〉的通知》（中办发〔2018〕6号）；</w:t>
      </w:r>
    </w:p>
    <w:p w14:paraId="15A0BE6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2.《中共中央办公厅 国务院办公厅印发〈关于深化项目评审、人才评价、机构评估改革的意见〉》（中办发〔2018〕37号）；</w:t>
      </w:r>
    </w:p>
    <w:p w14:paraId="0D5B7CD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3.《科技部等八部门印发〈关于开展科技人才评价改革试点的工作方案〉的通知》（国科发才〔2022〕255号）。</w:t>
      </w:r>
    </w:p>
    <w:p w14:paraId="321DA9EA">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default" w:ascii="Times New Roman" w:hAnsi="Times New Roman" w:eastAsia="楷体" w:cs="Times New Roman"/>
          <w:color w:val="auto"/>
          <w:sz w:val="32"/>
          <w:szCs w:val="32"/>
          <w:highlight w:val="none"/>
          <w:lang w:eastAsia="zh-CN"/>
        </w:rPr>
      </w:pPr>
      <w:r>
        <w:rPr>
          <w:rFonts w:hint="eastAsia" w:ascii="楷体_GB2312" w:hAnsi="楷体_GB2312" w:eastAsia="楷体_GB2312" w:cs="楷体_GB2312"/>
          <w:b/>
          <w:bCs/>
          <w:color w:val="auto"/>
          <w:sz w:val="32"/>
          <w:szCs w:val="32"/>
          <w:highlight w:val="none"/>
        </w:rPr>
        <w:t>（二）自治区有关政策</w:t>
      </w:r>
    </w:p>
    <w:p w14:paraId="1F0C2E0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1.《广西科技人才评价改革实施方案》（桂科人字〔2019〕37号）；</w:t>
      </w:r>
      <w:bookmarkStart w:id="0" w:name="_GoBack"/>
      <w:bookmarkEnd w:id="0"/>
    </w:p>
    <w:p w14:paraId="2DC792E1">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2.《广西壮族自治区人力资源和社会保障厅关于分类推进人才评价机制改革工作的通知》（桂人社规〔2019〕18号）。</w:t>
      </w:r>
    </w:p>
    <w:p w14:paraId="5DDA4C1A">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default" w:ascii="Times New Roman" w:hAnsi="Times New Roman" w:eastAsia="楷体" w:cs="Times New Roman"/>
          <w:color w:val="auto"/>
          <w:sz w:val="32"/>
          <w:szCs w:val="32"/>
          <w:highlight w:val="none"/>
          <w:lang w:eastAsia="zh-CN"/>
        </w:rPr>
      </w:pPr>
      <w:r>
        <w:rPr>
          <w:rFonts w:hint="eastAsia" w:ascii="楷体_GB2312" w:hAnsi="楷体_GB2312" w:eastAsia="楷体_GB2312" w:cs="楷体_GB2312"/>
          <w:b/>
          <w:bCs/>
          <w:color w:val="auto"/>
          <w:sz w:val="32"/>
          <w:szCs w:val="32"/>
          <w:highlight w:val="none"/>
        </w:rPr>
        <w:t>（三）</w:t>
      </w:r>
      <w:r>
        <w:rPr>
          <w:rFonts w:hint="eastAsia" w:ascii="楷体_GB2312" w:hAnsi="楷体_GB2312" w:eastAsia="楷体_GB2312" w:cs="楷体_GB2312"/>
          <w:b/>
          <w:bCs/>
          <w:color w:val="auto"/>
          <w:sz w:val="32"/>
          <w:szCs w:val="32"/>
          <w:highlight w:val="none"/>
          <w:lang w:eastAsia="zh-CN"/>
        </w:rPr>
        <w:t>其他省份</w:t>
      </w:r>
      <w:r>
        <w:rPr>
          <w:rFonts w:hint="eastAsia" w:ascii="楷体_GB2312" w:hAnsi="楷体_GB2312" w:eastAsia="楷体_GB2312" w:cs="楷体_GB2312"/>
          <w:b/>
          <w:bCs/>
          <w:color w:val="auto"/>
          <w:sz w:val="32"/>
          <w:szCs w:val="32"/>
          <w:highlight w:val="none"/>
        </w:rPr>
        <w:t>有关政策</w:t>
      </w:r>
    </w:p>
    <w:p w14:paraId="0495D71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1.《山西省科学技术厅等六部门关于印发〈科技人才分类评价指引（试行）〉的通知》；</w:t>
      </w:r>
    </w:p>
    <w:p w14:paraId="2853A90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2.《关于印发〈辽宁省科技人才评价综合改革试点实施方案〉的通知》（辽科发〔2023〕37号）；</w:t>
      </w:r>
    </w:p>
    <w:p w14:paraId="3107A44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3.《关于印发〈安徽省科技人才评价改革试点方案〉的通知》（皖科才〔2023〕19号）；</w:t>
      </w:r>
    </w:p>
    <w:p w14:paraId="5BD7158C">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4.《关于公开征求湖北省〈科技人才评价系列地方标准（征求意见稿）〉意见的通知》；</w:t>
      </w:r>
    </w:p>
    <w:p w14:paraId="5F1915A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5.《关于印发〈四川省科技人才评价改革综合试点方案〉的通知》（川科发〔2024〕1号）；</w:t>
      </w:r>
    </w:p>
    <w:p w14:paraId="4C4F866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6.《关于印发〈甘肃省科技人才评价改革试点工作方案〉的通知》；</w:t>
      </w:r>
    </w:p>
    <w:p w14:paraId="28CCF43B">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7.《关于印发〈青海省科技人才分类评价实施方案〉的通知》；</w:t>
      </w:r>
    </w:p>
    <w:p w14:paraId="603D0AC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8.《宁夏回族自治区党委人才办等四部门关于印发〈关于深化科技评价改革的意见〉的通知》；</w:t>
      </w:r>
    </w:p>
    <w:p w14:paraId="462BB11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9.《关于印发〈成都市科技人才评价改革综合试点实施方案〉的通知》。</w:t>
      </w:r>
    </w:p>
    <w:p w14:paraId="20FEDAC9">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color w:val="auto"/>
          <w:sz w:val="32"/>
          <w:szCs w:val="32"/>
          <w:highlight w:val="none"/>
        </w:rPr>
      </w:pPr>
      <w:r>
        <w:rPr>
          <w:rFonts w:hint="eastAsia" w:ascii="黑体" w:hAnsi="黑体" w:eastAsia="黑体" w:cs="黑体"/>
          <w:color w:val="auto"/>
          <w:sz w:val="32"/>
          <w:szCs w:val="32"/>
          <w:highlight w:val="none"/>
        </w:rPr>
        <w:t>三、文件框架及主要内容</w:t>
      </w:r>
    </w:p>
    <w:p w14:paraId="71CABAA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《方案》主要分为总体要求、试点任务、政策保障和组织实施四个部分，并包含一个附件。</w:t>
      </w:r>
    </w:p>
    <w:p w14:paraId="5B32586A">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第一部分为总体要求，明确了改革试点的总体要求。</w:t>
      </w:r>
    </w:p>
    <w:p w14:paraId="0ED0EEE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第二部分为试点任务，分别明确了</w:t>
      </w:r>
      <w:r>
        <w:rPr>
          <w:rFonts w:hint="eastAsia" w:ascii="仿宋_GB2312" w:hAnsi="仿宋_GB2312" w:eastAsia="仿宋_GB2312" w:cs="仿宋_GB2312"/>
          <w:color w:val="auto"/>
          <w:sz w:val="32"/>
          <w:szCs w:val="32"/>
          <w:highlight w:val="none"/>
          <w:lang w:val="en-US" w:eastAsia="zh-CN"/>
        </w:rPr>
        <w:t>四</w:t>
      </w:r>
      <w:r>
        <w:rPr>
          <w:rFonts w:hint="eastAsia" w:ascii="仿宋_GB2312" w:hAnsi="仿宋_GB2312" w:eastAsia="仿宋_GB2312" w:cs="仿宋_GB2312"/>
          <w:color w:val="auto"/>
          <w:sz w:val="32"/>
          <w:szCs w:val="32"/>
          <w:highlight w:val="none"/>
        </w:rPr>
        <w:t>类人才的分类标准、评价导向、评价方式及评价结果应用。</w:t>
      </w:r>
    </w:p>
    <w:p w14:paraId="224F21C2">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第三部分为政策保障，主要从用人单位自主权、人才使用、人才激励、人才评价生态、人才开放合作等方面提出保障措施。</w:t>
      </w:r>
    </w:p>
    <w:p w14:paraId="030C6D6D">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第四部分为组织实施，包括加强组织领导、推进试点实施、强化协同联动、做好总结推广四方面措施。</w:t>
      </w:r>
    </w:p>
    <w:p w14:paraId="32A3B83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附件为试点单位名单。</w:t>
      </w:r>
    </w:p>
    <w:p w14:paraId="4AD7FB2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color w:val="auto"/>
          <w:sz w:val="32"/>
          <w:szCs w:val="32"/>
          <w:highlight w:val="none"/>
          <w:lang w:eastAsia="zh-CN"/>
        </w:rPr>
      </w:pPr>
      <w:r>
        <w:rPr>
          <w:rFonts w:hint="eastAsia" w:ascii="黑体" w:hAnsi="黑体" w:eastAsia="黑体" w:cs="黑体"/>
          <w:color w:val="auto"/>
          <w:sz w:val="32"/>
          <w:szCs w:val="32"/>
          <w:highlight w:val="none"/>
        </w:rPr>
        <w:t>四、相关事项说明</w:t>
      </w:r>
    </w:p>
    <w:p w14:paraId="5FF5A7C1">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楷体" w:hAnsi="楷体" w:eastAsia="楷体" w:cs="楷体"/>
          <w:color w:val="auto"/>
          <w:sz w:val="32"/>
          <w:szCs w:val="32"/>
          <w:highlight w:val="none"/>
          <w:lang w:eastAsia="zh-CN"/>
        </w:rPr>
      </w:pPr>
      <w:r>
        <w:rPr>
          <w:rFonts w:hint="eastAsia" w:ascii="楷体_GB2312" w:hAnsi="楷体_GB2312" w:eastAsia="楷体_GB2312" w:cs="楷体_GB2312"/>
          <w:b/>
          <w:bCs/>
          <w:color w:val="auto"/>
          <w:sz w:val="32"/>
          <w:szCs w:val="32"/>
          <w:highlight w:val="none"/>
        </w:rPr>
        <w:t>（一）关于科技人才分类标准</w:t>
      </w:r>
    </w:p>
    <w:p w14:paraId="070BC934">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科技部等八部门《关于开展科技人才评价改革试点的工作方案》根据创新活动的不同，将科技人才划分为承担国家重大科技任务、基础研究、应用研究和技术开发、社会公益研究等四类进行评价。山西、四川、安徽、山东、湖北、甘肃同样将科技人才划分为四类。也有的省份将科技人才分为三类，如宁夏分为基础研究类人才、应用研究和技术开发类人才、社会公益研究类三类；青海分为基础研究人才，应用研究与技术开发人才，社会公益研究、科技管理服务和实验技术人才三类。辽宁省在科技部划分四类人才的基础上，增加了“科技成果转化人才”，形成了五类人才。《方案》在借鉴国家和兄弟省份经验的基础上，结合广西实际情况，根据不同创新活动类型将科技人才划分为承担自治区级以上重大攻关任务类人才、基础研究类人才、应用研究</w:t>
      </w:r>
      <w:r>
        <w:rPr>
          <w:rFonts w:hint="eastAsia" w:ascii="仿宋_GB2312" w:hAnsi="仿宋_GB2312" w:eastAsia="仿宋_GB2312" w:cs="仿宋_GB2312"/>
          <w:color w:val="auto"/>
          <w:sz w:val="32"/>
          <w:szCs w:val="32"/>
          <w:highlight w:val="none"/>
          <w:lang w:val="en-US" w:eastAsia="zh-CN"/>
        </w:rPr>
        <w:t>和</w:t>
      </w:r>
      <w:r>
        <w:rPr>
          <w:rFonts w:hint="eastAsia" w:ascii="仿宋_GB2312" w:hAnsi="仿宋_GB2312" w:eastAsia="仿宋_GB2312" w:cs="仿宋_GB2312"/>
          <w:color w:val="auto"/>
          <w:sz w:val="32"/>
          <w:szCs w:val="32"/>
          <w:highlight w:val="none"/>
        </w:rPr>
        <w:t>技术开发类人才、社会公益研究类人才等</w:t>
      </w:r>
      <w:r>
        <w:rPr>
          <w:rFonts w:hint="eastAsia" w:ascii="仿宋_GB2312" w:hAnsi="仿宋_GB2312" w:eastAsia="仿宋_GB2312" w:cs="仿宋_GB2312"/>
          <w:color w:val="auto"/>
          <w:sz w:val="32"/>
          <w:szCs w:val="32"/>
          <w:highlight w:val="none"/>
          <w:lang w:val="en-US" w:eastAsia="zh-CN"/>
        </w:rPr>
        <w:t>四</w:t>
      </w:r>
      <w:r>
        <w:rPr>
          <w:rFonts w:hint="eastAsia" w:ascii="仿宋_GB2312" w:hAnsi="仿宋_GB2312" w:eastAsia="仿宋_GB2312" w:cs="仿宋_GB2312"/>
          <w:color w:val="auto"/>
          <w:sz w:val="32"/>
          <w:szCs w:val="32"/>
          <w:highlight w:val="none"/>
        </w:rPr>
        <w:t>类科技人才进行评价。</w:t>
      </w:r>
    </w:p>
    <w:p w14:paraId="0F72CD25">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楷体" w:hAnsi="楷体" w:eastAsia="楷体" w:cs="楷体"/>
          <w:color w:val="auto"/>
          <w:sz w:val="32"/>
          <w:szCs w:val="32"/>
          <w:highlight w:val="none"/>
          <w:lang w:eastAsia="zh-CN"/>
        </w:rPr>
      </w:pPr>
      <w:r>
        <w:rPr>
          <w:rFonts w:hint="eastAsia" w:ascii="楷体_GB2312" w:hAnsi="楷体_GB2312" w:eastAsia="楷体_GB2312" w:cs="楷体_GB2312"/>
          <w:b/>
          <w:bCs/>
          <w:color w:val="auto"/>
          <w:sz w:val="32"/>
          <w:szCs w:val="32"/>
          <w:highlight w:val="none"/>
        </w:rPr>
        <w:t>（二）关于科技人才评价导向</w:t>
      </w:r>
    </w:p>
    <w:p w14:paraId="2C451CC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科技部等八部门《关于开展科技人才评价改革试点的工作方案》以及四川省、安徽省、甘肃省等省份相关文件在评价导向上，基本都提出承担国家重大攻关任务的人才评价以支撑重大战略需求为导向，基础研究类人才评价以学术贡献和创新价值为导向，应用研究和技术开发类人才评价以技术突破和产业贡献为导向，社会公益研究类人才评价以服务支撑能力和社会贡献为导向。因此，《方案》在参考国家和部分地方科技人才评价导向的基础上，结合评价重点、行业特色、岗位特点等因素，提出各有侧重的科技人才评价导向：对承担自治区级以上重大攻关任务类的科技人才评价突出支撑重大战略需求导向，基础研究类人才评价突出学术贡献和创新价值导向，应用研究</w:t>
      </w:r>
      <w:r>
        <w:rPr>
          <w:rFonts w:hint="eastAsia" w:ascii="仿宋_GB2312" w:hAnsi="仿宋_GB2312" w:eastAsia="仿宋_GB2312" w:cs="仿宋_GB2312"/>
          <w:color w:val="auto"/>
          <w:sz w:val="32"/>
          <w:szCs w:val="32"/>
          <w:highlight w:val="none"/>
          <w:lang w:val="en-US" w:eastAsia="zh-CN"/>
        </w:rPr>
        <w:t>和</w:t>
      </w:r>
      <w:r>
        <w:rPr>
          <w:rFonts w:hint="eastAsia" w:ascii="仿宋_GB2312" w:hAnsi="仿宋_GB2312" w:eastAsia="仿宋_GB2312" w:cs="仿宋_GB2312"/>
          <w:color w:val="auto"/>
          <w:sz w:val="32"/>
          <w:szCs w:val="32"/>
          <w:highlight w:val="none"/>
        </w:rPr>
        <w:t>技术开发类人才评价突出技术突破和产业贡献导向，社会公益研究类人才的评价突出服务支撑效能和社会贡献导向。</w:t>
      </w:r>
    </w:p>
    <w:p w14:paraId="21F72C7A">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仿宋_GB2312" w:hAnsi="仿宋_GB2312" w:eastAsia="仿宋_GB2312" w:cs="仿宋_GB2312"/>
          <w:color w:val="auto"/>
          <w:sz w:val="32"/>
          <w:szCs w:val="32"/>
          <w:highlight w:val="none"/>
          <w:lang w:eastAsia="zh-CN"/>
        </w:rPr>
      </w:pPr>
      <w:r>
        <w:rPr>
          <w:rFonts w:hint="eastAsia" w:ascii="楷体_GB2312" w:hAnsi="楷体_GB2312" w:eastAsia="楷体_GB2312" w:cs="楷体_GB2312"/>
          <w:b/>
          <w:bCs/>
          <w:color w:val="auto"/>
          <w:sz w:val="32"/>
          <w:szCs w:val="32"/>
          <w:highlight w:val="none"/>
        </w:rPr>
        <w:t>（三）关于科技人才评价方式</w:t>
      </w:r>
    </w:p>
    <w:p w14:paraId="72FC1BB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在承担国家和自治区重大攻关任务类人才的评价方式方面，科技部等提出，完善科研任务用户导向的评价方式。山西省采取用户评价为主的方式；辽宁省突出用户导向、应用导向、绩效导向；安徽省持续完善科研任务及成果为导向的评价方式；四川省完善科研任务用户导向的评价方式。在基础研究类人才的评价方式方面，科技部以及山西省、辽宁省、安徽省、四川省等兄弟省份文件均明确，以同行评价为主，探索引入学术团体等第三方评价、国际同行评价等。在应用研究</w:t>
      </w:r>
      <w:r>
        <w:rPr>
          <w:rFonts w:hint="eastAsia" w:ascii="仿宋_GB2312" w:hAnsi="仿宋_GB2312" w:eastAsia="仿宋_GB2312" w:cs="仿宋_GB2312"/>
          <w:color w:val="auto"/>
          <w:sz w:val="32"/>
          <w:szCs w:val="32"/>
          <w:highlight w:val="none"/>
          <w:lang w:val="en-US" w:eastAsia="zh-CN"/>
        </w:rPr>
        <w:t>和</w:t>
      </w:r>
      <w:r>
        <w:rPr>
          <w:rFonts w:hint="eastAsia" w:ascii="仿宋_GB2312" w:hAnsi="仿宋_GB2312" w:eastAsia="仿宋_GB2312" w:cs="仿宋_GB2312"/>
          <w:color w:val="auto"/>
          <w:sz w:val="32"/>
          <w:szCs w:val="32"/>
          <w:highlight w:val="none"/>
        </w:rPr>
        <w:t>技术开发类人才的评价方式方面，科技部等提出，探索构建专家重点评价技术水平、市场评价产业价值相结合，市场、用户、第三方深度参与的评价方式。山西省、安徽省采取市场评价为主，市场、用户、专家等第三方深度参与的评价方式；辽宁省采取专家、用户和第三方深度参与的评价方式；四川省探索构建专家重点评价技术水平、用户和企业重点评价产业化应用和经济效益等市场认可度、第三方机构重点评价创新成果转化成效，市场、用户、第三方深度参与的评价方式。在社会公益研究类人才的评价方式方面，科技部等提出完善社会化评价方式，充分听取行业用户和服务对象的意见，注重政府和社会评价。山西省采取社会化评价为主的方式；辽宁省、安徽省采取以行业用户和服务对象为主的评价方式；四川省统筹同行评价、服务对象评价、社会评价等方式。《方案》综合国家和兄弟省份的相关表述，分别提出</w:t>
      </w:r>
      <w:r>
        <w:rPr>
          <w:rFonts w:hint="eastAsia" w:ascii="仿宋_GB2312" w:hAnsi="仿宋_GB2312" w:eastAsia="仿宋_GB2312" w:cs="仿宋_GB2312"/>
          <w:color w:val="auto"/>
          <w:sz w:val="32"/>
          <w:szCs w:val="32"/>
          <w:highlight w:val="none"/>
          <w:lang w:val="en-US" w:eastAsia="zh-CN"/>
        </w:rPr>
        <w:t>四</w:t>
      </w:r>
      <w:r>
        <w:rPr>
          <w:rFonts w:hint="eastAsia" w:ascii="仿宋_GB2312" w:hAnsi="仿宋_GB2312" w:eastAsia="仿宋_GB2312" w:cs="仿宋_GB2312"/>
          <w:color w:val="auto"/>
          <w:sz w:val="32"/>
          <w:szCs w:val="32"/>
          <w:highlight w:val="none"/>
        </w:rPr>
        <w:t>类人才的评价方式，具体表述总体上与国家文件保持一致，同时吸收借鉴兄弟省份好的经验做法。</w:t>
      </w:r>
    </w:p>
    <w:p w14:paraId="37BE5F61">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楷体_GB2312" w:hAnsi="楷体_GB2312" w:eastAsia="楷体_GB2312" w:cs="楷体_GB2312"/>
          <w:b/>
          <w:bCs/>
          <w:color w:val="auto"/>
          <w:sz w:val="32"/>
          <w:szCs w:val="32"/>
          <w:highlight w:val="none"/>
        </w:rPr>
      </w:pPr>
      <w:r>
        <w:rPr>
          <w:rFonts w:hint="eastAsia" w:ascii="楷体_GB2312" w:hAnsi="楷体_GB2312" w:eastAsia="楷体_GB2312" w:cs="楷体_GB2312"/>
          <w:b/>
          <w:bCs/>
          <w:color w:val="auto"/>
          <w:sz w:val="32"/>
          <w:szCs w:val="32"/>
          <w:highlight w:val="none"/>
        </w:rPr>
        <w:t>（四）关于评价结果应用</w:t>
      </w:r>
    </w:p>
    <w:p w14:paraId="68ACAE3E">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科技部等八部门《关于开展科技人才评价改革试点的工作方案》以及安徽省、四川省、辽宁省、甘肃省等兄弟省份方案均针对不同类型人才，在岗位聘用、职称评审、绩效考核、表彰奖励等方面予以政策性倾斜。《方案》在借鉴科技部和兄弟省份相关文件的基础上，分别提出承担自治区级以上重大攻关任务、基础研究、应用研究和技术开发、社会公益研究</w:t>
      </w:r>
      <w:r>
        <w:rPr>
          <w:rFonts w:hint="eastAsia" w:ascii="仿宋_GB2312" w:hAnsi="仿宋_GB2312" w:eastAsia="仿宋_GB2312" w:cs="仿宋_GB2312"/>
          <w:color w:val="auto"/>
          <w:sz w:val="32"/>
          <w:szCs w:val="32"/>
          <w:highlight w:val="none"/>
          <w:lang w:val="en-US" w:eastAsia="zh-CN"/>
        </w:rPr>
        <w:t>四</w:t>
      </w:r>
      <w:r>
        <w:rPr>
          <w:rFonts w:hint="eastAsia" w:ascii="仿宋_GB2312" w:hAnsi="仿宋_GB2312" w:eastAsia="仿宋_GB2312" w:cs="仿宋_GB2312"/>
          <w:color w:val="auto"/>
          <w:sz w:val="32"/>
          <w:szCs w:val="32"/>
          <w:highlight w:val="none"/>
        </w:rPr>
        <w:t>类人才评价结果应用的重点方向，推动人才评价结果与用人单位内部制度建设、项目评审、机构评估、科技奖励激励机制等紧密衔接。</w:t>
      </w:r>
    </w:p>
    <w:p w14:paraId="7BF1091E">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both"/>
        <w:textAlignment w:val="auto"/>
        <w:rPr>
          <w:rFonts w:hint="eastAsia" w:ascii="楷体_GB2312" w:hAnsi="楷体_GB2312" w:eastAsia="楷体_GB2312" w:cs="楷体_GB2312"/>
          <w:b/>
          <w:bCs/>
          <w:color w:val="auto"/>
          <w:sz w:val="32"/>
          <w:szCs w:val="32"/>
          <w:highlight w:val="none"/>
        </w:rPr>
      </w:pPr>
      <w:r>
        <w:rPr>
          <w:rFonts w:hint="eastAsia" w:ascii="楷体_GB2312" w:hAnsi="楷体_GB2312" w:eastAsia="楷体_GB2312" w:cs="楷体_GB2312"/>
          <w:b/>
          <w:bCs/>
          <w:color w:val="auto"/>
          <w:sz w:val="32"/>
          <w:szCs w:val="32"/>
          <w:highlight w:val="none"/>
        </w:rPr>
        <w:t>（五）关于改革试点单位选择</w:t>
      </w:r>
    </w:p>
    <w:p w14:paraId="2A2E0105">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rPr>
        <w:t>国家科技人才评价改革试点单位包括12家科研院所、9家高校或高校附属机构、6个地方。辽宁省试点单位包括9家高校院所及沈阳市。安徽省试点单位包括7家高校或高校附属机构、3家科研院所、1家企业。甘肃省试点单位包括1家高校、3家科研院所。与其他省份不同的是，四川省将试点单位分为承担重大攻关任务类、基础研究类、应用研究和技术开发类、社会公益研究类，以及3个综合试点地区，且试点单位有重合，如电子科技大学同时参与“承担重大攻关任务的人才评价”和“基础研究类人才评价”两项任务。《方案》借鉴四川省做法，结合广西实际，按照科研氛围浓厚、科技人才富集、改革意愿强烈的标准，拟选择广西大学、广西科学院、广西玉柴机器股份有限公司等</w:t>
      </w:r>
      <w:r>
        <w:rPr>
          <w:rFonts w:hint="default" w:ascii="Times New Roman" w:hAnsi="Times New Roman" w:eastAsia="仿宋_GB2312" w:cs="Times New Roman"/>
          <w:color w:val="auto"/>
          <w:sz w:val="32"/>
          <w:szCs w:val="32"/>
          <w:highlight w:val="none"/>
          <w:lang w:val="en-US" w:eastAsia="zh-CN"/>
        </w:rPr>
        <w:t>15</w:t>
      </w:r>
      <w:r>
        <w:rPr>
          <w:rFonts w:hint="default" w:ascii="Times New Roman" w:hAnsi="Times New Roman" w:eastAsia="仿宋_GB2312" w:cs="Times New Roman"/>
          <w:color w:val="auto"/>
          <w:sz w:val="32"/>
          <w:szCs w:val="32"/>
          <w:highlight w:val="none"/>
        </w:rPr>
        <w:t>家单位开展</w:t>
      </w:r>
      <w:r>
        <w:rPr>
          <w:rFonts w:hint="default" w:ascii="Times New Roman" w:hAnsi="Times New Roman" w:eastAsia="仿宋_GB2312" w:cs="Times New Roman"/>
          <w:color w:val="auto"/>
          <w:sz w:val="32"/>
          <w:szCs w:val="32"/>
          <w:highlight w:val="none"/>
          <w:lang w:eastAsia="zh-CN"/>
        </w:rPr>
        <w:t>人才评价试点工作，各单位可根据实际选择</w:t>
      </w:r>
      <w:r>
        <w:rPr>
          <w:rFonts w:hint="default" w:ascii="Times New Roman" w:hAnsi="Times New Roman" w:eastAsia="仿宋_GB2312" w:cs="Times New Roman"/>
          <w:color w:val="auto"/>
          <w:sz w:val="32"/>
          <w:szCs w:val="32"/>
          <w:highlight w:val="none"/>
          <w:lang w:val="en-US" w:eastAsia="zh-CN"/>
        </w:rPr>
        <w:t>1</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color w:val="auto"/>
          <w:sz w:val="32"/>
          <w:szCs w:val="32"/>
          <w:highlight w:val="none"/>
          <w:lang w:val="en-US" w:eastAsia="zh-CN"/>
        </w:rPr>
        <w:t>2个方面开展试点评价。</w:t>
      </w:r>
    </w:p>
    <w:p w14:paraId="09A542AD">
      <w:pPr>
        <w:keepNext w:val="0"/>
        <w:keepLines w:val="0"/>
        <w:pageBreakBefore w:val="0"/>
        <w:widowControl/>
        <w:suppressLineNumbers w:val="0"/>
        <w:kinsoku/>
        <w:wordWrap/>
        <w:overflowPunct/>
        <w:topLinePunct w:val="0"/>
        <w:autoSpaceDE/>
        <w:autoSpaceDN/>
        <w:bidi w:val="0"/>
        <w:adjustRightInd/>
        <w:snapToGrid/>
        <w:spacing w:line="560" w:lineRule="exact"/>
        <w:jc w:val="left"/>
        <w:textAlignment w:val="auto"/>
        <w:rPr>
          <w:rFonts w:hint="default" w:ascii="Times New Roman" w:hAnsi="Times New Roman" w:eastAsia="仿宋_GB2312" w:cs="Times New Roman"/>
          <w:color w:val="000000"/>
          <w:kern w:val="0"/>
          <w:sz w:val="32"/>
          <w:szCs w:val="32"/>
          <w:u w:val="none" w:color="auto"/>
          <w:lang w:val="en-US" w:eastAsia="zh-CN" w:bidi="ar"/>
        </w:rPr>
      </w:pPr>
    </w:p>
    <w:p w14:paraId="075ED812">
      <w:pPr>
        <w:keepNext w:val="0"/>
        <w:keepLines w:val="0"/>
        <w:pageBreakBefore w:val="0"/>
        <w:kinsoku/>
        <w:wordWrap/>
        <w:overflowPunct/>
        <w:topLinePunct w:val="0"/>
        <w:autoSpaceDE/>
        <w:autoSpaceDN/>
        <w:bidi w:val="0"/>
        <w:adjustRightInd/>
        <w:snapToGrid/>
        <w:spacing w:line="560" w:lineRule="exact"/>
        <w:ind w:left="0" w:leftChars="0" w:firstLine="0" w:firstLineChars="0"/>
        <w:textAlignment w:val="auto"/>
        <w:rPr>
          <w:rFonts w:hint="eastAsia" w:ascii="仿宋_GB2312" w:hAnsi="仿宋_GB2312" w:eastAsia="仿宋_GB2312" w:cs="仿宋_GB2312"/>
          <w:color w:val="auto"/>
          <w:sz w:val="32"/>
          <w:szCs w:val="32"/>
          <w:u w:val="none" w:color="auto"/>
        </w:rPr>
      </w:pPr>
    </w:p>
    <w:p w14:paraId="08F94592">
      <w:pPr>
        <w:keepNext w:val="0"/>
        <w:keepLines w:val="0"/>
        <w:pageBreakBefore w:val="0"/>
        <w:kinsoku/>
        <w:wordWrap/>
        <w:overflowPunct/>
        <w:topLinePunct w:val="0"/>
        <w:autoSpaceDE/>
        <w:autoSpaceDN/>
        <w:bidi w:val="0"/>
        <w:adjustRightInd/>
        <w:snapToGrid/>
        <w:spacing w:line="560" w:lineRule="exact"/>
        <w:textAlignment w:val="auto"/>
      </w:pPr>
    </w:p>
    <w:p w14:paraId="4C7198AD">
      <w:pPr>
        <w:keepNext w:val="0"/>
        <w:keepLines w:val="0"/>
        <w:pageBreakBefore w:val="0"/>
        <w:kinsoku/>
        <w:wordWrap/>
        <w:overflowPunct/>
        <w:topLinePunct w:val="0"/>
        <w:autoSpaceDE/>
        <w:autoSpaceDN/>
        <w:bidi w:val="0"/>
        <w:adjustRightInd/>
        <w:snapToGrid/>
        <w:spacing w:line="560" w:lineRule="exact"/>
        <w:textAlignment w:val="auto"/>
      </w:pPr>
    </w:p>
    <w:p w14:paraId="00A4D70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p>
    <w:sectPr>
      <w:headerReference r:id="rId4" w:type="first"/>
      <w:footerReference r:id="rId6" w:type="first"/>
      <w:headerReference r:id="rId3" w:type="default"/>
      <w:footerReference r:id="rId5" w:type="default"/>
      <w:pgSz w:w="11906" w:h="16838"/>
      <w:pgMar w:top="2098" w:right="1531" w:bottom="1701" w:left="1531" w:header="851" w:footer="1417" w:gutter="0"/>
      <w:paperSrc/>
      <w:pgNumType w:fmt="decimal"/>
      <w:cols w:space="720" w:num="1"/>
      <w:titlePg/>
      <w:rtlGutter w:val="0"/>
      <w:docGrid w:type="lines" w:linePitch="31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urier New">
    <w:panose1 w:val="02070309020205020404"/>
    <w:charset w:val="00"/>
    <w:family w:val="modern"/>
    <w:pitch w:val="default"/>
    <w:sig w:usb0="E0002AFF" w:usb1="C0007843" w:usb2="00000009" w:usb3="00000000" w:csb0="400001FF" w:csb1="FFFF0000"/>
  </w:font>
  <w:font w:name="Cambria">
    <w:panose1 w:val="02040503050406030204"/>
    <w:charset w:val="00"/>
    <w:family w:val="roman"/>
    <w:pitch w:val="default"/>
    <w:sig w:usb0="E00002FF" w:usb1="400004FF" w:usb2="00000000" w:usb3="00000000" w:csb0="2000019F" w:csb1="00000000"/>
  </w:font>
  <w:font w:name="方正黑体_GBK">
    <w:altName w:val="微软雅黑"/>
    <w:panose1 w:val="02000000000000000000"/>
    <w:charset w:val="86"/>
    <w:family w:val="script"/>
    <w:pitch w:val="default"/>
    <w:sig w:usb0="00000001" w:usb1="08000000" w:usb2="00000000" w:usb3="00000000" w:csb0="00040000" w:csb1="00000000"/>
  </w:font>
  <w:font w:name="Arial">
    <w:panose1 w:val="020B0604020202020204"/>
    <w:charset w:val="00"/>
    <w:family w:val="swiss"/>
    <w:pitch w:val="default"/>
    <w:sig w:usb0="E0002AFF" w:usb1="C0007843" w:usb2="00000009" w:usb3="00000000" w:csb0="400001FF" w:csb1="FFFF0000"/>
  </w:font>
  <w:font w:name="Verdana">
    <w:panose1 w:val="020B0604030504040204"/>
    <w:charset w:val="00"/>
    <w:family w:val="swiss"/>
    <w:pitch w:val="default"/>
    <w:sig w:usb0="A10006FF" w:usb1="4000205B" w:usb2="00000010" w:usb3="00000000" w:csb0="2000019F" w:csb1="00000000"/>
  </w:font>
  <w:font w:name="方正仿宋_GBK">
    <w:altName w:val="微软雅黑"/>
    <w:panose1 w:val="03000509000000000000"/>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1" w:usb1="0800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6D692D">
    <w:pPr>
      <w:pStyle w:val="10"/>
      <w:spacing w:line="360" w:lineRule="exact"/>
      <w:jc w:val="both"/>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622935" cy="204470"/>
              <wp:effectExtent l="0" t="0" r="0" b="0"/>
              <wp:wrapNone/>
              <wp:docPr id="1" name="Text Box 5"/>
              <wp:cNvGraphicFramePr/>
              <a:graphic xmlns:a="http://schemas.openxmlformats.org/drawingml/2006/main">
                <a:graphicData uri="http://schemas.microsoft.com/office/word/2010/wordprocessingShape">
                  <wps:wsp>
                    <wps:cNvSpPr txBox="1"/>
                    <wps:spPr>
                      <a:xfrm>
                        <a:off x="0" y="0"/>
                        <a:ext cx="622935" cy="204470"/>
                      </a:xfrm>
                      <a:prstGeom prst="rect">
                        <a:avLst/>
                      </a:prstGeom>
                      <a:noFill/>
                      <a:ln>
                        <a:noFill/>
                      </a:ln>
                    </wps:spPr>
                    <wps:txbx>
                      <w:txbxContent>
                        <w:p w14:paraId="3C32DB89">
                          <w:pPr>
                            <w:pStyle w:val="1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2</w:t>
                          </w:r>
                          <w:r>
                            <w:rPr>
                              <w:rFonts w:hint="eastAsia" w:ascii="宋体" w:hAnsi="宋体" w:cs="宋体"/>
                              <w:sz w:val="28"/>
                              <w:szCs w:val="28"/>
                            </w:rPr>
                            <w:fldChar w:fldCharType="end"/>
                          </w:r>
                          <w:r>
                            <w:rPr>
                              <w:rFonts w:hint="eastAsia" w:ascii="宋体" w:hAnsi="宋体" w:cs="宋体"/>
                              <w:sz w:val="28"/>
                              <w:szCs w:val="28"/>
                            </w:rPr>
                            <w:t xml:space="preserve"> —</w:t>
                          </w:r>
                        </w:p>
                      </w:txbxContent>
                    </wps:txbx>
                    <wps:bodyPr vert="horz" wrap="none" lIns="0" tIns="0" rIns="0" bIns="0" anchor="t" anchorCtr="0" upright="1">
                      <a:spAutoFit/>
                    </wps:bodyPr>
                  </wps:wsp>
                </a:graphicData>
              </a:graphic>
            </wp:anchor>
          </w:drawing>
        </mc:Choice>
        <mc:Fallback>
          <w:pict>
            <v:shape id="Text Box 5" o:spid="_x0000_s1026" o:spt="202" type="#_x0000_t202" style="position:absolute;left:0pt;margin-top:0pt;height:16.1pt;width:49.05pt;mso-position-horizontal:outside;mso-position-horizontal-relative:margin;mso-wrap-style:none;z-index:251659264;mso-width-relative:page;mso-height-relative:page;" filled="f" stroked="f" coordsize="21600,21600" o:gfxdata="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JWDyM0QAAAAMBAAAPAAAAAAAAAAEAIAAAACIAAABk&#10;cnMvZG93bnJldi54bWxQSwECFAAUAAAACACHTuJAs3Wnl9QBAAC7AwAADgAAAAAAAAABACAAAAAg&#10;AQAAZHJzL2Uyb0RvYy54bWxQSwUGAAAAAAYABgBZAQAAZgUAAAAA&#10;">
              <v:fill on="f" focussize="0,0"/>
              <v:stroke on="f"/>
              <v:imagedata o:title=""/>
              <o:lock v:ext="edit" aspectratio="f"/>
              <v:textbox inset="0mm,0mm,0mm,0mm" style="mso-fit-shape-to-text:t;">
                <w:txbxContent>
                  <w:p w14:paraId="3C32DB89">
                    <w:pPr>
                      <w:pStyle w:val="10"/>
                      <w:rPr>
                        <w:rFonts w:hint="eastAsia" w:ascii="宋体" w:hAnsi="宋体" w:cs="宋体"/>
                        <w:sz w:val="28"/>
                        <w:szCs w:val="28"/>
                      </w:rPr>
                    </w:pPr>
                    <w:r>
                      <w:rPr>
                        <w:rFonts w:hint="eastAsia" w:ascii="宋体" w:hAnsi="宋体" w:cs="宋体"/>
                        <w:sz w:val="28"/>
                        <w:szCs w:val="28"/>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2</w:t>
                    </w:r>
                    <w:r>
                      <w:rPr>
                        <w:rFonts w:hint="eastAsia" w:ascii="宋体" w:hAnsi="宋体" w:cs="宋体"/>
                        <w:sz w:val="28"/>
                        <w:szCs w:val="28"/>
                      </w:rPr>
                      <w:fldChar w:fldCharType="end"/>
                    </w:r>
                    <w:r>
                      <w:rPr>
                        <w:rFonts w:hint="eastAsia" w:ascii="宋体" w:hAnsi="宋体" w:cs="宋体"/>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02201">
    <w:pPr>
      <w:pStyle w:val="10"/>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10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14:paraId="6DBA06A9">
                          <w:pPr>
                            <w:pStyle w:val="10"/>
                            <w:rPr>
                              <w:rFonts w:hint="eastAsia" w:ascii="宋体" w:hAnsi="宋体" w:eastAsia="宋体" w:cs="宋体"/>
                              <w:sz w:val="28"/>
                            </w:rPr>
                          </w:pPr>
                          <w:r>
                            <w:rPr>
                              <w:rFonts w:hint="eastAsia" w:ascii="宋体" w:hAnsi="宋体" w:eastAsia="宋体" w:cs="宋体"/>
                              <w:sz w:val="28"/>
                            </w:rPr>
                            <w:t xml:space="preserve">— </w:t>
                          </w:r>
                          <w:r>
                            <w:rPr>
                              <w:rFonts w:hint="eastAsia" w:ascii="宋体" w:hAnsi="宋体" w:eastAsia="宋体" w:cs="宋体"/>
                              <w:sz w:val="28"/>
                            </w:rPr>
                            <w:fldChar w:fldCharType="begin"/>
                          </w:r>
                          <w:r>
                            <w:rPr>
                              <w:rFonts w:hint="eastAsia" w:ascii="宋体" w:hAnsi="宋体" w:eastAsia="宋体" w:cs="宋体"/>
                              <w:sz w:val="28"/>
                            </w:rPr>
                            <w:instrText xml:space="preserve"> PAGE  \* MERGEFORMAT </w:instrText>
                          </w:r>
                          <w:r>
                            <w:rPr>
                              <w:rFonts w:hint="eastAsia" w:ascii="宋体" w:hAnsi="宋体" w:eastAsia="宋体" w:cs="宋体"/>
                              <w:sz w:val="28"/>
                            </w:rPr>
                            <w:fldChar w:fldCharType="separate"/>
                          </w:r>
                          <w:r>
                            <w:rPr>
                              <w:rFonts w:hint="eastAsia" w:ascii="宋体" w:hAnsi="宋体" w:eastAsia="宋体" w:cs="宋体"/>
                              <w:sz w:val="28"/>
                            </w:rPr>
                            <w:t>1</w:t>
                          </w:r>
                          <w:r>
                            <w:rPr>
                              <w:rFonts w:hint="eastAsia" w:ascii="宋体" w:hAnsi="宋体" w:eastAsia="宋体" w:cs="宋体"/>
                              <w:sz w:val="28"/>
                            </w:rPr>
                            <w:fldChar w:fldCharType="end"/>
                          </w:r>
                          <w:r>
                            <w:rPr>
                              <w:rFonts w:hint="eastAsia" w:ascii="宋体" w:hAnsi="宋体" w:eastAsia="宋体" w:cs="宋体"/>
                              <w:sz w:val="28"/>
                            </w:rPr>
                            <w:t xml:space="preserve"> —</w:t>
                          </w:r>
                        </w:p>
                      </w:txbxContent>
                    </wps:txbx>
                    <wps:bodyPr vert="horz" wrap="none" lIns="0" tIns="0" rIns="0" bIns="0" anchor="t" anchorCtr="0" upright="0">
                      <a:spAutoFit/>
                    </wps:bodyPr>
                  </wps:wsp>
                </a:graphicData>
              </a:graphic>
            </wp:anchor>
          </w:drawing>
        </mc:Choice>
        <mc:Fallback>
          <w:pict>
            <v:shape id="文本框 1043"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AAAAAGRycy9QSwECFAAUAAAACACHTuJAzql5uc8AAAAFAQAA&#10;DwAAAAAAAAABACAAAAAiAAAAZHJzL2Rvd25yZXYueG1sUEsBAhQAFAAAAAgAh07iQBV7JR3pAQAA&#10;ygMAAA4AAAAAAAAAAQAgAAAAHgEAAGRycy9lMm9Eb2MueG1sUEsFBgAAAAAGAAYAWQEAAHkFAAAA&#10;AA==&#10;">
              <v:fill on="f" focussize="0,0"/>
              <v:stroke on="f"/>
              <v:imagedata o:title=""/>
              <o:lock v:ext="edit" aspectratio="f"/>
              <v:textbox inset="0mm,0mm,0mm,0mm" style="mso-fit-shape-to-text:t;">
                <w:txbxContent>
                  <w:p w14:paraId="6DBA06A9">
                    <w:pPr>
                      <w:pStyle w:val="10"/>
                      <w:rPr>
                        <w:rFonts w:hint="eastAsia" w:ascii="宋体" w:hAnsi="宋体" w:eastAsia="宋体" w:cs="宋体"/>
                        <w:sz w:val="28"/>
                      </w:rPr>
                    </w:pPr>
                    <w:r>
                      <w:rPr>
                        <w:rFonts w:hint="eastAsia" w:ascii="宋体" w:hAnsi="宋体" w:eastAsia="宋体" w:cs="宋体"/>
                        <w:sz w:val="28"/>
                      </w:rPr>
                      <w:t xml:space="preserve">— </w:t>
                    </w:r>
                    <w:r>
                      <w:rPr>
                        <w:rFonts w:hint="eastAsia" w:ascii="宋体" w:hAnsi="宋体" w:eastAsia="宋体" w:cs="宋体"/>
                        <w:sz w:val="28"/>
                      </w:rPr>
                      <w:fldChar w:fldCharType="begin"/>
                    </w:r>
                    <w:r>
                      <w:rPr>
                        <w:rFonts w:hint="eastAsia" w:ascii="宋体" w:hAnsi="宋体" w:eastAsia="宋体" w:cs="宋体"/>
                        <w:sz w:val="28"/>
                      </w:rPr>
                      <w:instrText xml:space="preserve"> PAGE  \* MERGEFORMAT </w:instrText>
                    </w:r>
                    <w:r>
                      <w:rPr>
                        <w:rFonts w:hint="eastAsia" w:ascii="宋体" w:hAnsi="宋体" w:eastAsia="宋体" w:cs="宋体"/>
                        <w:sz w:val="28"/>
                      </w:rPr>
                      <w:fldChar w:fldCharType="separate"/>
                    </w:r>
                    <w:r>
                      <w:rPr>
                        <w:rFonts w:hint="eastAsia" w:ascii="宋体" w:hAnsi="宋体" w:eastAsia="宋体" w:cs="宋体"/>
                        <w:sz w:val="28"/>
                      </w:rPr>
                      <w:t>1</w:t>
                    </w:r>
                    <w:r>
                      <w:rPr>
                        <w:rFonts w:hint="eastAsia" w:ascii="宋体" w:hAnsi="宋体" w:eastAsia="宋体" w:cs="宋体"/>
                        <w:sz w:val="28"/>
                      </w:rPr>
                      <w:fldChar w:fldCharType="end"/>
                    </w:r>
                    <w:r>
                      <w:rPr>
                        <w:rFonts w:hint="eastAsia" w:ascii="宋体" w:hAnsi="宋体" w:eastAsia="宋体" w:cs="宋体"/>
                        <w:sz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62F27C">
    <w:pPr>
      <w:pStyle w:val="1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1D553">
    <w:pPr>
      <w:pStyle w:val="11"/>
      <w:pBdr>
        <w:top w:val="none" w:color="auto" w:sz="0" w:space="0"/>
        <w:left w:val="none" w:color="auto" w:sz="0" w:space="0"/>
        <w:bottom w:val="none" w:color="auto" w:sz="0" w:space="1"/>
        <w:right w:val="none" w:color="auto" w:sz="0" w:space="0"/>
        <w:between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hyphenationZone w:val="360"/>
  <w:drawingGridHorizontalSpacing w:val="210"/>
  <w:drawingGridVerticalSpacing w:val="158"/>
  <w:displayHorizontalDrawingGridEvery w:val="1"/>
  <w:displayVerticalDrawingGridEvery w:val="2"/>
  <w:characterSpacingControl w:val="compressPunctuation"/>
  <w:hdrShapeDefaults>
    <o:shapelayout v:ext="edit">
      <o:idmap v:ext="edit" data="2,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87F6923"/>
    <w:rsid w:val="000002F1"/>
    <w:rsid w:val="00000F55"/>
    <w:rsid w:val="000045D6"/>
    <w:rsid w:val="00020D2A"/>
    <w:rsid w:val="00024006"/>
    <w:rsid w:val="000310D0"/>
    <w:rsid w:val="000332C3"/>
    <w:rsid w:val="000543BF"/>
    <w:rsid w:val="00056C43"/>
    <w:rsid w:val="00064356"/>
    <w:rsid w:val="000650BC"/>
    <w:rsid w:val="00074AA6"/>
    <w:rsid w:val="00075405"/>
    <w:rsid w:val="0007604C"/>
    <w:rsid w:val="00080ABC"/>
    <w:rsid w:val="00082B48"/>
    <w:rsid w:val="000848DC"/>
    <w:rsid w:val="00086F61"/>
    <w:rsid w:val="00090177"/>
    <w:rsid w:val="000958FB"/>
    <w:rsid w:val="00095A3D"/>
    <w:rsid w:val="000A2E76"/>
    <w:rsid w:val="000B6F89"/>
    <w:rsid w:val="000C12DE"/>
    <w:rsid w:val="000C1AE3"/>
    <w:rsid w:val="000D4071"/>
    <w:rsid w:val="000E4BB4"/>
    <w:rsid w:val="000F3210"/>
    <w:rsid w:val="000F369E"/>
    <w:rsid w:val="000F38E3"/>
    <w:rsid w:val="000F518C"/>
    <w:rsid w:val="000F6F50"/>
    <w:rsid w:val="000F7248"/>
    <w:rsid w:val="001011E4"/>
    <w:rsid w:val="001014C1"/>
    <w:rsid w:val="0011417A"/>
    <w:rsid w:val="001179BC"/>
    <w:rsid w:val="00122223"/>
    <w:rsid w:val="00124233"/>
    <w:rsid w:val="00143345"/>
    <w:rsid w:val="0014506C"/>
    <w:rsid w:val="001528C3"/>
    <w:rsid w:val="00157938"/>
    <w:rsid w:val="00157C4D"/>
    <w:rsid w:val="0016161B"/>
    <w:rsid w:val="0017337B"/>
    <w:rsid w:val="00173CC8"/>
    <w:rsid w:val="00183C60"/>
    <w:rsid w:val="00183E30"/>
    <w:rsid w:val="001910CE"/>
    <w:rsid w:val="00194269"/>
    <w:rsid w:val="001A3E4C"/>
    <w:rsid w:val="001A5CB6"/>
    <w:rsid w:val="001B2E7C"/>
    <w:rsid w:val="001B49F0"/>
    <w:rsid w:val="001C7F46"/>
    <w:rsid w:val="001D390D"/>
    <w:rsid w:val="001E6799"/>
    <w:rsid w:val="0021055E"/>
    <w:rsid w:val="002177BE"/>
    <w:rsid w:val="00221285"/>
    <w:rsid w:val="00224E91"/>
    <w:rsid w:val="00242EB2"/>
    <w:rsid w:val="0024545E"/>
    <w:rsid w:val="00251261"/>
    <w:rsid w:val="002513F4"/>
    <w:rsid w:val="002539DB"/>
    <w:rsid w:val="002546D9"/>
    <w:rsid w:val="0025551C"/>
    <w:rsid w:val="002718DF"/>
    <w:rsid w:val="00287AAE"/>
    <w:rsid w:val="00294BD7"/>
    <w:rsid w:val="002951A6"/>
    <w:rsid w:val="002975AC"/>
    <w:rsid w:val="002A3792"/>
    <w:rsid w:val="002C7CAD"/>
    <w:rsid w:val="002D02E5"/>
    <w:rsid w:val="002D1462"/>
    <w:rsid w:val="002E197D"/>
    <w:rsid w:val="002E22FF"/>
    <w:rsid w:val="00301927"/>
    <w:rsid w:val="00301B62"/>
    <w:rsid w:val="00310AA9"/>
    <w:rsid w:val="003172AC"/>
    <w:rsid w:val="0032056E"/>
    <w:rsid w:val="00326A0C"/>
    <w:rsid w:val="00340EAD"/>
    <w:rsid w:val="00355CA7"/>
    <w:rsid w:val="00366729"/>
    <w:rsid w:val="00375591"/>
    <w:rsid w:val="003758E4"/>
    <w:rsid w:val="00385E7E"/>
    <w:rsid w:val="00392B63"/>
    <w:rsid w:val="0039657C"/>
    <w:rsid w:val="00396CAE"/>
    <w:rsid w:val="003B364F"/>
    <w:rsid w:val="003C48E0"/>
    <w:rsid w:val="003C6B62"/>
    <w:rsid w:val="003D7A4F"/>
    <w:rsid w:val="003E2531"/>
    <w:rsid w:val="003E420D"/>
    <w:rsid w:val="003E5397"/>
    <w:rsid w:val="003F1CF8"/>
    <w:rsid w:val="003F1E2C"/>
    <w:rsid w:val="003F2513"/>
    <w:rsid w:val="003F66C8"/>
    <w:rsid w:val="00411A4B"/>
    <w:rsid w:val="00412DBE"/>
    <w:rsid w:val="00420312"/>
    <w:rsid w:val="00432939"/>
    <w:rsid w:val="00435EB9"/>
    <w:rsid w:val="00436309"/>
    <w:rsid w:val="00451939"/>
    <w:rsid w:val="0045446C"/>
    <w:rsid w:val="0046084D"/>
    <w:rsid w:val="00460B46"/>
    <w:rsid w:val="00461956"/>
    <w:rsid w:val="004652B3"/>
    <w:rsid w:val="00467301"/>
    <w:rsid w:val="00470EEC"/>
    <w:rsid w:val="00475153"/>
    <w:rsid w:val="00480D67"/>
    <w:rsid w:val="0048462D"/>
    <w:rsid w:val="00485383"/>
    <w:rsid w:val="00492057"/>
    <w:rsid w:val="00493B51"/>
    <w:rsid w:val="004B3D2A"/>
    <w:rsid w:val="004C449C"/>
    <w:rsid w:val="004C59C9"/>
    <w:rsid w:val="004D13BC"/>
    <w:rsid w:val="004D6EE5"/>
    <w:rsid w:val="004D72CB"/>
    <w:rsid w:val="004F0CAE"/>
    <w:rsid w:val="004F155E"/>
    <w:rsid w:val="00514691"/>
    <w:rsid w:val="005315A4"/>
    <w:rsid w:val="00543354"/>
    <w:rsid w:val="005530FE"/>
    <w:rsid w:val="00571856"/>
    <w:rsid w:val="005728CF"/>
    <w:rsid w:val="00576564"/>
    <w:rsid w:val="005802FA"/>
    <w:rsid w:val="00585CDF"/>
    <w:rsid w:val="0059366F"/>
    <w:rsid w:val="005A05FD"/>
    <w:rsid w:val="005A4022"/>
    <w:rsid w:val="005A45E7"/>
    <w:rsid w:val="005B5143"/>
    <w:rsid w:val="005C2387"/>
    <w:rsid w:val="005C550A"/>
    <w:rsid w:val="005D02FF"/>
    <w:rsid w:val="005D1EF7"/>
    <w:rsid w:val="005D3C02"/>
    <w:rsid w:val="005D5F9B"/>
    <w:rsid w:val="005E6BD3"/>
    <w:rsid w:val="005E7B75"/>
    <w:rsid w:val="005F0A3B"/>
    <w:rsid w:val="005F2501"/>
    <w:rsid w:val="005F2B35"/>
    <w:rsid w:val="00601A7A"/>
    <w:rsid w:val="006337F8"/>
    <w:rsid w:val="00646C4C"/>
    <w:rsid w:val="00647244"/>
    <w:rsid w:val="0066006F"/>
    <w:rsid w:val="00672C88"/>
    <w:rsid w:val="00673E4F"/>
    <w:rsid w:val="00692AB5"/>
    <w:rsid w:val="006937AE"/>
    <w:rsid w:val="006A11B1"/>
    <w:rsid w:val="006B1924"/>
    <w:rsid w:val="006D055A"/>
    <w:rsid w:val="006D70E0"/>
    <w:rsid w:val="006E68D3"/>
    <w:rsid w:val="00700D11"/>
    <w:rsid w:val="00715187"/>
    <w:rsid w:val="007236AF"/>
    <w:rsid w:val="00727900"/>
    <w:rsid w:val="00731295"/>
    <w:rsid w:val="007319E5"/>
    <w:rsid w:val="00732A3B"/>
    <w:rsid w:val="00736C57"/>
    <w:rsid w:val="00766A29"/>
    <w:rsid w:val="00780B22"/>
    <w:rsid w:val="00782B80"/>
    <w:rsid w:val="007900F7"/>
    <w:rsid w:val="007B578A"/>
    <w:rsid w:val="007B6E81"/>
    <w:rsid w:val="007B776C"/>
    <w:rsid w:val="007C330F"/>
    <w:rsid w:val="007C3DF2"/>
    <w:rsid w:val="007C7D17"/>
    <w:rsid w:val="007D5F53"/>
    <w:rsid w:val="007E5050"/>
    <w:rsid w:val="007E6699"/>
    <w:rsid w:val="008008A3"/>
    <w:rsid w:val="008011F2"/>
    <w:rsid w:val="00802E58"/>
    <w:rsid w:val="00807D66"/>
    <w:rsid w:val="008206C8"/>
    <w:rsid w:val="00824133"/>
    <w:rsid w:val="00824F7E"/>
    <w:rsid w:val="00827E39"/>
    <w:rsid w:val="00831804"/>
    <w:rsid w:val="00833F4B"/>
    <w:rsid w:val="00841148"/>
    <w:rsid w:val="00843766"/>
    <w:rsid w:val="00851578"/>
    <w:rsid w:val="00852B03"/>
    <w:rsid w:val="00871C90"/>
    <w:rsid w:val="00874932"/>
    <w:rsid w:val="0088764E"/>
    <w:rsid w:val="00894586"/>
    <w:rsid w:val="008B2639"/>
    <w:rsid w:val="008D4478"/>
    <w:rsid w:val="008E3D5E"/>
    <w:rsid w:val="008F3D02"/>
    <w:rsid w:val="008F6383"/>
    <w:rsid w:val="0090136C"/>
    <w:rsid w:val="00902B6F"/>
    <w:rsid w:val="00914BC9"/>
    <w:rsid w:val="0091512E"/>
    <w:rsid w:val="00921B71"/>
    <w:rsid w:val="009223CE"/>
    <w:rsid w:val="00924D4D"/>
    <w:rsid w:val="009274E2"/>
    <w:rsid w:val="00933C59"/>
    <w:rsid w:val="009411B9"/>
    <w:rsid w:val="0095073F"/>
    <w:rsid w:val="00957787"/>
    <w:rsid w:val="00957A9B"/>
    <w:rsid w:val="00964E62"/>
    <w:rsid w:val="009664B7"/>
    <w:rsid w:val="00971771"/>
    <w:rsid w:val="00981278"/>
    <w:rsid w:val="00990A61"/>
    <w:rsid w:val="00991840"/>
    <w:rsid w:val="00995E40"/>
    <w:rsid w:val="009A36EE"/>
    <w:rsid w:val="009A48ED"/>
    <w:rsid w:val="009B0742"/>
    <w:rsid w:val="009C5486"/>
    <w:rsid w:val="009D1A9E"/>
    <w:rsid w:val="009E086D"/>
    <w:rsid w:val="009E64BF"/>
    <w:rsid w:val="009F062D"/>
    <w:rsid w:val="009F1D81"/>
    <w:rsid w:val="009F38DA"/>
    <w:rsid w:val="009F7CAE"/>
    <w:rsid w:val="00A06A48"/>
    <w:rsid w:val="00A16656"/>
    <w:rsid w:val="00A21708"/>
    <w:rsid w:val="00A21EA2"/>
    <w:rsid w:val="00A22EA0"/>
    <w:rsid w:val="00A241EA"/>
    <w:rsid w:val="00A301F6"/>
    <w:rsid w:val="00A3236C"/>
    <w:rsid w:val="00A32D51"/>
    <w:rsid w:val="00A43BBB"/>
    <w:rsid w:val="00A469D1"/>
    <w:rsid w:val="00A4793B"/>
    <w:rsid w:val="00A50934"/>
    <w:rsid w:val="00A52EAA"/>
    <w:rsid w:val="00A55C92"/>
    <w:rsid w:val="00A56B53"/>
    <w:rsid w:val="00A56E5E"/>
    <w:rsid w:val="00A57520"/>
    <w:rsid w:val="00A62B2B"/>
    <w:rsid w:val="00A640D7"/>
    <w:rsid w:val="00A7698E"/>
    <w:rsid w:val="00A77A7C"/>
    <w:rsid w:val="00A922C5"/>
    <w:rsid w:val="00AA049C"/>
    <w:rsid w:val="00AB5361"/>
    <w:rsid w:val="00AC134C"/>
    <w:rsid w:val="00AC3DF7"/>
    <w:rsid w:val="00AC51D8"/>
    <w:rsid w:val="00AD4EEA"/>
    <w:rsid w:val="00AE0369"/>
    <w:rsid w:val="00AE4F06"/>
    <w:rsid w:val="00AE71C8"/>
    <w:rsid w:val="00AF0A05"/>
    <w:rsid w:val="00AF0B3E"/>
    <w:rsid w:val="00AF2244"/>
    <w:rsid w:val="00AF58CA"/>
    <w:rsid w:val="00AF5DE0"/>
    <w:rsid w:val="00B000BD"/>
    <w:rsid w:val="00B0207B"/>
    <w:rsid w:val="00B1275E"/>
    <w:rsid w:val="00B2484C"/>
    <w:rsid w:val="00B31F85"/>
    <w:rsid w:val="00B52205"/>
    <w:rsid w:val="00B6339F"/>
    <w:rsid w:val="00BA13CB"/>
    <w:rsid w:val="00BA4307"/>
    <w:rsid w:val="00BA52F7"/>
    <w:rsid w:val="00BB2FC6"/>
    <w:rsid w:val="00BC3BA6"/>
    <w:rsid w:val="00BD007D"/>
    <w:rsid w:val="00BD5664"/>
    <w:rsid w:val="00BD6D49"/>
    <w:rsid w:val="00BE2F0D"/>
    <w:rsid w:val="00BE532B"/>
    <w:rsid w:val="00BE797D"/>
    <w:rsid w:val="00BF1BD3"/>
    <w:rsid w:val="00BF33B8"/>
    <w:rsid w:val="00BF7728"/>
    <w:rsid w:val="00C06A55"/>
    <w:rsid w:val="00C1267B"/>
    <w:rsid w:val="00C22375"/>
    <w:rsid w:val="00C27326"/>
    <w:rsid w:val="00C2773E"/>
    <w:rsid w:val="00C32C34"/>
    <w:rsid w:val="00C355E8"/>
    <w:rsid w:val="00C44C95"/>
    <w:rsid w:val="00C4713B"/>
    <w:rsid w:val="00C50D26"/>
    <w:rsid w:val="00C52E2C"/>
    <w:rsid w:val="00C66A72"/>
    <w:rsid w:val="00C73C2A"/>
    <w:rsid w:val="00C75C33"/>
    <w:rsid w:val="00C76983"/>
    <w:rsid w:val="00C77FD8"/>
    <w:rsid w:val="00C80434"/>
    <w:rsid w:val="00C81658"/>
    <w:rsid w:val="00C85FE5"/>
    <w:rsid w:val="00C9192E"/>
    <w:rsid w:val="00C94256"/>
    <w:rsid w:val="00C95912"/>
    <w:rsid w:val="00C95C3C"/>
    <w:rsid w:val="00CA353A"/>
    <w:rsid w:val="00CA6196"/>
    <w:rsid w:val="00CC0100"/>
    <w:rsid w:val="00CC68AD"/>
    <w:rsid w:val="00CD4A58"/>
    <w:rsid w:val="00CE505D"/>
    <w:rsid w:val="00D16474"/>
    <w:rsid w:val="00D26E0D"/>
    <w:rsid w:val="00D3394E"/>
    <w:rsid w:val="00D46522"/>
    <w:rsid w:val="00D50D8A"/>
    <w:rsid w:val="00D60630"/>
    <w:rsid w:val="00D61433"/>
    <w:rsid w:val="00D62BFB"/>
    <w:rsid w:val="00D638BA"/>
    <w:rsid w:val="00D80D98"/>
    <w:rsid w:val="00DA58B3"/>
    <w:rsid w:val="00DC5977"/>
    <w:rsid w:val="00DD5BF7"/>
    <w:rsid w:val="00DE6CDC"/>
    <w:rsid w:val="00DF60A8"/>
    <w:rsid w:val="00E0750D"/>
    <w:rsid w:val="00E15FCA"/>
    <w:rsid w:val="00E16CFC"/>
    <w:rsid w:val="00E17C4D"/>
    <w:rsid w:val="00E21F7A"/>
    <w:rsid w:val="00E32D80"/>
    <w:rsid w:val="00E33C7F"/>
    <w:rsid w:val="00E34AF9"/>
    <w:rsid w:val="00E40241"/>
    <w:rsid w:val="00E4784D"/>
    <w:rsid w:val="00E66342"/>
    <w:rsid w:val="00E67D9B"/>
    <w:rsid w:val="00E724A0"/>
    <w:rsid w:val="00E76190"/>
    <w:rsid w:val="00E87771"/>
    <w:rsid w:val="00E9289F"/>
    <w:rsid w:val="00E95B2E"/>
    <w:rsid w:val="00E9621D"/>
    <w:rsid w:val="00EA24BA"/>
    <w:rsid w:val="00EC2EB8"/>
    <w:rsid w:val="00ED05A5"/>
    <w:rsid w:val="00EE269B"/>
    <w:rsid w:val="00EF4C03"/>
    <w:rsid w:val="00F028DA"/>
    <w:rsid w:val="00F03046"/>
    <w:rsid w:val="00F07C85"/>
    <w:rsid w:val="00F233D0"/>
    <w:rsid w:val="00F23782"/>
    <w:rsid w:val="00F3111F"/>
    <w:rsid w:val="00F31E23"/>
    <w:rsid w:val="00F33BCE"/>
    <w:rsid w:val="00F4571B"/>
    <w:rsid w:val="00F60DB5"/>
    <w:rsid w:val="00F62D3A"/>
    <w:rsid w:val="00F71396"/>
    <w:rsid w:val="00FA3C60"/>
    <w:rsid w:val="00FB0EA7"/>
    <w:rsid w:val="00FC6160"/>
    <w:rsid w:val="00FD12DB"/>
    <w:rsid w:val="00FD1FFE"/>
    <w:rsid w:val="00FD5E71"/>
    <w:rsid w:val="00FE46B3"/>
    <w:rsid w:val="00FF0E72"/>
    <w:rsid w:val="00FF2808"/>
    <w:rsid w:val="00FF3AC2"/>
    <w:rsid w:val="00FF3C7A"/>
    <w:rsid w:val="010630D0"/>
    <w:rsid w:val="034F6973"/>
    <w:rsid w:val="05CE6EB1"/>
    <w:rsid w:val="06982F19"/>
    <w:rsid w:val="087F6923"/>
    <w:rsid w:val="0B616901"/>
    <w:rsid w:val="0D445412"/>
    <w:rsid w:val="0EAA760A"/>
    <w:rsid w:val="120E2E3B"/>
    <w:rsid w:val="16295DD9"/>
    <w:rsid w:val="25565D1A"/>
    <w:rsid w:val="27E239F2"/>
    <w:rsid w:val="280F74E7"/>
    <w:rsid w:val="2BC00920"/>
    <w:rsid w:val="2BE01BD6"/>
    <w:rsid w:val="2DBB9EC8"/>
    <w:rsid w:val="30B4648D"/>
    <w:rsid w:val="31E36869"/>
    <w:rsid w:val="335F56CE"/>
    <w:rsid w:val="355A3E1C"/>
    <w:rsid w:val="358B23F4"/>
    <w:rsid w:val="365A443E"/>
    <w:rsid w:val="373B525E"/>
    <w:rsid w:val="38FB5317"/>
    <w:rsid w:val="39AFAEF6"/>
    <w:rsid w:val="39B76556"/>
    <w:rsid w:val="39C7D0F5"/>
    <w:rsid w:val="3ACBA423"/>
    <w:rsid w:val="3B1FC398"/>
    <w:rsid w:val="3B378168"/>
    <w:rsid w:val="3C730A48"/>
    <w:rsid w:val="3F814D97"/>
    <w:rsid w:val="3FF7F52E"/>
    <w:rsid w:val="409A21BD"/>
    <w:rsid w:val="40C44895"/>
    <w:rsid w:val="448F25B4"/>
    <w:rsid w:val="49051EC1"/>
    <w:rsid w:val="49BF6941"/>
    <w:rsid w:val="4AEB42B2"/>
    <w:rsid w:val="4B0A3EDB"/>
    <w:rsid w:val="4D981343"/>
    <w:rsid w:val="4E80705D"/>
    <w:rsid w:val="4F9F7D77"/>
    <w:rsid w:val="526BFAD4"/>
    <w:rsid w:val="55625F0C"/>
    <w:rsid w:val="55F51A69"/>
    <w:rsid w:val="5AF35FEF"/>
    <w:rsid w:val="5BDF3788"/>
    <w:rsid w:val="5CA5570E"/>
    <w:rsid w:val="5CC44C22"/>
    <w:rsid w:val="5D1E7563"/>
    <w:rsid w:val="5D5F8624"/>
    <w:rsid w:val="5E7F32B2"/>
    <w:rsid w:val="5FBEE5F5"/>
    <w:rsid w:val="6097591A"/>
    <w:rsid w:val="63317BAB"/>
    <w:rsid w:val="642971E3"/>
    <w:rsid w:val="65081EF0"/>
    <w:rsid w:val="66C9548A"/>
    <w:rsid w:val="68CB0E27"/>
    <w:rsid w:val="68EF1AEA"/>
    <w:rsid w:val="6BEFCD41"/>
    <w:rsid w:val="6EE567C2"/>
    <w:rsid w:val="6F797B09"/>
    <w:rsid w:val="6F7EDBE6"/>
    <w:rsid w:val="6FBD5DC6"/>
    <w:rsid w:val="700E0E59"/>
    <w:rsid w:val="708664A7"/>
    <w:rsid w:val="71AC61BE"/>
    <w:rsid w:val="71ED0839"/>
    <w:rsid w:val="73CC3568"/>
    <w:rsid w:val="746D3BA9"/>
    <w:rsid w:val="75477E01"/>
    <w:rsid w:val="771D4F71"/>
    <w:rsid w:val="77DB6926"/>
    <w:rsid w:val="77E35A7F"/>
    <w:rsid w:val="7804098D"/>
    <w:rsid w:val="7A5B709F"/>
    <w:rsid w:val="7B0423A9"/>
    <w:rsid w:val="7B672258"/>
    <w:rsid w:val="7B853083"/>
    <w:rsid w:val="7BAC284C"/>
    <w:rsid w:val="7BCC0671"/>
    <w:rsid w:val="7D766EB8"/>
    <w:rsid w:val="7DFE8B05"/>
    <w:rsid w:val="7DFF05DA"/>
    <w:rsid w:val="7E195214"/>
    <w:rsid w:val="7FDCEE19"/>
    <w:rsid w:val="7FEF8F7E"/>
    <w:rsid w:val="7FFB6C78"/>
    <w:rsid w:val="7FFD8599"/>
    <w:rsid w:val="93FE7B13"/>
    <w:rsid w:val="97FE47F4"/>
    <w:rsid w:val="A5BBA65B"/>
    <w:rsid w:val="AC9F28CF"/>
    <w:rsid w:val="AFDD2337"/>
    <w:rsid w:val="BD5FC214"/>
    <w:rsid w:val="BDD42B31"/>
    <w:rsid w:val="BE7FEB03"/>
    <w:rsid w:val="BF7B0C10"/>
    <w:rsid w:val="BF8B0EB7"/>
    <w:rsid w:val="BFAF52A9"/>
    <w:rsid w:val="CBFF75BF"/>
    <w:rsid w:val="CF778927"/>
    <w:rsid w:val="D5E7005E"/>
    <w:rsid w:val="DBD69646"/>
    <w:rsid w:val="DFDBF448"/>
    <w:rsid w:val="DFF51856"/>
    <w:rsid w:val="DFFF8725"/>
    <w:rsid w:val="E3DF7FC2"/>
    <w:rsid w:val="E5BBE460"/>
    <w:rsid w:val="E7AB668E"/>
    <w:rsid w:val="EFCFDEDE"/>
    <w:rsid w:val="EFF5F5C6"/>
    <w:rsid w:val="F3BF4E85"/>
    <w:rsid w:val="F3F6A645"/>
    <w:rsid w:val="F68EC1BB"/>
    <w:rsid w:val="F76AA324"/>
    <w:rsid w:val="F8B58E7C"/>
    <w:rsid w:val="FBC5A9B9"/>
    <w:rsid w:val="FBEBEF67"/>
    <w:rsid w:val="FF3F8DFA"/>
    <w:rsid w:val="FF46DB6C"/>
    <w:rsid w:val="FF660270"/>
    <w:rsid w:val="FF7E9C03"/>
    <w:rsid w:val="FFD3ADA4"/>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99" w:semiHidden="0" w:name="Normal Indent"/>
    <w:lsdException w:uiPriority="0" w:name="footnote text"/>
    <w:lsdException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99" w:semiHidden="0" w:name="HTML Preformatted"/>
    <w:lsdException w:uiPriority="0" w:name="HTML Sample"/>
    <w:lsdException w:uiPriority="0" w:name="HTML Typewriter"/>
    <w:lsdException w:uiPriority="0" w:name="HTML Variable"/>
    <w:lsdException w:qFormat="1" w:uiPriority="99" w:semiHidden="0"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kern w:val="2"/>
      <w:sz w:val="21"/>
      <w:szCs w:val="22"/>
      <w:lang w:val="en-US" w:eastAsia="zh-CN" w:bidi="ar-SA"/>
    </w:rPr>
  </w:style>
  <w:style w:type="character" w:default="1" w:styleId="16">
    <w:name w:val="Default Paragraph Font"/>
    <w:unhideWhenUsed/>
    <w:qFormat/>
    <w:uiPriority w:val="1"/>
  </w:style>
  <w:style w:type="table" w:default="1" w:styleId="14">
    <w:name w:val="Normal Table"/>
    <w:unhideWhenUsed/>
    <w:qFormat/>
    <w:uiPriority w:val="99"/>
    <w:tblPr>
      <w:tblStyle w:val="14"/>
      <w:tblCellMar>
        <w:top w:w="0" w:type="dxa"/>
        <w:left w:w="108" w:type="dxa"/>
        <w:bottom w:w="0" w:type="dxa"/>
        <w:right w:w="108" w:type="dxa"/>
      </w:tblCellMar>
    </w:tblPr>
  </w:style>
  <w:style w:type="paragraph" w:customStyle="1" w:styleId="2">
    <w:name w:val="Default"/>
    <w:basedOn w:val="3"/>
    <w:next w:val="4"/>
    <w:qFormat/>
    <w:uiPriority w:val="0"/>
    <w:pPr>
      <w:widowControl w:val="0"/>
      <w:autoSpaceDE w:val="0"/>
      <w:autoSpaceDN w:val="0"/>
      <w:adjustRightInd w:val="0"/>
    </w:pPr>
    <w:rPr>
      <w:rFonts w:ascii="宋体" w:cs="宋体"/>
      <w:color w:val="000000"/>
      <w:sz w:val="24"/>
      <w:szCs w:val="24"/>
      <w:lang w:val="en-US" w:eastAsia="zh-CN" w:bidi="ar-SA"/>
    </w:rPr>
  </w:style>
  <w:style w:type="paragraph" w:customStyle="1" w:styleId="3">
    <w:name w:val="纯文本1"/>
    <w:basedOn w:val="1"/>
    <w:qFormat/>
    <w:uiPriority w:val="0"/>
    <w:pPr>
      <w:textAlignment w:val="baseline"/>
    </w:pPr>
    <w:rPr>
      <w:rFonts w:hint="eastAsia" w:ascii="宋体" w:hAnsi="Courier New" w:eastAsia="宋体" w:cs="Times New Roman"/>
      <w:sz w:val="21"/>
      <w:szCs w:val="24"/>
    </w:rPr>
  </w:style>
  <w:style w:type="paragraph" w:customStyle="1" w:styleId="4">
    <w:name w:val="正文文字 6"/>
    <w:next w:val="1"/>
    <w:qFormat/>
    <w:uiPriority w:val="99"/>
    <w:pPr>
      <w:widowControl w:val="0"/>
      <w:ind w:left="240"/>
      <w:jc w:val="both"/>
    </w:pPr>
    <w:rPr>
      <w:rFonts w:ascii="宋体" w:hAnsi="Times New Roman" w:eastAsia="宋体" w:cs="Times New Roman"/>
      <w:b/>
      <w:bCs/>
      <w:kern w:val="2"/>
      <w:sz w:val="32"/>
      <w:szCs w:val="32"/>
      <w:lang w:val="en-US" w:eastAsia="zh-CN" w:bidi="ar-SA"/>
    </w:rPr>
  </w:style>
  <w:style w:type="paragraph" w:styleId="5">
    <w:name w:val="Normal Indent"/>
    <w:basedOn w:val="1"/>
    <w:next w:val="1"/>
    <w:qFormat/>
    <w:uiPriority w:val="99"/>
    <w:pPr>
      <w:ind w:firstLine="420" w:firstLineChars="200"/>
    </w:pPr>
    <w:rPr>
      <w:rFonts w:cs="Calibri"/>
      <w:szCs w:val="21"/>
    </w:rPr>
  </w:style>
  <w:style w:type="paragraph" w:styleId="6">
    <w:name w:val="Body Text"/>
    <w:basedOn w:val="1"/>
    <w:next w:val="7"/>
    <w:qFormat/>
    <w:uiPriority w:val="0"/>
    <w:pPr>
      <w:spacing w:after="120" w:afterLines="0" w:afterAutospacing="0"/>
    </w:pPr>
  </w:style>
  <w:style w:type="paragraph" w:styleId="7">
    <w:name w:val="Title"/>
    <w:basedOn w:val="1"/>
    <w:next w:val="1"/>
    <w:qFormat/>
    <w:uiPriority w:val="0"/>
    <w:pPr>
      <w:widowControl/>
      <w:spacing w:line="590" w:lineRule="exact"/>
      <w:jc w:val="center"/>
      <w:outlineLvl w:val="0"/>
    </w:pPr>
    <w:rPr>
      <w:rFonts w:ascii="Cambria" w:hAnsi="Cambria" w:eastAsia="方正黑体_GBK" w:cs="宋体"/>
      <w:kern w:val="0"/>
      <w:sz w:val="32"/>
      <w:szCs w:val="32"/>
    </w:rPr>
  </w:style>
  <w:style w:type="paragraph" w:styleId="8">
    <w:name w:val="Date"/>
    <w:basedOn w:val="1"/>
    <w:next w:val="1"/>
    <w:link w:val="19"/>
    <w:unhideWhenUsed/>
    <w:qFormat/>
    <w:uiPriority w:val="0"/>
    <w:pPr>
      <w:ind w:left="100" w:leftChars="2500"/>
    </w:pPr>
  </w:style>
  <w:style w:type="paragraph" w:styleId="9">
    <w:name w:val="Balloon Text"/>
    <w:basedOn w:val="1"/>
    <w:link w:val="20"/>
    <w:qFormat/>
    <w:uiPriority w:val="0"/>
    <w:rPr>
      <w:sz w:val="18"/>
      <w:szCs w:val="18"/>
    </w:rPr>
  </w:style>
  <w:style w:type="paragraph" w:styleId="10">
    <w:name w:val="footer"/>
    <w:basedOn w:val="1"/>
    <w:link w:val="21"/>
    <w:qFormat/>
    <w:uiPriority w:val="99"/>
    <w:pPr>
      <w:tabs>
        <w:tab w:val="center" w:pos="4153"/>
        <w:tab w:val="right" w:pos="8306"/>
      </w:tabs>
      <w:snapToGrid w:val="0"/>
      <w:jc w:val="left"/>
    </w:pPr>
    <w:rPr>
      <w:sz w:val="18"/>
      <w:szCs w:val="18"/>
    </w:rPr>
  </w:style>
  <w:style w:type="paragraph" w:styleId="11">
    <w:name w:val="header"/>
    <w:basedOn w:val="1"/>
    <w:link w:val="22"/>
    <w:qFormat/>
    <w:uiPriority w:val="99"/>
    <w:pPr>
      <w:pBdr>
        <w:bottom w:val="single" w:color="auto" w:sz="6" w:space="1"/>
      </w:pBdr>
      <w:tabs>
        <w:tab w:val="center" w:pos="4153"/>
        <w:tab w:val="right" w:pos="8306"/>
      </w:tabs>
      <w:snapToGrid w:val="0"/>
      <w:jc w:val="center"/>
    </w:pPr>
    <w:rPr>
      <w:sz w:val="18"/>
      <w:szCs w:val="18"/>
    </w:rPr>
  </w:style>
  <w:style w:type="paragraph" w:styleId="12">
    <w:name w:val="HTML Preformatted"/>
    <w:basedOn w:val="1"/>
    <w:unhideWhenUs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13">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table" w:styleId="15">
    <w:name w:val="Table Grid"/>
    <w:basedOn w:val="14"/>
    <w:qFormat/>
    <w:uiPriority w:val="59"/>
    <w:tblPr>
      <w:tblStyle w:val="14"/>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7">
    <w:name w:val="page number"/>
    <w:qFormat/>
    <w:uiPriority w:val="0"/>
  </w:style>
  <w:style w:type="character" w:styleId="18">
    <w:name w:val="annotation reference"/>
    <w:basedOn w:val="16"/>
    <w:qFormat/>
    <w:uiPriority w:val="0"/>
    <w:rPr>
      <w:sz w:val="21"/>
      <w:szCs w:val="21"/>
    </w:rPr>
  </w:style>
  <w:style w:type="character" w:customStyle="1" w:styleId="19">
    <w:name w:val="日期 Char"/>
    <w:link w:val="8"/>
    <w:semiHidden/>
    <w:qFormat/>
    <w:uiPriority w:val="0"/>
    <w:rPr>
      <w:kern w:val="2"/>
      <w:sz w:val="21"/>
      <w:szCs w:val="22"/>
    </w:rPr>
  </w:style>
  <w:style w:type="character" w:customStyle="1" w:styleId="20">
    <w:name w:val="批注框文本 Char"/>
    <w:link w:val="9"/>
    <w:qFormat/>
    <w:uiPriority w:val="0"/>
    <w:rPr>
      <w:kern w:val="2"/>
      <w:sz w:val="18"/>
      <w:szCs w:val="18"/>
    </w:rPr>
  </w:style>
  <w:style w:type="character" w:customStyle="1" w:styleId="21">
    <w:name w:val="页脚 Char"/>
    <w:link w:val="10"/>
    <w:qFormat/>
    <w:uiPriority w:val="99"/>
    <w:rPr>
      <w:kern w:val="2"/>
      <w:sz w:val="18"/>
      <w:szCs w:val="18"/>
    </w:rPr>
  </w:style>
  <w:style w:type="character" w:customStyle="1" w:styleId="22">
    <w:name w:val="页眉 Char"/>
    <w:link w:val="11"/>
    <w:qFormat/>
    <w:uiPriority w:val="99"/>
    <w:rPr>
      <w:kern w:val="2"/>
      <w:sz w:val="18"/>
      <w:szCs w:val="18"/>
    </w:rPr>
  </w:style>
  <w:style w:type="paragraph" w:customStyle="1" w:styleId="23">
    <w:name w:val="et7"/>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C7CE"/>
      <w:spacing w:before="100" w:beforeAutospacing="1" w:after="100" w:afterAutospacing="1"/>
      <w:jc w:val="center"/>
    </w:pPr>
    <w:rPr>
      <w:rFonts w:ascii="宋体" w:hAnsi="宋体" w:eastAsia="宋体" w:cs="宋体"/>
      <w:color w:val="9C0006"/>
      <w:kern w:val="0"/>
      <w:sz w:val="24"/>
      <w:szCs w:val="24"/>
    </w:rPr>
  </w:style>
  <w:style w:type="paragraph" w:customStyle="1" w:styleId="24">
    <w:name w:val="et2"/>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styleId="25">
    <w:name w:val="List Paragraph"/>
    <w:basedOn w:val="1"/>
    <w:qFormat/>
    <w:uiPriority w:val="99"/>
    <w:pPr>
      <w:ind w:firstLine="420" w:firstLineChars="200"/>
    </w:pPr>
  </w:style>
  <w:style w:type="paragraph" w:customStyle="1" w:styleId="26">
    <w:name w:val="et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kern w:val="0"/>
      <w:sz w:val="24"/>
      <w:szCs w:val="24"/>
    </w:rPr>
  </w:style>
  <w:style w:type="paragraph" w:customStyle="1" w:styleId="27">
    <w:name w:val="正文内容"/>
    <w:basedOn w:val="1"/>
    <w:qFormat/>
    <w:uiPriority w:val="0"/>
    <w:pPr>
      <w:keepNext w:val="0"/>
      <w:keepLines w:val="0"/>
      <w:widowControl/>
      <w:suppressLineNumbers w:val="0"/>
      <w:spacing w:before="0" w:beforeAutospacing="0" w:after="0" w:afterAutospacing="0" w:line="560" w:lineRule="exact"/>
      <w:ind w:left="0" w:right="0" w:firstLine="200"/>
      <w:jc w:val="both"/>
    </w:pPr>
    <w:rPr>
      <w:rFonts w:hint="default" w:ascii="Times New Roman" w:hAnsi="Times New Roman" w:eastAsia="宋体" w:cs="Times New Roman"/>
      <w:kern w:val="2"/>
      <w:sz w:val="21"/>
      <w:szCs w:val="22"/>
      <w:lang w:val="en-US" w:eastAsia="zh-CN" w:bidi="ar"/>
    </w:rPr>
  </w:style>
  <w:style w:type="paragraph" w:customStyle="1" w:styleId="28">
    <w:name w:val="et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kern w:val="0"/>
      <w:sz w:val="24"/>
      <w:szCs w:val="24"/>
    </w:rPr>
  </w:style>
  <w:style w:type="paragraph" w:customStyle="1" w:styleId="29">
    <w:name w:val="et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cs="宋体"/>
      <w:kern w:val="0"/>
      <w:sz w:val="24"/>
      <w:szCs w:val="24"/>
    </w:rPr>
  </w:style>
  <w:style w:type="paragraph" w:customStyle="1" w:styleId="30">
    <w:name w:val="et4"/>
    <w:basedOn w:val="1"/>
    <w:qFormat/>
    <w:uiPriority w:val="0"/>
    <w:pPr>
      <w:widowControl/>
      <w:pBdr>
        <w:top w:val="single" w:color="000000" w:sz="4" w:space="0"/>
        <w:left w:val="single" w:color="000000" w:sz="4" w:space="0"/>
        <w:bottom w:val="single" w:color="000000" w:sz="4" w:space="0"/>
        <w:right w:val="single" w:color="000000" w:sz="4" w:space="0"/>
      </w:pBdr>
      <w:shd w:val="clear" w:color="auto" w:fill="FFC000"/>
      <w:spacing w:before="100" w:beforeAutospacing="1" w:after="100" w:afterAutospacing="1"/>
      <w:jc w:val="center"/>
    </w:pPr>
    <w:rPr>
      <w:rFonts w:ascii="宋体" w:hAnsi="宋体" w:eastAsia="宋体" w:cs="宋体"/>
      <w:kern w:val="0"/>
      <w:sz w:val="24"/>
      <w:szCs w:val="24"/>
    </w:rPr>
  </w:style>
  <w:style w:type="paragraph" w:customStyle="1" w:styleId="31">
    <w:name w:val="Char Char Char Char Char Char1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2">
    <w:name w:val="正文1"/>
    <w:qFormat/>
    <w:uiPriority w:val="0"/>
    <w:pPr>
      <w:jc w:val="both"/>
    </w:pPr>
    <w:rPr>
      <w:rFonts w:cs="宋体"/>
      <w:kern w:val="2"/>
      <w:sz w:val="21"/>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Gxsti</Company>
  <Pages>6</Pages>
  <Words>3278</Words>
  <Characters>3348</Characters>
  <Lines>25</Lines>
  <Paragraphs>7</Paragraphs>
  <TotalTime>16</TotalTime>
  <ScaleCrop>false</ScaleCrop>
  <LinksUpToDate>false</LinksUpToDate>
  <CharactersWithSpaces>3372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2023-01-19T03:12:00Z</dcterms:created>
  <dc:creator>梁晖</dc:creator>
  <cp:lastModifiedBy>墨迹夏子</cp:lastModifiedBy>
  <cp:lastPrinted>2024-04-04T18:48:54Z</cp:lastPrinted>
  <dcterms:modified xsi:type="dcterms:W3CDTF">2025-03-26T10:56:21Z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DE20054813534A26B26CCA4D6554C7D9_13</vt:lpwstr>
  </property>
  <property fmtid="{D5CDD505-2E9C-101B-9397-08002B2CF9AE}" pid="4" name="KSOTemplateDocerSaveRecord">
    <vt:lpwstr>eyJoZGlkIjoiYzY5ZDFkYjAwZjNhYTM1NDBlZTczZjFiNGMyNzYxN2IiLCJ1c2VySWQiOiIzNjAwMjk3NDgifQ==</vt:lpwstr>
  </property>
</Properties>
</file>