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E97C20">
      <w:pPr>
        <w:ind w:firstLine="0" w:firstLineChars="0"/>
        <w:jc w:val="both"/>
        <w:rPr>
          <w:rFonts w:hint="eastAsia" w:ascii="黑体" w:hAnsi="黑体" w:eastAsia="黑体" w:cs="黑体"/>
          <w:color w:val="auto"/>
          <w:spacing w:val="0"/>
          <w:kern w:val="2"/>
          <w:sz w:val="32"/>
          <w:szCs w:val="32"/>
          <w:lang w:val="en-US" w:eastAsia="zh-CN" w:bidi="ar-SA"/>
        </w:rPr>
      </w:pPr>
      <w:r>
        <w:rPr>
          <w:rFonts w:hint="eastAsia" w:ascii="黑体" w:hAnsi="黑体" w:eastAsia="黑体" w:cs="黑体"/>
          <w:color w:val="auto"/>
          <w:spacing w:val="0"/>
          <w:kern w:val="2"/>
          <w:sz w:val="32"/>
          <w:szCs w:val="32"/>
          <w:lang w:val="en-US" w:eastAsia="zh-CN" w:bidi="ar-SA"/>
        </w:rPr>
        <w:t>附件</w:t>
      </w:r>
      <w:r>
        <w:rPr>
          <w:rFonts w:hint="default" w:ascii="Times New Roman" w:hAnsi="Times New Roman" w:eastAsia="黑体" w:cs="Times New Roman"/>
          <w:color w:val="auto"/>
          <w:spacing w:val="0"/>
          <w:kern w:val="2"/>
          <w:sz w:val="32"/>
          <w:szCs w:val="32"/>
          <w:lang w:val="en-US" w:eastAsia="zh-CN" w:bidi="ar-SA"/>
        </w:rPr>
        <w:t>1</w:t>
      </w:r>
    </w:p>
    <w:p w14:paraId="08F53CA7">
      <w:pPr>
        <w:pStyle w:val="2"/>
        <w:rPr>
          <w:rFonts w:hint="eastAsia"/>
        </w:rPr>
      </w:pPr>
    </w:p>
    <w:p w14:paraId="584532C0">
      <w:pPr>
        <w:ind w:firstLine="0" w:firstLineChars="0"/>
        <w:jc w:val="center"/>
        <w:rPr>
          <w:rFonts w:ascii="方正小标宋简体" w:hAnsi="方正小标宋简体" w:eastAsia="方正小标宋简体" w:cs="方正小标宋简体"/>
          <w:color w:val="auto"/>
          <w:sz w:val="40"/>
          <w:szCs w:val="40"/>
        </w:rPr>
      </w:pPr>
      <w:r>
        <w:rPr>
          <w:rFonts w:hint="eastAsia" w:ascii="方正小标宋简体" w:hAnsi="方正小标宋简体" w:eastAsia="方正小标宋简体" w:cs="方正小标宋简体"/>
          <w:color w:val="auto"/>
          <w:sz w:val="40"/>
          <w:szCs w:val="40"/>
        </w:rPr>
        <w:t>广西科技人才评价改革试点方案</w:t>
      </w:r>
    </w:p>
    <w:p w14:paraId="24C4345A">
      <w:pPr>
        <w:ind w:firstLine="0" w:firstLineChars="0"/>
        <w:jc w:val="center"/>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w:t>
      </w:r>
      <w:r>
        <w:rPr>
          <w:rFonts w:hint="eastAsia" w:ascii="楷体_GB2312" w:hAnsi="楷体_GB2312" w:eastAsia="楷体_GB2312" w:cs="楷体_GB2312"/>
          <w:color w:val="auto"/>
          <w:sz w:val="32"/>
          <w:szCs w:val="32"/>
          <w:lang w:val="en-US" w:eastAsia="zh-CN"/>
        </w:rPr>
        <w:t>征求意见</w:t>
      </w:r>
      <w:r>
        <w:rPr>
          <w:rFonts w:hint="eastAsia" w:ascii="楷体_GB2312" w:hAnsi="楷体_GB2312" w:eastAsia="楷体_GB2312" w:cs="楷体_GB2312"/>
          <w:color w:val="auto"/>
          <w:sz w:val="32"/>
          <w:szCs w:val="32"/>
        </w:rPr>
        <w:t>稿）</w:t>
      </w:r>
    </w:p>
    <w:p w14:paraId="0D5911D6">
      <w:pPr>
        <w:ind w:firstLine="0" w:firstLineChars="0"/>
        <w:rPr>
          <w:color w:val="auto"/>
        </w:rPr>
      </w:pPr>
    </w:p>
    <w:p w14:paraId="0D48E465">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u w:val="none" w:color="auto"/>
        </w:rPr>
      </w:pPr>
      <w:r>
        <w:rPr>
          <w:rFonts w:hint="eastAsia" w:ascii="仿宋_GB2312" w:hAnsi="仿宋_GB2312" w:eastAsia="仿宋_GB2312" w:cs="仿宋_GB2312"/>
          <w:color w:val="auto"/>
          <w:sz w:val="32"/>
          <w:szCs w:val="32"/>
          <w:u w:val="none" w:color="auto"/>
        </w:rPr>
        <w:t>为深入贯彻党的二十大和二十届二中、三中全会精神，全面落实中央关于健全科技人才评价体系的重要部署，加快实施人才强桂战略，参照《科技部等八部门印发〈关于开展</w:t>
      </w:r>
      <w:r>
        <w:rPr>
          <w:rFonts w:hint="default" w:ascii="Times New Roman" w:hAnsi="Times New Roman" w:eastAsia="仿宋_GB2312" w:cs="Times New Roman"/>
          <w:color w:val="auto"/>
          <w:sz w:val="32"/>
          <w:szCs w:val="32"/>
          <w:u w:val="none" w:color="auto"/>
        </w:rPr>
        <w:t>科技人才评价改革试点的工作方案〉的通知》（国科发才〔2022〕255号），结合广西实际，制定本试点方案。</w:t>
      </w:r>
    </w:p>
    <w:p w14:paraId="03E2BC2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u w:val="none" w:color="auto"/>
          <w:lang w:eastAsia="zh-CN"/>
        </w:rPr>
      </w:pPr>
      <w:r>
        <w:rPr>
          <w:rFonts w:hint="eastAsia" w:ascii="黑体" w:hAnsi="黑体" w:eastAsia="黑体" w:cs="黑体"/>
          <w:color w:val="auto"/>
          <w:sz w:val="32"/>
          <w:szCs w:val="32"/>
          <w:u w:val="none" w:color="auto"/>
        </w:rPr>
        <w:t>一、总体要求</w:t>
      </w:r>
    </w:p>
    <w:p w14:paraId="216EB1D6">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u w:val="none" w:color="auto"/>
        </w:rPr>
      </w:pPr>
      <w:r>
        <w:rPr>
          <w:rFonts w:hint="eastAsia" w:ascii="仿宋_GB2312" w:hAnsi="仿宋_GB2312" w:eastAsia="仿宋_GB2312" w:cs="仿宋_GB2312"/>
          <w:color w:val="auto"/>
          <w:sz w:val="32"/>
          <w:szCs w:val="32"/>
          <w:u w:val="none" w:color="auto"/>
        </w:rPr>
        <w:t>以习近平新时代中国特色社会主义思想为指导，全面贯彻习近平总书记关于做好新时代人才工作的重要思想和对广西工作论述的重要要求，坚持党对人才工作的全面领导，聚焦“四个面向”，围绕打造区域性人才集聚区和面向东盟的国际人才高地，深入实施新时代人才强桂战略，</w:t>
      </w:r>
      <w:r>
        <w:rPr>
          <w:rFonts w:hint="eastAsia" w:ascii="仿宋_GB2312" w:hAnsi="仿宋_GB2312" w:eastAsia="仿宋_GB2312" w:cs="仿宋_GB2312"/>
          <w:color w:val="auto"/>
          <w:sz w:val="32"/>
          <w:szCs w:val="32"/>
          <w:u w:val="none" w:color="auto"/>
          <w:lang w:val="en-US" w:eastAsia="zh-CN"/>
        </w:rPr>
        <w:t>按照问题导向、分类推进、使用牵引、协同实施的原则，</w:t>
      </w:r>
      <w:r>
        <w:rPr>
          <w:rFonts w:hint="eastAsia" w:ascii="仿宋_GB2312" w:hAnsi="仿宋_GB2312" w:eastAsia="仿宋_GB2312" w:cs="仿宋_GB2312"/>
          <w:color w:val="auto"/>
          <w:sz w:val="32"/>
          <w:szCs w:val="32"/>
          <w:u w:val="none" w:color="auto"/>
        </w:rPr>
        <w:t>创新科技人才评价机制，以“评什么、谁来评、怎么评、怎么用”为着力点，以“破四唯”和“立新标”为突破口，以深化改革和政策协同为保障，加快建立以创新</w:t>
      </w:r>
      <w:r>
        <w:rPr>
          <w:rFonts w:hint="eastAsia" w:ascii="仿宋_GB2312" w:hAnsi="仿宋_GB2312" w:eastAsia="仿宋_GB2312" w:cs="仿宋_GB2312"/>
          <w:color w:val="auto"/>
          <w:sz w:val="32"/>
          <w:szCs w:val="32"/>
          <w:u w:val="none" w:color="auto"/>
          <w:lang w:val="en-US" w:eastAsia="zh-CN"/>
        </w:rPr>
        <w:t>价值、</w:t>
      </w:r>
      <w:r>
        <w:rPr>
          <w:rFonts w:hint="eastAsia" w:ascii="仿宋_GB2312" w:hAnsi="仿宋_GB2312" w:eastAsia="仿宋_GB2312" w:cs="仿宋_GB2312"/>
          <w:color w:val="auto"/>
          <w:sz w:val="32"/>
          <w:szCs w:val="32"/>
          <w:u w:val="none" w:color="auto"/>
        </w:rPr>
        <w:t>能力、贡献为导向的科技人才评价体系，有效激发科技人才创新活力，为加快建设高水平创新型广西提供有力人才支撑。</w:t>
      </w:r>
    </w:p>
    <w:p w14:paraId="38098836">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u w:val="none" w:color="auto"/>
        </w:rPr>
      </w:pPr>
      <w:r>
        <w:rPr>
          <w:rFonts w:hint="eastAsia" w:ascii="黑体" w:hAnsi="黑体" w:eastAsia="黑体" w:cs="黑体"/>
          <w:color w:val="auto"/>
          <w:sz w:val="32"/>
          <w:szCs w:val="32"/>
          <w:u w:val="none" w:color="auto"/>
          <w:lang w:val="en-US" w:eastAsia="zh-CN"/>
        </w:rPr>
        <w:t>二</w:t>
      </w:r>
      <w:r>
        <w:rPr>
          <w:rFonts w:hint="eastAsia" w:ascii="黑体" w:hAnsi="黑体" w:eastAsia="黑体" w:cs="黑体"/>
          <w:color w:val="auto"/>
          <w:sz w:val="32"/>
          <w:szCs w:val="32"/>
          <w:u w:val="none" w:color="auto"/>
        </w:rPr>
        <w:t>、试点任务</w:t>
      </w:r>
    </w:p>
    <w:p w14:paraId="6251C7A0">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u w:val="none" w:color="auto"/>
          <w:lang w:val="en-US" w:eastAsia="zh-CN"/>
        </w:rPr>
      </w:pPr>
      <w:r>
        <w:rPr>
          <w:rFonts w:hint="eastAsia" w:ascii="仿宋_GB2312" w:hAnsi="仿宋_GB2312" w:eastAsia="仿宋_GB2312" w:cs="仿宋_GB2312"/>
          <w:color w:val="auto"/>
          <w:sz w:val="32"/>
          <w:szCs w:val="32"/>
          <w:u w:val="none" w:color="auto"/>
          <w:lang w:val="en-US" w:eastAsia="zh-CN"/>
        </w:rPr>
        <w:t>强化政治引领，</w:t>
      </w:r>
      <w:r>
        <w:rPr>
          <w:rFonts w:hint="eastAsia" w:ascii="仿宋_GB2312" w:hAnsi="仿宋_GB2312" w:eastAsia="仿宋_GB2312" w:cs="仿宋_GB2312"/>
          <w:color w:val="auto"/>
          <w:sz w:val="32"/>
          <w:szCs w:val="32"/>
          <w:u w:val="none" w:color="auto"/>
          <w:lang w:eastAsia="zh-CN"/>
        </w:rPr>
        <w:t>坚持德才兼备，把</w:t>
      </w:r>
      <w:r>
        <w:rPr>
          <w:rFonts w:hint="eastAsia" w:ascii="仿宋_GB2312" w:hAnsi="仿宋_GB2312" w:eastAsia="仿宋_GB2312" w:cs="仿宋_GB2312"/>
          <w:color w:val="auto"/>
          <w:sz w:val="32"/>
          <w:szCs w:val="32"/>
          <w:u w:val="none" w:color="auto"/>
          <w:lang w:val="en-US" w:eastAsia="zh-CN"/>
        </w:rPr>
        <w:t>思想政治素养和</w:t>
      </w:r>
      <w:r>
        <w:rPr>
          <w:rFonts w:hint="eastAsia" w:ascii="仿宋_GB2312" w:hAnsi="仿宋_GB2312" w:eastAsia="仿宋_GB2312" w:cs="仿宋_GB2312"/>
          <w:color w:val="auto"/>
          <w:sz w:val="32"/>
          <w:szCs w:val="32"/>
          <w:u w:val="none" w:color="auto"/>
          <w:lang w:eastAsia="zh-CN"/>
        </w:rPr>
        <w:t>品德作为科技人才评价的首要内容，在加强对科技人才科学精神、学术道德等评价的基础上，按照承担自治区</w:t>
      </w:r>
      <w:r>
        <w:rPr>
          <w:rFonts w:hint="eastAsia" w:ascii="仿宋_GB2312" w:hAnsi="仿宋_GB2312" w:eastAsia="仿宋_GB2312" w:cs="仿宋_GB2312"/>
          <w:color w:val="auto"/>
          <w:sz w:val="32"/>
          <w:szCs w:val="32"/>
          <w:u w:val="none" w:color="auto"/>
          <w:lang w:val="en-US" w:eastAsia="zh-CN"/>
        </w:rPr>
        <w:t>级以上</w:t>
      </w:r>
      <w:r>
        <w:rPr>
          <w:rFonts w:hint="eastAsia" w:ascii="仿宋_GB2312" w:hAnsi="仿宋_GB2312" w:eastAsia="仿宋_GB2312" w:cs="仿宋_GB2312"/>
          <w:color w:val="auto"/>
          <w:sz w:val="32"/>
          <w:szCs w:val="32"/>
          <w:u w:val="none" w:color="auto"/>
          <w:lang w:eastAsia="zh-CN"/>
        </w:rPr>
        <w:t>重大攻关任务、基础研究、应用研究和技术开发、社会公益研究等</w:t>
      </w:r>
      <w:r>
        <w:rPr>
          <w:rFonts w:hint="eastAsia" w:ascii="仿宋_GB2312" w:hAnsi="仿宋_GB2312" w:eastAsia="仿宋_GB2312" w:cs="仿宋_GB2312"/>
          <w:color w:val="auto"/>
          <w:sz w:val="32"/>
          <w:szCs w:val="32"/>
          <w:u w:val="none" w:color="auto"/>
          <w:lang w:val="en-US" w:eastAsia="zh-CN"/>
        </w:rPr>
        <w:t>不同类型人才</w:t>
      </w:r>
      <w:r>
        <w:rPr>
          <w:rFonts w:hint="eastAsia" w:ascii="仿宋_GB2312" w:hAnsi="仿宋_GB2312" w:eastAsia="仿宋_GB2312" w:cs="仿宋_GB2312"/>
          <w:color w:val="auto"/>
          <w:sz w:val="32"/>
          <w:szCs w:val="32"/>
          <w:u w:val="none" w:color="auto"/>
          <w:lang w:eastAsia="zh-CN"/>
        </w:rPr>
        <w:t>，</w:t>
      </w:r>
      <w:r>
        <w:rPr>
          <w:rFonts w:hint="eastAsia" w:ascii="仿宋_GB2312" w:hAnsi="仿宋_GB2312" w:eastAsia="仿宋_GB2312" w:cs="仿宋_GB2312"/>
          <w:color w:val="auto"/>
          <w:sz w:val="32"/>
          <w:szCs w:val="32"/>
          <w:u w:val="none" w:color="auto"/>
          <w:lang w:val="en-US" w:eastAsia="zh-CN"/>
        </w:rPr>
        <w:t>从高校、科研院所、医疗机构和企业中遴选一批具有较好工作基础和代表性的单位，分类开展为期2年的改革试点，探索建立符合不同创新活动类型的人才评价体系，形成一批可借鉴、可复制推广的改革经验和制度成果。</w:t>
      </w:r>
    </w:p>
    <w:p w14:paraId="5BB82C83">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val="en-US" w:eastAsia="zh-CN"/>
        </w:rPr>
      </w:pPr>
      <w:r>
        <w:rPr>
          <w:rFonts w:hint="eastAsia" w:ascii="楷体_GB2312" w:hAnsi="楷体_GB2312" w:eastAsia="楷体_GB2312" w:cs="楷体_GB2312"/>
          <w:b/>
          <w:bCs/>
          <w:color w:val="auto"/>
          <w:sz w:val="32"/>
          <w:szCs w:val="32"/>
          <w:u w:val="none" w:color="auto"/>
        </w:rPr>
        <w:t>（一）承担自治区</w:t>
      </w:r>
      <w:r>
        <w:rPr>
          <w:rFonts w:hint="eastAsia" w:ascii="楷体_GB2312" w:hAnsi="楷体_GB2312" w:eastAsia="楷体_GB2312" w:cs="楷体_GB2312"/>
          <w:b/>
          <w:bCs/>
          <w:color w:val="auto"/>
          <w:sz w:val="32"/>
          <w:szCs w:val="32"/>
          <w:u w:val="none" w:color="auto"/>
          <w:lang w:val="en-US" w:eastAsia="zh-CN"/>
        </w:rPr>
        <w:t>级以上</w:t>
      </w:r>
      <w:r>
        <w:rPr>
          <w:rFonts w:hint="eastAsia" w:ascii="楷体_GB2312" w:hAnsi="楷体_GB2312" w:eastAsia="楷体_GB2312" w:cs="楷体_GB2312"/>
          <w:b/>
          <w:bCs/>
          <w:color w:val="auto"/>
          <w:sz w:val="32"/>
          <w:szCs w:val="32"/>
          <w:u w:val="none" w:color="auto"/>
        </w:rPr>
        <w:t>重大攻关任务类人才</w:t>
      </w:r>
      <w:r>
        <w:rPr>
          <w:rFonts w:hint="eastAsia" w:ascii="楷体_GB2312" w:hAnsi="楷体_GB2312" w:eastAsia="楷体_GB2312" w:cs="楷体_GB2312"/>
          <w:b/>
          <w:bCs/>
          <w:color w:val="auto"/>
          <w:sz w:val="32"/>
          <w:szCs w:val="32"/>
          <w:u w:val="none" w:color="auto"/>
          <w:lang w:val="en-US" w:eastAsia="zh-CN"/>
        </w:rPr>
        <w:t>评价</w:t>
      </w:r>
    </w:p>
    <w:p w14:paraId="2B3557C1">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 xml:space="preserve">1. </w:t>
      </w:r>
      <w:r>
        <w:rPr>
          <w:rFonts w:hint="default" w:ascii="Times New Roman" w:hAnsi="Times New Roman" w:eastAsia="仿宋_GB2312" w:cs="Times New Roman"/>
          <w:b/>
          <w:bCs/>
          <w:color w:val="auto"/>
          <w:sz w:val="32"/>
          <w:szCs w:val="32"/>
          <w:u w:val="none" w:color="auto"/>
        </w:rPr>
        <w:t>分类标准</w:t>
      </w:r>
      <w:r>
        <w:rPr>
          <w:rFonts w:hint="default" w:ascii="Times New Roman" w:hAnsi="Times New Roman" w:eastAsia="仿宋_GB2312" w:cs="Times New Roman"/>
          <w:b/>
          <w:bCs/>
          <w:color w:val="auto"/>
          <w:sz w:val="32"/>
          <w:szCs w:val="32"/>
          <w:u w:val="none" w:color="auto"/>
          <w:lang w:eastAsia="zh-CN"/>
        </w:rPr>
        <w:t>。</w:t>
      </w:r>
      <w:r>
        <w:rPr>
          <w:rFonts w:hint="default" w:ascii="Times New Roman" w:hAnsi="Times New Roman" w:eastAsia="仿宋_GB2312" w:cs="Times New Roman"/>
          <w:b w:val="0"/>
          <w:bCs w:val="0"/>
          <w:color w:val="auto"/>
          <w:sz w:val="32"/>
          <w:szCs w:val="32"/>
          <w:u w:val="none" w:color="auto"/>
          <w:lang w:eastAsia="zh-CN"/>
        </w:rPr>
        <w:t>承担自治区级以上重大攻关任务类人才</w:t>
      </w:r>
      <w:r>
        <w:rPr>
          <w:rFonts w:hint="default" w:ascii="Times New Roman" w:hAnsi="Times New Roman" w:eastAsia="仿宋_GB2312" w:cs="Times New Roman"/>
          <w:b w:val="0"/>
          <w:bCs w:val="0"/>
          <w:color w:val="auto"/>
          <w:sz w:val="32"/>
          <w:szCs w:val="32"/>
          <w:u w:val="none" w:color="auto"/>
          <w:lang w:val="en-US" w:eastAsia="zh-CN"/>
        </w:rPr>
        <w:t>是指主要服务于国家和自治区重大战略需求，承担自治区级以上重大攻关任务、国家重大科技基础设施建设任务，国家和自治区重大科技创新平台基地建设任务</w:t>
      </w:r>
      <w:r>
        <w:rPr>
          <w:rFonts w:hint="default" w:ascii="Times New Roman" w:hAnsi="Times New Roman" w:eastAsia="仿宋_GB2312" w:cs="Times New Roman"/>
          <w:color w:val="auto"/>
          <w:sz w:val="32"/>
          <w:szCs w:val="32"/>
          <w:u w:val="none" w:color="auto"/>
        </w:rPr>
        <w:t>、国际科技创新合作任务</w:t>
      </w:r>
      <w:r>
        <w:rPr>
          <w:rFonts w:hint="default" w:ascii="Times New Roman" w:hAnsi="Times New Roman" w:eastAsia="仿宋_GB2312" w:cs="Times New Roman"/>
          <w:b w:val="0"/>
          <w:bCs w:val="0"/>
          <w:color w:val="auto"/>
          <w:sz w:val="32"/>
          <w:szCs w:val="32"/>
          <w:u w:val="none" w:color="auto"/>
          <w:lang w:val="en-US" w:eastAsia="zh-CN"/>
        </w:rPr>
        <w:t>，致力于解决国家安全、关键核心技术、经济社会发展重大问题、推动自治区科研力量融入全球创新网络的人才。</w:t>
      </w:r>
    </w:p>
    <w:p w14:paraId="562CB9A1">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2.</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评价导向。</w:t>
      </w:r>
      <w:r>
        <w:rPr>
          <w:rFonts w:hint="default" w:ascii="Times New Roman" w:hAnsi="Times New Roman" w:eastAsia="仿宋_GB2312" w:cs="Times New Roman"/>
          <w:b w:val="0"/>
          <w:bCs w:val="0"/>
          <w:color w:val="auto"/>
          <w:sz w:val="32"/>
          <w:szCs w:val="32"/>
          <w:u w:val="none" w:color="auto"/>
          <w:lang w:val="en-US" w:eastAsia="zh-CN"/>
        </w:rPr>
        <w:t>突出支撑重大战略需求导向，建立体现支撑国家安全、突破关键核心技术、解决经济社会发展重大问题的实际贡献和创新价值的评价指标</w:t>
      </w:r>
      <w:r>
        <w:rPr>
          <w:rFonts w:hint="eastAsia" w:ascii="仿宋_GB2312" w:hAnsi="仿宋_GB2312" w:eastAsia="仿宋_GB2312" w:cs="仿宋_GB2312"/>
          <w:b w:val="0"/>
          <w:bCs w:val="0"/>
          <w:color w:val="auto"/>
          <w:sz w:val="32"/>
          <w:szCs w:val="32"/>
          <w:u w:val="none" w:color="auto"/>
          <w:lang w:val="en-US" w:eastAsia="zh-CN"/>
        </w:rPr>
        <w:t>，重点评价国家和自治区重大科研任务完成情况。将人才承担国家和自治区重大攻关项目的层级、在项目中承担的任务角色、科研任务取得的突破性成果、科研攻关组织能力、科研成果水平和应用实效等作为重要评价内容。</w:t>
      </w:r>
    </w:p>
    <w:p w14:paraId="35849125">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 xml:space="preserve">3. </w:t>
      </w:r>
      <w:r>
        <w:rPr>
          <w:rFonts w:hint="eastAsia" w:ascii="仿宋_GB2312" w:hAnsi="仿宋_GB2312" w:eastAsia="仿宋_GB2312" w:cs="仿宋_GB2312"/>
          <w:b/>
          <w:bCs/>
          <w:color w:val="auto"/>
          <w:sz w:val="32"/>
          <w:szCs w:val="32"/>
          <w:u w:val="none" w:color="auto"/>
          <w:lang w:val="en-US" w:eastAsia="zh-CN"/>
        </w:rPr>
        <w:t>评价方式。</w:t>
      </w:r>
      <w:r>
        <w:rPr>
          <w:rFonts w:hint="eastAsia" w:ascii="仿宋_GB2312" w:hAnsi="仿宋_GB2312" w:eastAsia="仿宋_GB2312" w:cs="仿宋_GB2312"/>
          <w:color w:val="auto"/>
          <w:sz w:val="32"/>
          <w:szCs w:val="32"/>
          <w:u w:val="none" w:color="auto"/>
        </w:rPr>
        <w:t>完善科研任务</w:t>
      </w:r>
      <w:r>
        <w:rPr>
          <w:rFonts w:hint="eastAsia" w:ascii="仿宋_GB2312" w:hAnsi="仿宋_GB2312" w:eastAsia="仿宋_GB2312" w:cs="仿宋_GB2312"/>
          <w:color w:val="auto"/>
          <w:sz w:val="32"/>
          <w:szCs w:val="32"/>
          <w:u w:val="none" w:color="auto"/>
          <w:lang w:val="en-US" w:eastAsia="zh-CN"/>
        </w:rPr>
        <w:t>用户</w:t>
      </w:r>
      <w:r>
        <w:rPr>
          <w:rFonts w:hint="eastAsia" w:ascii="仿宋_GB2312" w:hAnsi="仿宋_GB2312" w:eastAsia="仿宋_GB2312" w:cs="仿宋_GB2312"/>
          <w:color w:val="auto"/>
          <w:sz w:val="32"/>
          <w:szCs w:val="32"/>
          <w:u w:val="none" w:color="auto"/>
        </w:rPr>
        <w:t>导向的评价方式，坚持“谁委托谁评价”“谁使用谁评价”，充分听取任务委托方、成果采用方的</w:t>
      </w:r>
      <w:bookmarkStart w:id="0" w:name="_GoBack"/>
      <w:bookmarkEnd w:id="0"/>
      <w:r>
        <w:rPr>
          <w:rFonts w:hint="eastAsia" w:ascii="仿宋_GB2312" w:hAnsi="仿宋_GB2312" w:eastAsia="仿宋_GB2312" w:cs="仿宋_GB2312"/>
          <w:color w:val="auto"/>
          <w:sz w:val="32"/>
          <w:szCs w:val="32"/>
          <w:u w:val="none" w:color="auto"/>
        </w:rPr>
        <w:t>意见。注重个人评价与团队评价相结合</w:t>
      </w:r>
      <w:r>
        <w:rPr>
          <w:rFonts w:hint="eastAsia" w:ascii="仿宋_GB2312" w:hAnsi="仿宋_GB2312" w:eastAsia="仿宋_GB2312" w:cs="仿宋_GB2312"/>
          <w:color w:val="auto"/>
          <w:sz w:val="32"/>
          <w:szCs w:val="32"/>
          <w:u w:val="none" w:color="auto"/>
          <w:lang w:eastAsia="zh-CN"/>
        </w:rPr>
        <w:t>，尊重和认可团队所有参与者的实际贡献</w:t>
      </w:r>
      <w:r>
        <w:rPr>
          <w:rFonts w:hint="eastAsia" w:ascii="仿宋_GB2312" w:hAnsi="仿宋_GB2312" w:eastAsia="仿宋_GB2312" w:cs="仿宋_GB2312"/>
          <w:color w:val="auto"/>
          <w:sz w:val="32"/>
          <w:szCs w:val="32"/>
          <w:u w:val="none" w:color="auto"/>
        </w:rPr>
        <w:t>。探索开展关键核心技术集成攻关评价，突出实际贡献、标志性成果、自主创新和人才培养等情况。</w:t>
      </w:r>
    </w:p>
    <w:p w14:paraId="6ADD8A58">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4</w:t>
      </w:r>
      <w:r>
        <w:rPr>
          <w:rFonts w:hint="eastAsia" w:ascii="仿宋_GB2312" w:hAnsi="仿宋_GB2312" w:eastAsia="仿宋_GB2312" w:cs="仿宋_GB2312"/>
          <w:b/>
          <w:bCs/>
          <w:color w:val="auto"/>
          <w:sz w:val="32"/>
          <w:szCs w:val="32"/>
          <w:u w:val="none" w:color="auto"/>
          <w:lang w:val="en-US" w:eastAsia="zh-CN"/>
        </w:rPr>
        <w:t>. 评价结果应用。</w:t>
      </w:r>
      <w:r>
        <w:rPr>
          <w:rFonts w:hint="eastAsia" w:ascii="仿宋_GB2312" w:hAnsi="仿宋_GB2312" w:eastAsia="仿宋_GB2312" w:cs="仿宋_GB2312"/>
          <w:b w:val="0"/>
          <w:bCs w:val="0"/>
          <w:color w:val="auto"/>
          <w:sz w:val="32"/>
          <w:szCs w:val="32"/>
          <w:u w:val="none" w:color="auto"/>
          <w:lang w:val="en-US" w:eastAsia="zh-CN"/>
        </w:rPr>
        <w:t>对承担自治区级以上重大攻关任务、国家重大科技基础设施建设任务、国家和自治区重大科技创新平台基地建设任务、国际科技创新合作任务等并作出重要贡献的科研人员，在岗位聘用、职称评审、绩效考核、绩效工资、表彰奖励、科研经费资助和团队建设等方面，加大倾斜支持力度。探索建立关键核心技术攻关特设岗位，对领军人才实行人才梯队配套、科研条件配套、管理机制配套等特殊支持政策。</w:t>
      </w:r>
    </w:p>
    <w:p w14:paraId="2ACA6381">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val="en-US" w:eastAsia="zh-CN"/>
        </w:rPr>
      </w:pPr>
      <w:r>
        <w:rPr>
          <w:rFonts w:hint="eastAsia" w:ascii="楷体_GB2312" w:hAnsi="楷体_GB2312" w:eastAsia="楷体_GB2312" w:cs="楷体_GB2312"/>
          <w:b/>
          <w:bCs/>
          <w:color w:val="auto"/>
          <w:sz w:val="32"/>
          <w:szCs w:val="32"/>
          <w:u w:val="none" w:color="auto"/>
        </w:rPr>
        <w:t>（</w:t>
      </w:r>
      <w:r>
        <w:rPr>
          <w:rFonts w:hint="eastAsia" w:ascii="楷体_GB2312" w:hAnsi="楷体_GB2312" w:eastAsia="楷体_GB2312" w:cs="楷体_GB2312"/>
          <w:b/>
          <w:bCs/>
          <w:color w:val="auto"/>
          <w:sz w:val="32"/>
          <w:szCs w:val="32"/>
          <w:u w:val="none" w:color="auto"/>
          <w:lang w:val="en-US" w:eastAsia="zh-CN"/>
        </w:rPr>
        <w:t>二</w:t>
      </w:r>
      <w:r>
        <w:rPr>
          <w:rFonts w:hint="eastAsia" w:ascii="楷体_GB2312" w:hAnsi="楷体_GB2312" w:eastAsia="楷体_GB2312" w:cs="楷体_GB2312"/>
          <w:b/>
          <w:bCs/>
          <w:color w:val="auto"/>
          <w:sz w:val="32"/>
          <w:szCs w:val="32"/>
          <w:u w:val="none" w:color="auto"/>
        </w:rPr>
        <w:t>）</w:t>
      </w:r>
      <w:r>
        <w:rPr>
          <w:rFonts w:hint="eastAsia" w:ascii="楷体_GB2312" w:hAnsi="楷体_GB2312" w:eastAsia="楷体_GB2312" w:cs="楷体_GB2312"/>
          <w:b/>
          <w:bCs/>
          <w:color w:val="auto"/>
          <w:sz w:val="32"/>
          <w:szCs w:val="32"/>
          <w:u w:val="none" w:color="auto"/>
          <w:lang w:val="en-US" w:eastAsia="zh-CN"/>
        </w:rPr>
        <w:t>基础研究</w:t>
      </w:r>
      <w:r>
        <w:rPr>
          <w:rFonts w:hint="eastAsia" w:ascii="楷体_GB2312" w:hAnsi="楷体_GB2312" w:eastAsia="楷体_GB2312" w:cs="楷体_GB2312"/>
          <w:b/>
          <w:bCs/>
          <w:color w:val="auto"/>
          <w:sz w:val="32"/>
          <w:szCs w:val="32"/>
          <w:u w:val="none" w:color="auto"/>
        </w:rPr>
        <w:t>类人才</w:t>
      </w:r>
      <w:r>
        <w:rPr>
          <w:rFonts w:hint="eastAsia" w:ascii="楷体_GB2312" w:hAnsi="楷体_GB2312" w:eastAsia="楷体_GB2312" w:cs="楷体_GB2312"/>
          <w:b/>
          <w:bCs/>
          <w:color w:val="auto"/>
          <w:sz w:val="32"/>
          <w:szCs w:val="32"/>
          <w:u w:val="none" w:color="auto"/>
          <w:lang w:val="en-US" w:eastAsia="zh-CN"/>
        </w:rPr>
        <w:t>评价</w:t>
      </w:r>
    </w:p>
    <w:p w14:paraId="03D7086C">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1.</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rPr>
        <w:t>分类标准</w:t>
      </w:r>
      <w:r>
        <w:rPr>
          <w:rFonts w:hint="default" w:ascii="Times New Roman" w:hAnsi="Times New Roman" w:eastAsia="仿宋_GB2312" w:cs="Times New Roman"/>
          <w:b/>
          <w:bCs/>
          <w:color w:val="auto"/>
          <w:sz w:val="32"/>
          <w:szCs w:val="32"/>
          <w:u w:val="none" w:color="auto"/>
          <w:lang w:eastAsia="zh-CN"/>
        </w:rPr>
        <w:t>。</w:t>
      </w:r>
      <w:r>
        <w:rPr>
          <w:rFonts w:hint="default" w:ascii="Times New Roman" w:hAnsi="Times New Roman" w:eastAsia="仿宋_GB2312" w:cs="Times New Roman"/>
          <w:b w:val="0"/>
          <w:bCs w:val="0"/>
          <w:color w:val="auto"/>
          <w:sz w:val="32"/>
          <w:szCs w:val="32"/>
          <w:u w:val="none" w:color="auto"/>
          <w:lang w:eastAsia="zh-CN"/>
        </w:rPr>
        <w:t>基础研究类人才是指主要从事基础科学或应用基础科学的学术研究，承担发现自然界物质运动规律，揭示自然现象内在联系和客观规律，获取新原理、新知识和新方法，推动原始创新和知识创新，以及为推动科学进步和创新发展积累知识和数据的人才。</w:t>
      </w:r>
    </w:p>
    <w:p w14:paraId="5A6E0B6B">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2.</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评价导向。</w:t>
      </w:r>
      <w:r>
        <w:rPr>
          <w:rFonts w:hint="default" w:ascii="Times New Roman" w:hAnsi="Times New Roman" w:eastAsia="仿宋_GB2312" w:cs="Times New Roman"/>
          <w:b w:val="0"/>
          <w:bCs w:val="0"/>
          <w:color w:val="auto"/>
          <w:sz w:val="32"/>
          <w:szCs w:val="32"/>
          <w:u w:val="none" w:color="auto"/>
          <w:lang w:val="en-US" w:eastAsia="zh-CN"/>
        </w:rPr>
        <w:t>突出学术贡献和创新价值导向，</w:t>
      </w:r>
      <w:r>
        <w:rPr>
          <w:rFonts w:hint="default" w:ascii="Times New Roman" w:hAnsi="Times New Roman" w:eastAsia="仿宋_GB2312" w:cs="Times New Roman"/>
          <w:color w:val="auto"/>
          <w:sz w:val="32"/>
          <w:szCs w:val="32"/>
          <w:u w:val="none" w:color="auto"/>
        </w:rPr>
        <w:t>实行以原创成果和高质量论文为标志的代表作评价，建立体现重大原创性贡献、国家战略需求、国际学术前沿及学科特点、学术影响力和研究能力等的人才评价指标。破除“唯论文”数量倾向，不把论文数量、影响因子高低等相关指标作为量化考核评价指标</w:t>
      </w:r>
      <w:r>
        <w:rPr>
          <w:rFonts w:hint="default" w:ascii="Times New Roman" w:hAnsi="Times New Roman" w:eastAsia="仿宋_GB2312" w:cs="Times New Roman"/>
          <w:color w:val="auto"/>
          <w:sz w:val="32"/>
          <w:szCs w:val="32"/>
          <w:u w:val="none" w:color="auto"/>
          <w:lang w:eastAsia="zh-CN"/>
        </w:rPr>
        <w:t>，鼓励科研人员把高质量论文更多发表在国内科技期刊上</w:t>
      </w:r>
      <w:r>
        <w:rPr>
          <w:rFonts w:hint="default" w:ascii="Times New Roman" w:hAnsi="Times New Roman" w:eastAsia="仿宋_GB2312" w:cs="Times New Roman"/>
          <w:color w:val="auto"/>
          <w:sz w:val="32"/>
          <w:szCs w:val="32"/>
          <w:u w:val="none" w:color="auto"/>
        </w:rPr>
        <w:t>。</w:t>
      </w:r>
    </w:p>
    <w:p w14:paraId="330FEC8D">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3.</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评价方式。</w:t>
      </w:r>
      <w:r>
        <w:rPr>
          <w:rFonts w:hint="default" w:ascii="Times New Roman" w:hAnsi="Times New Roman" w:eastAsia="仿宋_GB2312" w:cs="Times New Roman"/>
          <w:b w:val="0"/>
          <w:bCs w:val="0"/>
          <w:color w:val="auto"/>
          <w:sz w:val="32"/>
          <w:szCs w:val="32"/>
          <w:u w:val="none" w:color="auto"/>
          <w:lang w:val="en-US" w:eastAsia="zh-CN"/>
        </w:rPr>
        <w:t>按照学科特点和任务性质，科学确定评价周期，着力探索低频次、长周期的考核机制。</w:t>
      </w:r>
      <w:r>
        <w:rPr>
          <w:rFonts w:hint="default" w:ascii="Times New Roman" w:hAnsi="Times New Roman" w:eastAsia="仿宋_GB2312" w:cs="Times New Roman"/>
          <w:color w:val="auto"/>
          <w:sz w:val="32"/>
          <w:szCs w:val="32"/>
          <w:u w:val="none" w:color="auto"/>
        </w:rPr>
        <w:t>探索建立同行评</w:t>
      </w:r>
      <w:r>
        <w:rPr>
          <w:rFonts w:hint="default" w:ascii="Times New Roman" w:hAnsi="Times New Roman" w:eastAsia="仿宋_GB2312" w:cs="Times New Roman"/>
          <w:color w:val="auto"/>
          <w:sz w:val="32"/>
          <w:szCs w:val="32"/>
          <w:u w:val="none" w:color="auto"/>
          <w:lang w:val="en-US" w:eastAsia="zh-CN"/>
        </w:rPr>
        <w:t>价</w:t>
      </w:r>
      <w:r>
        <w:rPr>
          <w:rFonts w:hint="default" w:ascii="Times New Roman" w:hAnsi="Times New Roman" w:eastAsia="仿宋_GB2312" w:cs="Times New Roman"/>
          <w:color w:val="auto"/>
          <w:sz w:val="32"/>
          <w:szCs w:val="32"/>
          <w:u w:val="none" w:color="auto"/>
        </w:rPr>
        <w:t>的责任机制，在专家选用、动态管理、信用记录、责任追究等方面建立相关制度，规范同行评价的方式和程序、评价意见反馈等行为。探索引入学术团体等第三方评价</w:t>
      </w:r>
      <w:r>
        <w:rPr>
          <w:rFonts w:hint="default" w:ascii="Times New Roman" w:hAnsi="Times New Roman" w:eastAsia="仿宋_GB2312" w:cs="Times New Roman"/>
          <w:color w:val="auto"/>
          <w:sz w:val="32"/>
          <w:szCs w:val="32"/>
          <w:u w:val="none" w:color="auto"/>
          <w:lang w:eastAsia="zh-CN"/>
        </w:rPr>
        <w:t>、</w:t>
      </w:r>
      <w:r>
        <w:rPr>
          <w:rFonts w:hint="default" w:ascii="Times New Roman" w:hAnsi="Times New Roman" w:eastAsia="仿宋_GB2312" w:cs="Times New Roman"/>
          <w:color w:val="auto"/>
          <w:sz w:val="32"/>
          <w:szCs w:val="32"/>
          <w:u w:val="none" w:color="auto"/>
        </w:rPr>
        <w:t>同行评价</w:t>
      </w:r>
      <w:r>
        <w:rPr>
          <w:rFonts w:hint="default" w:ascii="Times New Roman" w:hAnsi="Times New Roman" w:eastAsia="仿宋_GB2312" w:cs="Times New Roman"/>
          <w:color w:val="auto"/>
          <w:sz w:val="32"/>
          <w:szCs w:val="32"/>
          <w:u w:val="none" w:color="auto"/>
          <w:lang w:val="en-US" w:eastAsia="zh-CN"/>
        </w:rPr>
        <w:t>等</w:t>
      </w:r>
      <w:r>
        <w:rPr>
          <w:rFonts w:hint="default" w:ascii="Times New Roman" w:hAnsi="Times New Roman" w:eastAsia="仿宋_GB2312" w:cs="Times New Roman"/>
          <w:color w:val="auto"/>
          <w:sz w:val="32"/>
          <w:szCs w:val="32"/>
          <w:u w:val="none" w:color="auto"/>
        </w:rPr>
        <w:t>。探索跨学科交叉融合和成果应用综合评价等方式。</w:t>
      </w:r>
    </w:p>
    <w:p w14:paraId="217EDF59">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4.</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评价结果应用。</w:t>
      </w:r>
      <w:r>
        <w:rPr>
          <w:rFonts w:hint="default" w:ascii="Times New Roman" w:hAnsi="Times New Roman" w:eastAsia="仿宋_GB2312" w:cs="Times New Roman"/>
          <w:b w:val="0"/>
          <w:bCs w:val="0"/>
          <w:color w:val="auto"/>
          <w:sz w:val="32"/>
          <w:szCs w:val="32"/>
          <w:u w:val="none" w:color="auto"/>
          <w:lang w:val="en-US" w:eastAsia="zh-CN"/>
        </w:rPr>
        <w:t>建立完善体现基础研究人才评价特点的岗位聘用、职称评审、绩效考核、绩效工资、表彰奖励等相关制度，加大对重大科学发现和取得原创性突破的基础研究人员的倾斜支持。探索设置特聘研究岗位，整合基本科研业务费等资源，给予科研人员长期稳定经费支持。探索由一线科学家举荐优秀青年科技人才担任重要科研岗位、承担重大基础研究任务的机制。</w:t>
      </w:r>
    </w:p>
    <w:p w14:paraId="59052F46">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 w:cs="Times New Roman"/>
          <w:b w:val="0"/>
          <w:bCs w:val="0"/>
          <w:color w:val="auto"/>
          <w:sz w:val="32"/>
          <w:szCs w:val="32"/>
          <w:u w:val="none" w:color="auto"/>
          <w:lang w:val="en-US" w:eastAsia="zh-CN"/>
        </w:rPr>
      </w:pPr>
      <w:r>
        <w:rPr>
          <w:rFonts w:hint="default" w:ascii="Times New Roman" w:hAnsi="Times New Roman" w:eastAsia="楷体_GB2312" w:cs="Times New Roman"/>
          <w:b/>
          <w:bCs/>
          <w:color w:val="auto"/>
          <w:sz w:val="32"/>
          <w:szCs w:val="32"/>
          <w:u w:val="none" w:color="auto"/>
        </w:rPr>
        <w:t>（</w:t>
      </w:r>
      <w:r>
        <w:rPr>
          <w:rFonts w:hint="default" w:ascii="Times New Roman" w:hAnsi="Times New Roman" w:eastAsia="楷体_GB2312" w:cs="Times New Roman"/>
          <w:b/>
          <w:bCs/>
          <w:color w:val="auto"/>
          <w:sz w:val="32"/>
          <w:szCs w:val="32"/>
          <w:u w:val="none" w:color="auto"/>
          <w:lang w:val="en-US" w:eastAsia="zh-CN"/>
        </w:rPr>
        <w:t>三</w:t>
      </w:r>
      <w:r>
        <w:rPr>
          <w:rFonts w:hint="default" w:ascii="Times New Roman" w:hAnsi="Times New Roman" w:eastAsia="楷体_GB2312" w:cs="Times New Roman"/>
          <w:b/>
          <w:bCs/>
          <w:color w:val="auto"/>
          <w:sz w:val="32"/>
          <w:szCs w:val="32"/>
          <w:u w:val="none" w:color="auto"/>
        </w:rPr>
        <w:t>）</w:t>
      </w:r>
      <w:r>
        <w:rPr>
          <w:rFonts w:hint="default" w:ascii="Times New Roman" w:hAnsi="Times New Roman" w:eastAsia="楷体_GB2312" w:cs="Times New Roman"/>
          <w:b/>
          <w:bCs/>
          <w:color w:val="auto"/>
          <w:sz w:val="32"/>
          <w:szCs w:val="32"/>
          <w:u w:val="none" w:color="auto"/>
          <w:lang w:val="en-US" w:eastAsia="zh-CN"/>
        </w:rPr>
        <w:t>应用研究与技术开发</w:t>
      </w:r>
      <w:r>
        <w:rPr>
          <w:rFonts w:hint="default" w:ascii="Times New Roman" w:hAnsi="Times New Roman" w:eastAsia="楷体_GB2312" w:cs="Times New Roman"/>
          <w:b/>
          <w:bCs/>
          <w:color w:val="auto"/>
          <w:sz w:val="32"/>
          <w:szCs w:val="32"/>
          <w:u w:val="none" w:color="auto"/>
        </w:rPr>
        <w:t>类人才</w:t>
      </w:r>
      <w:r>
        <w:rPr>
          <w:rFonts w:hint="default" w:ascii="Times New Roman" w:hAnsi="Times New Roman" w:eastAsia="楷体_GB2312" w:cs="Times New Roman"/>
          <w:b/>
          <w:bCs/>
          <w:color w:val="auto"/>
          <w:sz w:val="32"/>
          <w:szCs w:val="32"/>
          <w:u w:val="none" w:color="auto"/>
          <w:lang w:val="en-US" w:eastAsia="zh-CN"/>
        </w:rPr>
        <w:t>评价</w:t>
      </w:r>
    </w:p>
    <w:p w14:paraId="77DB550E">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1.</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rPr>
        <w:t>分类标准</w:t>
      </w:r>
      <w:r>
        <w:rPr>
          <w:rFonts w:hint="default" w:ascii="Times New Roman" w:hAnsi="Times New Roman" w:eastAsia="仿宋_GB2312" w:cs="Times New Roman"/>
          <w:b/>
          <w:bCs/>
          <w:color w:val="auto"/>
          <w:sz w:val="32"/>
          <w:szCs w:val="32"/>
          <w:u w:val="none" w:color="auto"/>
          <w:lang w:eastAsia="zh-CN"/>
        </w:rPr>
        <w:t>。</w:t>
      </w:r>
      <w:r>
        <w:rPr>
          <w:rFonts w:hint="default" w:ascii="Times New Roman" w:hAnsi="Times New Roman" w:eastAsia="仿宋_GB2312" w:cs="Times New Roman"/>
          <w:b w:val="0"/>
          <w:bCs w:val="0"/>
          <w:color w:val="auto"/>
          <w:sz w:val="32"/>
          <w:szCs w:val="32"/>
          <w:u w:val="none" w:color="auto"/>
          <w:lang w:eastAsia="zh-CN"/>
        </w:rPr>
        <w:t>应用研究及技术开发类人才是指在科技活动中探索基础研究所获得成果在实践中应用的可能性，或者针对某些亟待解决的特定问题和实用目标，主要从事提供新系统、新产品、新品种、新结构、新技术、新方法、新工艺、新流程、新材料等研究活动，推动科技成果实现向生产力转化的人才。</w:t>
      </w:r>
    </w:p>
    <w:p w14:paraId="3C750297">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val="0"/>
          <w:bCs w:val="0"/>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2.</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评价导向。</w:t>
      </w:r>
      <w:r>
        <w:rPr>
          <w:rFonts w:hint="default" w:ascii="Times New Roman" w:hAnsi="Times New Roman" w:eastAsia="仿宋_GB2312" w:cs="Times New Roman"/>
          <w:b w:val="0"/>
          <w:bCs w:val="0"/>
          <w:color w:val="auto"/>
          <w:sz w:val="32"/>
          <w:szCs w:val="32"/>
          <w:u w:val="none" w:color="auto"/>
          <w:lang w:val="en-US" w:eastAsia="zh-CN"/>
        </w:rPr>
        <w:t>突出技术突破和产业贡献导向，重点评价技术标准、技术解决方案、高质量专利、成果转化产业化、新产品开发应用、产学研深度融合成效等代表性成果，建立体现产学研和团队合作、技术创新与集成能力、成果的市场价值和应用实效、对经济社会发展贡献的评价指标。不得以论文、专利、项目</w:t>
      </w:r>
      <w:r>
        <w:rPr>
          <w:rFonts w:hint="eastAsia" w:ascii="Times New Roman" w:hAnsi="Times New Roman" w:eastAsia="仿宋_GB2312" w:cs="Times New Roman"/>
          <w:b w:val="0"/>
          <w:bCs w:val="0"/>
          <w:color w:val="auto"/>
          <w:sz w:val="32"/>
          <w:szCs w:val="32"/>
          <w:u w:val="none" w:color="auto"/>
          <w:lang w:val="en-US" w:eastAsia="zh-CN"/>
        </w:rPr>
        <w:t>和</w:t>
      </w:r>
      <w:r>
        <w:rPr>
          <w:rFonts w:hint="default" w:ascii="Times New Roman" w:hAnsi="Times New Roman" w:eastAsia="仿宋_GB2312" w:cs="Times New Roman"/>
          <w:b w:val="0"/>
          <w:bCs w:val="0"/>
          <w:color w:val="auto"/>
          <w:sz w:val="32"/>
          <w:szCs w:val="32"/>
          <w:u w:val="none" w:color="auto"/>
          <w:lang w:val="en-US" w:eastAsia="zh-CN"/>
        </w:rPr>
        <w:t>经费为主要评价指标。</w:t>
      </w:r>
    </w:p>
    <w:p w14:paraId="2AA1E89C">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3.</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评价方式。</w:t>
      </w:r>
      <w:r>
        <w:rPr>
          <w:rFonts w:hint="default" w:ascii="Times New Roman" w:hAnsi="Times New Roman" w:eastAsia="仿宋_GB2312" w:cs="Times New Roman"/>
          <w:b w:val="0"/>
          <w:bCs w:val="0"/>
          <w:color w:val="auto"/>
          <w:sz w:val="32"/>
          <w:szCs w:val="32"/>
          <w:u w:val="none" w:color="auto"/>
          <w:lang w:val="en-US" w:eastAsia="zh-CN"/>
        </w:rPr>
        <w:t>探索构建专家重点评价技术水平、市场评价产业价值相结合，</w:t>
      </w:r>
      <w:r>
        <w:rPr>
          <w:rFonts w:hint="default" w:ascii="Times New Roman" w:hAnsi="Times New Roman" w:eastAsia="仿宋_GB2312" w:cs="Times New Roman"/>
          <w:color w:val="auto"/>
          <w:sz w:val="32"/>
          <w:szCs w:val="32"/>
          <w:u w:val="none" w:color="auto"/>
        </w:rPr>
        <w:t>市场、用户、专家等第三方深度参与的评价方式。探索在广西现代化产业建设中，由科技领军企业等牵头制定人才评价标准。探索临床医</w:t>
      </w:r>
      <w:r>
        <w:rPr>
          <w:rFonts w:hint="default" w:ascii="Times New Roman" w:hAnsi="Times New Roman" w:eastAsia="仿宋_GB2312" w:cs="Times New Roman"/>
          <w:color w:val="auto"/>
          <w:sz w:val="32"/>
          <w:szCs w:val="32"/>
          <w:u w:val="none" w:color="auto"/>
          <w:lang w:val="en-US" w:eastAsia="zh-CN"/>
        </w:rPr>
        <w:t>务人才</w:t>
      </w:r>
      <w:r>
        <w:rPr>
          <w:rFonts w:hint="default" w:ascii="Times New Roman" w:hAnsi="Times New Roman" w:eastAsia="仿宋_GB2312" w:cs="Times New Roman"/>
          <w:color w:val="auto"/>
          <w:sz w:val="32"/>
          <w:szCs w:val="32"/>
          <w:u w:val="none" w:color="auto"/>
        </w:rPr>
        <w:t>、科研仪器开发应用人才、工程技术人才</w:t>
      </w:r>
      <w:r>
        <w:rPr>
          <w:rFonts w:hint="eastAsia" w:ascii="Times New Roman" w:hAnsi="Times New Roman" w:eastAsia="仿宋_GB2312" w:cs="Times New Roman"/>
          <w:color w:val="auto"/>
          <w:sz w:val="32"/>
          <w:szCs w:val="32"/>
          <w:u w:val="none" w:color="auto"/>
          <w:lang w:eastAsia="zh-CN"/>
        </w:rPr>
        <w:t>评价</w:t>
      </w:r>
      <w:r>
        <w:rPr>
          <w:rFonts w:hint="default" w:ascii="Times New Roman" w:hAnsi="Times New Roman" w:eastAsia="仿宋_GB2312" w:cs="Times New Roman"/>
          <w:color w:val="auto"/>
          <w:sz w:val="32"/>
          <w:szCs w:val="32"/>
          <w:u w:val="none" w:color="auto"/>
        </w:rPr>
        <w:t>等典型案例。</w:t>
      </w:r>
    </w:p>
    <w:p w14:paraId="2C9348F6">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4.</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评价结果应用。</w:t>
      </w:r>
      <w:r>
        <w:rPr>
          <w:rFonts w:hint="default" w:ascii="Times New Roman" w:hAnsi="Times New Roman" w:eastAsia="仿宋_GB2312" w:cs="Times New Roman"/>
          <w:b w:val="0"/>
          <w:bCs w:val="0"/>
          <w:color w:val="auto"/>
          <w:sz w:val="32"/>
          <w:szCs w:val="32"/>
          <w:u w:val="none" w:color="auto"/>
          <w:lang w:val="en-US" w:eastAsia="zh-CN"/>
        </w:rPr>
        <w:t>建立应用研究和技术开发类人才岗位晋升、职称评聘</w:t>
      </w:r>
      <w:r>
        <w:rPr>
          <w:rFonts w:hint="default" w:ascii="Times New Roman" w:hAnsi="Times New Roman" w:eastAsia="仿宋_GB2312" w:cs="Times New Roman"/>
          <w:color w:val="auto"/>
          <w:sz w:val="32"/>
          <w:szCs w:val="32"/>
          <w:u w:val="none" w:color="auto"/>
        </w:rPr>
        <w:t>绩效考核、绩效工资、表彰奖励</w:t>
      </w:r>
      <w:r>
        <w:rPr>
          <w:rFonts w:hint="default" w:ascii="Times New Roman" w:hAnsi="Times New Roman" w:eastAsia="仿宋_GB2312" w:cs="Times New Roman"/>
          <w:b w:val="0"/>
          <w:bCs w:val="0"/>
          <w:color w:val="auto"/>
          <w:sz w:val="32"/>
          <w:szCs w:val="32"/>
          <w:u w:val="none" w:color="auto"/>
          <w:lang w:val="en-US" w:eastAsia="zh-CN"/>
        </w:rPr>
        <w:t>等管理制度，对承担自治区级以上急难险重科研攻关任务等并作出突出贡献的科研人员，在绩效考核权重方面予以倾斜。</w:t>
      </w:r>
    </w:p>
    <w:p w14:paraId="5C76D28C">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 w:cs="Times New Roman"/>
          <w:b w:val="0"/>
          <w:bCs w:val="0"/>
          <w:color w:val="auto"/>
          <w:sz w:val="32"/>
          <w:szCs w:val="32"/>
          <w:u w:val="none" w:color="auto"/>
          <w:lang w:val="en-US" w:eastAsia="zh-CN"/>
        </w:rPr>
      </w:pPr>
      <w:r>
        <w:rPr>
          <w:rFonts w:hint="default" w:ascii="Times New Roman" w:hAnsi="Times New Roman" w:eastAsia="楷体_GB2312" w:cs="Times New Roman"/>
          <w:b/>
          <w:bCs/>
          <w:color w:val="auto"/>
          <w:sz w:val="32"/>
          <w:szCs w:val="32"/>
          <w:u w:val="none" w:color="auto"/>
        </w:rPr>
        <w:t>（</w:t>
      </w:r>
      <w:r>
        <w:rPr>
          <w:rFonts w:hint="default" w:ascii="Times New Roman" w:hAnsi="Times New Roman" w:eastAsia="楷体_GB2312" w:cs="Times New Roman"/>
          <w:b/>
          <w:bCs/>
          <w:color w:val="auto"/>
          <w:sz w:val="32"/>
          <w:szCs w:val="32"/>
          <w:u w:val="none" w:color="auto"/>
          <w:lang w:val="en-US" w:eastAsia="zh-CN"/>
        </w:rPr>
        <w:t>四</w:t>
      </w:r>
      <w:r>
        <w:rPr>
          <w:rFonts w:hint="default" w:ascii="Times New Roman" w:hAnsi="Times New Roman" w:eastAsia="楷体_GB2312" w:cs="Times New Roman"/>
          <w:b/>
          <w:bCs/>
          <w:color w:val="auto"/>
          <w:sz w:val="32"/>
          <w:szCs w:val="32"/>
          <w:u w:val="none" w:color="auto"/>
        </w:rPr>
        <w:t>）</w:t>
      </w:r>
      <w:r>
        <w:rPr>
          <w:rFonts w:hint="default" w:ascii="Times New Roman" w:hAnsi="Times New Roman" w:eastAsia="楷体_GB2312" w:cs="Times New Roman"/>
          <w:b/>
          <w:bCs/>
          <w:color w:val="auto"/>
          <w:sz w:val="32"/>
          <w:szCs w:val="32"/>
          <w:u w:val="none" w:color="auto"/>
          <w:lang w:val="en-US" w:eastAsia="zh-CN"/>
        </w:rPr>
        <w:t>社会公益研究</w:t>
      </w:r>
      <w:r>
        <w:rPr>
          <w:rFonts w:hint="default" w:ascii="Times New Roman" w:hAnsi="Times New Roman" w:eastAsia="楷体_GB2312" w:cs="Times New Roman"/>
          <w:b/>
          <w:bCs/>
          <w:color w:val="auto"/>
          <w:sz w:val="32"/>
          <w:szCs w:val="32"/>
          <w:u w:val="none" w:color="auto"/>
        </w:rPr>
        <w:t>类人才</w:t>
      </w:r>
      <w:r>
        <w:rPr>
          <w:rFonts w:hint="default" w:ascii="Times New Roman" w:hAnsi="Times New Roman" w:eastAsia="楷体_GB2312" w:cs="Times New Roman"/>
          <w:b/>
          <w:bCs/>
          <w:color w:val="auto"/>
          <w:sz w:val="32"/>
          <w:szCs w:val="32"/>
          <w:u w:val="none" w:color="auto"/>
          <w:lang w:val="en-US" w:eastAsia="zh-CN"/>
        </w:rPr>
        <w:t>评价</w:t>
      </w:r>
    </w:p>
    <w:p w14:paraId="30E0B9BC">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1.</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rPr>
        <w:t>分类标准</w:t>
      </w:r>
      <w:r>
        <w:rPr>
          <w:rFonts w:hint="default" w:ascii="Times New Roman" w:hAnsi="Times New Roman" w:eastAsia="仿宋_GB2312" w:cs="Times New Roman"/>
          <w:b/>
          <w:bCs/>
          <w:color w:val="auto"/>
          <w:sz w:val="32"/>
          <w:szCs w:val="32"/>
          <w:u w:val="none" w:color="auto"/>
          <w:lang w:eastAsia="zh-CN"/>
        </w:rPr>
        <w:t>。</w:t>
      </w:r>
      <w:r>
        <w:rPr>
          <w:rFonts w:hint="default" w:ascii="Times New Roman" w:hAnsi="Times New Roman" w:eastAsia="仿宋_GB2312" w:cs="Times New Roman"/>
          <w:b w:val="0"/>
          <w:bCs w:val="0"/>
          <w:color w:val="auto"/>
          <w:sz w:val="32"/>
          <w:szCs w:val="32"/>
          <w:u w:val="none" w:color="auto"/>
          <w:lang w:eastAsia="zh-CN"/>
        </w:rPr>
        <w:t>社会公益研究类人才是指主要从事社会公益科技研究，在共性关键技术开发、科技战略咨询、科技管理、科技服务、</w:t>
      </w:r>
      <w:r>
        <w:rPr>
          <w:rFonts w:hint="default" w:ascii="Times New Roman" w:hAnsi="Times New Roman" w:eastAsia="仿宋_GB2312" w:cs="Times New Roman"/>
          <w:b w:val="0"/>
          <w:bCs w:val="0"/>
          <w:color w:val="auto"/>
          <w:sz w:val="32"/>
          <w:szCs w:val="32"/>
          <w:u w:val="none" w:color="auto"/>
          <w:lang w:val="en-US" w:eastAsia="zh-CN"/>
        </w:rPr>
        <w:t>科学普及</w:t>
      </w:r>
      <w:r>
        <w:rPr>
          <w:rFonts w:hint="default" w:ascii="Times New Roman" w:hAnsi="Times New Roman" w:eastAsia="仿宋_GB2312" w:cs="Times New Roman"/>
          <w:b w:val="0"/>
          <w:bCs w:val="0"/>
          <w:color w:val="auto"/>
          <w:sz w:val="32"/>
          <w:szCs w:val="32"/>
          <w:u w:val="none" w:color="auto"/>
          <w:lang w:eastAsia="zh-CN"/>
        </w:rPr>
        <w:t>等方面具有较高的特定能力，</w:t>
      </w:r>
      <w:r>
        <w:rPr>
          <w:rFonts w:hint="default" w:ascii="Times New Roman" w:hAnsi="Times New Roman" w:eastAsia="仿宋_GB2312" w:cs="Times New Roman"/>
          <w:b w:val="0"/>
          <w:bCs w:val="0"/>
          <w:color w:val="auto"/>
          <w:sz w:val="32"/>
          <w:szCs w:val="32"/>
          <w:u w:val="none" w:color="auto"/>
          <w:lang w:val="en-US" w:eastAsia="zh-CN"/>
        </w:rPr>
        <w:t>能够进行创造性劳动并对社会进步和经济发展作出贡献的人才，</w:t>
      </w:r>
      <w:r>
        <w:rPr>
          <w:rFonts w:hint="default" w:ascii="Times New Roman" w:hAnsi="Times New Roman" w:eastAsia="仿宋_GB2312" w:cs="Times New Roman"/>
          <w:b w:val="0"/>
          <w:bCs w:val="0"/>
          <w:color w:val="auto"/>
          <w:sz w:val="32"/>
          <w:szCs w:val="32"/>
          <w:u w:val="none" w:color="auto"/>
          <w:lang w:eastAsia="zh-CN"/>
        </w:rPr>
        <w:t>以及长期在艰苦边远地区、高危岗位、基层一线工作的人才。</w:t>
      </w:r>
    </w:p>
    <w:p w14:paraId="22505DE3">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val="en-US" w:eastAsia="zh-CN"/>
        </w:rPr>
      </w:pPr>
      <w:r>
        <w:rPr>
          <w:rFonts w:hint="default" w:ascii="Times New Roman" w:hAnsi="Times New Roman" w:eastAsia="仿宋_GB2312" w:cs="Times New Roman"/>
          <w:b/>
          <w:bCs/>
          <w:color w:val="auto"/>
          <w:sz w:val="32"/>
          <w:szCs w:val="32"/>
          <w:u w:val="none" w:color="auto"/>
          <w:lang w:val="en-US" w:eastAsia="zh-CN"/>
        </w:rPr>
        <w:t>2.</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评价导向。</w:t>
      </w:r>
      <w:r>
        <w:rPr>
          <w:rFonts w:hint="default" w:ascii="Times New Roman" w:hAnsi="Times New Roman" w:eastAsia="仿宋_GB2312" w:cs="Times New Roman"/>
          <w:b w:val="0"/>
          <w:bCs w:val="0"/>
          <w:color w:val="auto"/>
          <w:sz w:val="32"/>
          <w:szCs w:val="32"/>
          <w:u w:val="none" w:color="auto"/>
          <w:lang w:val="en-US" w:eastAsia="zh-CN"/>
        </w:rPr>
        <w:t>突出服务支撑效能和社会贡献导向，</w:t>
      </w:r>
      <w:r>
        <w:rPr>
          <w:rFonts w:hint="default" w:ascii="Times New Roman" w:hAnsi="Times New Roman" w:eastAsia="仿宋_GB2312" w:cs="Times New Roman"/>
          <w:color w:val="auto"/>
          <w:sz w:val="32"/>
          <w:szCs w:val="32"/>
          <w:u w:val="none" w:color="auto"/>
        </w:rPr>
        <w:t>重点评价服务公共管理、应对突发事件、保障民生和社会安全等共性关键技术开发、服务科技创新的能力与效果，探索建立体现成果应用效益、科技服务满意度和社会效益的评价指标。对长期在艰苦边远地区、高危岗位、基层一线工作的科研人员，加大爱岗敬业表现、实际业绩、工作年限等评价权重。不得设立硬性经济效益的评价指标。</w:t>
      </w:r>
    </w:p>
    <w:p w14:paraId="4C50B457">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color w:val="auto"/>
          <w:sz w:val="32"/>
          <w:szCs w:val="32"/>
          <w:u w:val="none" w:color="auto"/>
        </w:rPr>
      </w:pPr>
      <w:r>
        <w:rPr>
          <w:rFonts w:hint="default" w:ascii="Times New Roman" w:hAnsi="Times New Roman" w:eastAsia="仿宋_GB2312" w:cs="Times New Roman"/>
          <w:b/>
          <w:bCs/>
          <w:color w:val="auto"/>
          <w:sz w:val="32"/>
          <w:szCs w:val="32"/>
          <w:u w:val="none" w:color="auto"/>
          <w:lang w:val="en-US" w:eastAsia="zh-CN"/>
        </w:rPr>
        <w:t>3.</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评价方式。</w:t>
      </w:r>
      <w:r>
        <w:rPr>
          <w:rFonts w:hint="default" w:ascii="Times New Roman" w:hAnsi="Times New Roman" w:eastAsia="仿宋_GB2312" w:cs="Times New Roman"/>
          <w:color w:val="auto"/>
          <w:sz w:val="32"/>
          <w:szCs w:val="32"/>
          <w:u w:val="none" w:color="auto"/>
        </w:rPr>
        <w:t>统筹同行评价、</w:t>
      </w:r>
      <w:r>
        <w:rPr>
          <w:rFonts w:hint="default" w:ascii="Times New Roman" w:hAnsi="Times New Roman" w:eastAsia="仿宋_GB2312" w:cs="Times New Roman"/>
          <w:color w:val="auto"/>
          <w:sz w:val="32"/>
          <w:szCs w:val="32"/>
          <w:u w:val="none" w:color="auto"/>
          <w:lang w:val="en-US" w:eastAsia="zh-CN"/>
        </w:rPr>
        <w:t>服务对象评价、</w:t>
      </w:r>
      <w:r>
        <w:rPr>
          <w:rFonts w:hint="default" w:ascii="Times New Roman" w:hAnsi="Times New Roman" w:eastAsia="仿宋_GB2312" w:cs="Times New Roman"/>
          <w:color w:val="auto"/>
          <w:sz w:val="32"/>
          <w:szCs w:val="32"/>
          <w:u w:val="none" w:color="auto"/>
        </w:rPr>
        <w:t>社会评价等方式，</w:t>
      </w:r>
      <w:r>
        <w:rPr>
          <w:rFonts w:hint="default" w:ascii="Times New Roman" w:hAnsi="Times New Roman" w:eastAsia="仿宋_GB2312" w:cs="Times New Roman"/>
          <w:color w:val="auto"/>
          <w:sz w:val="32"/>
          <w:szCs w:val="32"/>
          <w:u w:val="none" w:color="auto"/>
          <w:lang w:val="en-US" w:eastAsia="zh-CN"/>
        </w:rPr>
        <w:t>充分听取</w:t>
      </w:r>
      <w:r>
        <w:rPr>
          <w:rFonts w:hint="default" w:ascii="Times New Roman" w:hAnsi="Times New Roman" w:eastAsia="仿宋_GB2312" w:cs="Times New Roman"/>
          <w:color w:val="auto"/>
          <w:sz w:val="32"/>
          <w:szCs w:val="32"/>
          <w:u w:val="none" w:color="auto"/>
        </w:rPr>
        <w:t>行业用户和服务对象</w:t>
      </w:r>
      <w:r>
        <w:rPr>
          <w:rFonts w:hint="default" w:ascii="Times New Roman" w:hAnsi="Times New Roman" w:eastAsia="仿宋_GB2312" w:cs="Times New Roman"/>
          <w:color w:val="auto"/>
          <w:sz w:val="32"/>
          <w:szCs w:val="32"/>
          <w:u w:val="none" w:color="auto"/>
          <w:lang w:val="en-US" w:eastAsia="zh-CN"/>
        </w:rPr>
        <w:t>的意见</w:t>
      </w:r>
      <w:r>
        <w:rPr>
          <w:rFonts w:hint="default" w:ascii="Times New Roman" w:hAnsi="Times New Roman" w:eastAsia="仿宋_GB2312" w:cs="Times New Roman"/>
          <w:color w:val="auto"/>
          <w:sz w:val="32"/>
          <w:szCs w:val="32"/>
          <w:u w:val="none" w:color="auto"/>
        </w:rPr>
        <w:t>，建立政府部门和社会公众多方参与的评价机制。探索运用大数据、云计算、人工智能等信息技术手段开展</w:t>
      </w:r>
      <w:r>
        <w:rPr>
          <w:rFonts w:hint="default" w:ascii="Times New Roman" w:hAnsi="Times New Roman" w:eastAsia="仿宋_GB2312" w:cs="Times New Roman"/>
          <w:color w:val="auto"/>
          <w:sz w:val="32"/>
          <w:szCs w:val="32"/>
          <w:u w:val="none" w:color="auto"/>
          <w:lang w:val="en-US" w:eastAsia="zh-CN"/>
        </w:rPr>
        <w:t>科技服务满意度和社会效益</w:t>
      </w:r>
      <w:r>
        <w:rPr>
          <w:rFonts w:hint="default" w:ascii="Times New Roman" w:hAnsi="Times New Roman" w:eastAsia="仿宋_GB2312" w:cs="Times New Roman"/>
          <w:color w:val="auto"/>
          <w:sz w:val="32"/>
          <w:szCs w:val="32"/>
          <w:u w:val="none" w:color="auto"/>
        </w:rPr>
        <w:t>量化评价。依据不同科研和服务活动类型确定合理评价周期。</w:t>
      </w:r>
    </w:p>
    <w:p w14:paraId="6F8F13D3">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color w:val="auto"/>
          <w:sz w:val="32"/>
          <w:szCs w:val="32"/>
          <w:u w:val="none" w:color="auto"/>
          <w:lang w:eastAsia="zh-CN"/>
        </w:rPr>
      </w:pPr>
      <w:r>
        <w:rPr>
          <w:rFonts w:hint="default" w:ascii="Times New Roman" w:hAnsi="Times New Roman" w:eastAsia="仿宋_GB2312" w:cs="Times New Roman"/>
          <w:b/>
          <w:bCs/>
          <w:color w:val="auto"/>
          <w:sz w:val="32"/>
          <w:szCs w:val="32"/>
          <w:u w:val="none" w:color="auto"/>
          <w:lang w:val="en-US" w:eastAsia="zh-CN"/>
        </w:rPr>
        <w:t>4.</w:t>
      </w:r>
      <w:r>
        <w:rPr>
          <w:rFonts w:hint="eastAsia" w:ascii="Times New Roman" w:hAnsi="Times New Roman" w:eastAsia="仿宋_GB2312" w:cs="Times New Roman"/>
          <w:b/>
          <w:bCs/>
          <w:color w:val="auto"/>
          <w:sz w:val="32"/>
          <w:szCs w:val="32"/>
          <w:u w:val="none" w:color="auto"/>
          <w:lang w:val="en-US" w:eastAsia="zh-CN"/>
        </w:rPr>
        <w:t xml:space="preserve"> </w:t>
      </w:r>
      <w:r>
        <w:rPr>
          <w:rFonts w:hint="default" w:ascii="Times New Roman" w:hAnsi="Times New Roman" w:eastAsia="仿宋_GB2312" w:cs="Times New Roman"/>
          <w:b/>
          <w:bCs/>
          <w:color w:val="auto"/>
          <w:sz w:val="32"/>
          <w:szCs w:val="32"/>
          <w:u w:val="none" w:color="auto"/>
          <w:lang w:val="en-US" w:eastAsia="zh-CN"/>
        </w:rPr>
        <w:t>评价结果应用。</w:t>
      </w:r>
      <w:r>
        <w:rPr>
          <w:rFonts w:hint="default" w:ascii="Times New Roman" w:hAnsi="Times New Roman" w:eastAsia="仿宋_GB2312" w:cs="Times New Roman"/>
          <w:b w:val="0"/>
          <w:bCs w:val="0"/>
          <w:color w:val="auto"/>
          <w:sz w:val="32"/>
          <w:szCs w:val="32"/>
          <w:u w:val="none" w:color="auto"/>
          <w:lang w:eastAsia="zh-CN"/>
        </w:rPr>
        <w:t>探索建立符合水利、农业、公共卫生、应急管理、科技服务、</w:t>
      </w:r>
      <w:r>
        <w:rPr>
          <w:rFonts w:hint="default" w:ascii="Times New Roman" w:hAnsi="Times New Roman" w:eastAsia="仿宋_GB2312" w:cs="Times New Roman"/>
          <w:b w:val="0"/>
          <w:bCs w:val="0"/>
          <w:color w:val="auto"/>
          <w:sz w:val="32"/>
          <w:szCs w:val="32"/>
          <w:u w:val="none" w:color="auto"/>
          <w:lang w:val="en-US" w:eastAsia="zh-CN"/>
        </w:rPr>
        <w:t>科学普及、</w:t>
      </w:r>
      <w:r>
        <w:rPr>
          <w:rFonts w:hint="default" w:ascii="Times New Roman" w:hAnsi="Times New Roman" w:eastAsia="仿宋_GB2312" w:cs="Times New Roman"/>
          <w:b w:val="0"/>
          <w:bCs w:val="0"/>
          <w:color w:val="auto"/>
          <w:sz w:val="32"/>
          <w:szCs w:val="32"/>
          <w:u w:val="none" w:color="auto"/>
          <w:lang w:eastAsia="zh-CN"/>
        </w:rPr>
        <w:t>科研条件保障、新型智库等社会公益研究类人才特点的岗位晋升、职称评聘及绩效考核等管理制度，对</w:t>
      </w:r>
      <w:r>
        <w:rPr>
          <w:rFonts w:hint="default" w:ascii="Times New Roman" w:hAnsi="Times New Roman" w:eastAsia="仿宋_GB2312" w:cs="Times New Roman"/>
          <w:color w:val="auto"/>
          <w:sz w:val="32"/>
          <w:szCs w:val="32"/>
          <w:u w:val="none" w:color="auto"/>
        </w:rPr>
        <w:t>在共性关键技术开发、科技战略咨询、科技管理、科技服务、科学普及等方面服务</w:t>
      </w:r>
      <w:r>
        <w:rPr>
          <w:rFonts w:hint="default" w:ascii="Times New Roman" w:hAnsi="Times New Roman" w:eastAsia="仿宋_GB2312" w:cs="Times New Roman"/>
          <w:b w:val="0"/>
          <w:bCs w:val="0"/>
          <w:color w:val="auto"/>
          <w:sz w:val="32"/>
          <w:szCs w:val="32"/>
          <w:u w:val="none" w:color="auto"/>
          <w:lang w:eastAsia="zh-CN"/>
        </w:rPr>
        <w:t>实效显著的科研人员，在岗位聘用、职称评审、绩效考核、绩效工资、表彰奖励等方面予以倾斜。完善长期扎根艰苦边远地区、高危岗位、基层一线工作科研人员激励机制。</w:t>
      </w:r>
    </w:p>
    <w:p w14:paraId="2FC80836">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color w:val="auto"/>
          <w:sz w:val="32"/>
          <w:szCs w:val="32"/>
          <w:u w:val="none" w:color="auto"/>
          <w:lang w:val="en-US" w:eastAsia="zh-CN"/>
        </w:rPr>
      </w:pPr>
      <w:r>
        <w:rPr>
          <w:rFonts w:hint="default" w:ascii="Times New Roman" w:hAnsi="Times New Roman" w:eastAsia="黑体" w:cs="Times New Roman"/>
          <w:b w:val="0"/>
          <w:bCs w:val="0"/>
          <w:color w:val="auto"/>
          <w:sz w:val="32"/>
          <w:szCs w:val="32"/>
          <w:u w:val="none" w:color="auto"/>
          <w:lang w:val="en-US" w:eastAsia="zh-CN"/>
        </w:rPr>
        <w:t>三、政策保障</w:t>
      </w:r>
    </w:p>
    <w:p w14:paraId="76941FF9">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 w:cs="Times New Roman"/>
          <w:b w:val="0"/>
          <w:bCs w:val="0"/>
          <w:color w:val="auto"/>
          <w:sz w:val="32"/>
          <w:szCs w:val="32"/>
          <w:u w:val="none" w:color="auto"/>
          <w:lang w:val="en-US" w:eastAsia="zh-CN"/>
        </w:rPr>
      </w:pPr>
      <w:r>
        <w:rPr>
          <w:rFonts w:hint="default" w:ascii="Times New Roman" w:hAnsi="Times New Roman" w:eastAsia="楷体_GB2312" w:cs="Times New Roman"/>
          <w:b/>
          <w:bCs/>
          <w:color w:val="auto"/>
          <w:sz w:val="32"/>
          <w:szCs w:val="32"/>
          <w:u w:val="none" w:color="auto"/>
          <w:lang w:eastAsia="zh-CN"/>
        </w:rPr>
        <w:t>（</w:t>
      </w:r>
      <w:r>
        <w:rPr>
          <w:rFonts w:hint="default" w:ascii="Times New Roman" w:hAnsi="Times New Roman" w:eastAsia="楷体_GB2312" w:cs="Times New Roman"/>
          <w:b/>
          <w:bCs/>
          <w:color w:val="auto"/>
          <w:sz w:val="32"/>
          <w:szCs w:val="32"/>
          <w:u w:val="none" w:color="auto"/>
          <w:lang w:val="en-US" w:eastAsia="zh-CN"/>
        </w:rPr>
        <w:t>一</w:t>
      </w:r>
      <w:r>
        <w:rPr>
          <w:rFonts w:hint="default" w:ascii="Times New Roman" w:hAnsi="Times New Roman" w:eastAsia="楷体_GB2312" w:cs="Times New Roman"/>
          <w:b/>
          <w:bCs/>
          <w:color w:val="auto"/>
          <w:sz w:val="32"/>
          <w:szCs w:val="32"/>
          <w:u w:val="none" w:color="auto"/>
          <w:lang w:eastAsia="zh-CN"/>
        </w:rPr>
        <w:t>）</w:t>
      </w:r>
      <w:r>
        <w:rPr>
          <w:rFonts w:hint="default" w:ascii="Times New Roman" w:hAnsi="Times New Roman" w:eastAsia="楷体_GB2312" w:cs="Times New Roman"/>
          <w:b/>
          <w:bCs/>
          <w:color w:val="auto"/>
          <w:sz w:val="32"/>
          <w:szCs w:val="32"/>
          <w:u w:val="none" w:color="auto"/>
          <w:lang w:val="en-US" w:eastAsia="zh-CN"/>
        </w:rPr>
        <w:t>扩大科研单位用人自主权</w:t>
      </w:r>
    </w:p>
    <w:p w14:paraId="729D5E42">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bCs/>
          <w:color w:val="auto"/>
          <w:sz w:val="32"/>
          <w:szCs w:val="32"/>
          <w:u w:val="none" w:color="auto"/>
          <w:lang w:eastAsia="zh-CN"/>
        </w:rPr>
      </w:pPr>
      <w:r>
        <w:rPr>
          <w:rFonts w:hint="default" w:ascii="Times New Roman" w:hAnsi="Times New Roman" w:eastAsia="仿宋_GB2312" w:cs="Times New Roman"/>
          <w:color w:val="auto"/>
          <w:kern w:val="0"/>
          <w:sz w:val="32"/>
          <w:szCs w:val="32"/>
          <w:u w:val="none" w:color="auto"/>
          <w:lang w:val="en-US" w:eastAsia="zh-CN" w:bidi="ar"/>
        </w:rPr>
        <w:t>支持试点单位结合自身功能定位和事业发展需要评价科技人才，促进人才评价与培养、使用、激励等相衔接。</w:t>
      </w:r>
      <w:r>
        <w:rPr>
          <w:rFonts w:hint="default" w:ascii="Times New Roman" w:hAnsi="Times New Roman" w:eastAsia="仿宋_GB2312" w:cs="Times New Roman"/>
          <w:color w:val="auto"/>
          <w:kern w:val="0"/>
          <w:sz w:val="32"/>
          <w:szCs w:val="32"/>
          <w:highlight w:val="none"/>
          <w:u w:val="none" w:color="auto"/>
          <w:lang w:val="en-US" w:eastAsia="zh-CN" w:bidi="ar"/>
        </w:rPr>
        <w:t>推动符合条件的试点企业、新型研发机构等组建高级职称评审机构，在有利于产业推动和企业</w:t>
      </w:r>
      <w:r>
        <w:rPr>
          <w:rFonts w:hint="eastAsia" w:ascii="仿宋_GB2312" w:hAnsi="仿宋_GB2312" w:eastAsia="仿宋_GB2312" w:cs="仿宋_GB2312"/>
          <w:color w:val="auto"/>
          <w:kern w:val="0"/>
          <w:sz w:val="32"/>
          <w:szCs w:val="32"/>
          <w:highlight w:val="none"/>
          <w:u w:val="none" w:color="auto"/>
          <w:lang w:val="en-US" w:eastAsia="zh-CN" w:bidi="ar"/>
        </w:rPr>
        <w:t>发展的主体系列（专业）自主开展职称评审。</w:t>
      </w:r>
      <w:r>
        <w:rPr>
          <w:rFonts w:hint="eastAsia" w:ascii="仿宋_GB2312" w:hAnsi="仿宋_GB2312" w:eastAsia="仿宋_GB2312" w:cs="仿宋_GB2312"/>
          <w:color w:val="auto"/>
          <w:kern w:val="0"/>
          <w:sz w:val="32"/>
          <w:szCs w:val="32"/>
          <w:u w:val="none" w:color="auto"/>
          <w:lang w:val="en-US" w:eastAsia="zh-CN" w:bidi="ar"/>
        </w:rPr>
        <w:t>支持具备条件的试点区直科研院所探索实行机构编制备案管理，在核定的机构限额和编制总量内，依规自主调整设置下属科研机构、调配编制、公开招聘人员等。</w:t>
      </w:r>
    </w:p>
    <w:p w14:paraId="5D992574">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val="en-US" w:eastAsia="zh-CN"/>
        </w:rPr>
      </w:pPr>
      <w:r>
        <w:rPr>
          <w:rFonts w:hint="eastAsia" w:ascii="楷体_GB2312" w:hAnsi="楷体_GB2312" w:eastAsia="楷体_GB2312" w:cs="楷体_GB2312"/>
          <w:b/>
          <w:bCs/>
          <w:color w:val="auto"/>
          <w:sz w:val="32"/>
          <w:szCs w:val="32"/>
          <w:u w:val="none" w:color="auto"/>
          <w:lang w:val="en-US" w:eastAsia="zh-CN"/>
        </w:rPr>
        <w:t>（二）完善科技人才使用机制</w:t>
      </w:r>
    </w:p>
    <w:p w14:paraId="31AE205A">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color w:val="auto"/>
          <w:sz w:val="32"/>
          <w:szCs w:val="32"/>
          <w:u w:val="none" w:color="auto"/>
          <w:lang w:eastAsia="zh-CN"/>
        </w:rPr>
      </w:pPr>
      <w:r>
        <w:rPr>
          <w:rFonts w:hint="eastAsia" w:ascii="仿宋_GB2312" w:hAnsi="仿宋_GB2312" w:eastAsia="仿宋_GB2312" w:cs="仿宋_GB2312"/>
          <w:color w:val="auto"/>
          <w:kern w:val="0"/>
          <w:sz w:val="32"/>
          <w:szCs w:val="32"/>
          <w:u w:val="none" w:color="auto"/>
          <w:lang w:val="en-US" w:eastAsia="zh-CN" w:bidi="ar"/>
        </w:rPr>
        <w:t>深入开展人才工作中“唯帽子”问题治理，避免简单以人才称号、学术头衔确定薪酬待遇、配置学术资源。完善“揭榜制”“赛马制”等项目组织实施中的人才选用机制，遴选有实力、能攻关、出成果的优秀科技人才和创新团队承担重大科技攻关任务。支持试点单位探索建立首席科学家负责制，赋予首席科学家科研任务凝练、科研经费配置等自主权。建立在桂单位承担科技攻关任务领军人才库，对符合条件的在自治区重大项目申报上给予倾斜支持。</w:t>
      </w:r>
    </w:p>
    <w:p w14:paraId="0394C5EC">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val="en-US" w:eastAsia="zh-CN"/>
        </w:rPr>
      </w:pPr>
      <w:r>
        <w:rPr>
          <w:rFonts w:hint="eastAsia" w:ascii="楷体_GB2312" w:hAnsi="楷体_GB2312" w:eastAsia="楷体_GB2312" w:cs="楷体_GB2312"/>
          <w:b/>
          <w:bCs/>
          <w:color w:val="auto"/>
          <w:sz w:val="32"/>
          <w:szCs w:val="32"/>
          <w:u w:val="none" w:color="auto"/>
          <w:lang w:eastAsia="zh-CN"/>
        </w:rPr>
        <w:t>（</w:t>
      </w:r>
      <w:r>
        <w:rPr>
          <w:rFonts w:hint="eastAsia" w:ascii="楷体_GB2312" w:hAnsi="楷体_GB2312" w:eastAsia="楷体_GB2312" w:cs="楷体_GB2312"/>
          <w:b/>
          <w:bCs/>
          <w:color w:val="auto"/>
          <w:sz w:val="32"/>
          <w:szCs w:val="32"/>
          <w:u w:val="none" w:color="auto"/>
          <w:lang w:val="en-US" w:eastAsia="zh-CN"/>
        </w:rPr>
        <w:t>三</w:t>
      </w:r>
      <w:r>
        <w:rPr>
          <w:rFonts w:hint="eastAsia" w:ascii="楷体_GB2312" w:hAnsi="楷体_GB2312" w:eastAsia="楷体_GB2312" w:cs="楷体_GB2312"/>
          <w:b/>
          <w:bCs/>
          <w:color w:val="auto"/>
          <w:sz w:val="32"/>
          <w:szCs w:val="32"/>
          <w:u w:val="none" w:color="auto"/>
          <w:lang w:eastAsia="zh-CN"/>
        </w:rPr>
        <w:t>）</w:t>
      </w:r>
      <w:r>
        <w:rPr>
          <w:rFonts w:hint="eastAsia" w:ascii="楷体_GB2312" w:hAnsi="楷体_GB2312" w:eastAsia="楷体_GB2312" w:cs="楷体_GB2312"/>
          <w:b/>
          <w:bCs/>
          <w:color w:val="auto"/>
          <w:sz w:val="32"/>
          <w:szCs w:val="32"/>
          <w:u w:val="none" w:color="auto"/>
          <w:lang w:val="en-US" w:eastAsia="zh-CN"/>
        </w:rPr>
        <w:t>加大科技人才激励力度</w:t>
      </w:r>
    </w:p>
    <w:p w14:paraId="7002C07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color w:val="auto"/>
          <w:sz w:val="32"/>
          <w:szCs w:val="32"/>
          <w:u w:val="none" w:color="auto"/>
          <w:lang w:val="en-US" w:eastAsia="zh-CN"/>
        </w:rPr>
      </w:pPr>
      <w:r>
        <w:rPr>
          <w:rFonts w:hint="eastAsia" w:ascii="仿宋_GB2312" w:hAnsi="仿宋_GB2312" w:eastAsia="仿宋_GB2312" w:cs="仿宋_GB2312"/>
          <w:color w:val="auto"/>
          <w:kern w:val="0"/>
          <w:sz w:val="32"/>
          <w:szCs w:val="32"/>
          <w:u w:val="none" w:color="auto"/>
          <w:lang w:val="en-US" w:eastAsia="zh-CN" w:bidi="ar"/>
        </w:rPr>
        <w:t>鼓励对全时全职承担国家或自治区重大科技专项、重大科技成果转化或重大创新平台建设任务的项目负责人和核心骨干实行年薪制、协议工资制、项目工资制等灵活分配形式，所需经费允许在项目经费中列支并单独核定，不纳入项目承担单位绩效工资总量管理。支持试点单位加大青年科技人才支持力度，对具有真才实学、成绩显著、贡献突出的，按规定破格申报高级职称评审，不受学历、资历、职称层级等条件限制。支持试点单位完善成果所有人、转化人利益共享机制，支持具备条件的试点企业开展核心骨干研发人才跟投、股权和分红激励、超额利润分享等中长期激励。</w:t>
      </w:r>
    </w:p>
    <w:p w14:paraId="526BBEC0">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val="en-US" w:eastAsia="zh-CN"/>
        </w:rPr>
      </w:pPr>
      <w:r>
        <w:rPr>
          <w:rFonts w:hint="eastAsia" w:ascii="楷体_GB2312" w:hAnsi="楷体_GB2312" w:eastAsia="楷体_GB2312" w:cs="楷体_GB2312"/>
          <w:b/>
          <w:bCs/>
          <w:color w:val="auto"/>
          <w:sz w:val="32"/>
          <w:szCs w:val="32"/>
          <w:u w:val="none" w:color="auto"/>
          <w:lang w:val="en-US" w:eastAsia="zh-CN"/>
        </w:rPr>
        <w:t>（四）优化科技人才评价生态</w:t>
      </w:r>
    </w:p>
    <w:p w14:paraId="12009A70">
      <w:pPr>
        <w:keepNext w:val="0"/>
        <w:keepLines w:val="0"/>
        <w:pageBreakBefore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bCs/>
          <w:color w:val="auto"/>
          <w:sz w:val="32"/>
          <w:szCs w:val="32"/>
          <w:u w:val="none" w:color="auto"/>
          <w:lang w:val="en-US" w:eastAsia="zh-CN"/>
        </w:rPr>
      </w:pPr>
      <w:r>
        <w:rPr>
          <w:rFonts w:hint="eastAsia" w:ascii="仿宋_GB2312" w:hAnsi="仿宋_GB2312" w:eastAsia="仿宋_GB2312" w:cs="仿宋_GB2312"/>
          <w:color w:val="auto"/>
          <w:kern w:val="2"/>
          <w:sz w:val="32"/>
          <w:szCs w:val="32"/>
          <w:u w:val="none" w:color="auto"/>
          <w:lang w:val="en-US" w:eastAsia="zh-CN" w:bidi="ar-SA"/>
        </w:rPr>
        <w:t>在各类项目、科技计划、机构平台等评审评估中加强人才评价，完善在重大科技攻关任务中评价、识别人才机制。</w:t>
      </w:r>
      <w:r>
        <w:rPr>
          <w:rFonts w:hint="eastAsia" w:ascii="仿宋_GB2312" w:hAnsi="仿宋_GB2312" w:eastAsia="仿宋_GB2312" w:cs="仿宋_GB2312"/>
          <w:color w:val="auto"/>
          <w:sz w:val="32"/>
          <w:szCs w:val="32"/>
          <w:u w:val="none" w:color="auto"/>
        </w:rPr>
        <w:t>深入推进项目评审、人才评价、机构评估改革，树立正确评价导向，合理设置机构评价标准，不把论文数量和人才称号作为机构评价指标，避免层层分解为科技人才的考核评价指标。</w:t>
      </w:r>
      <w:r>
        <w:rPr>
          <w:rFonts w:hint="eastAsia" w:ascii="仿宋_GB2312" w:hAnsi="仿宋_GB2312" w:eastAsia="仿宋_GB2312" w:cs="仿宋_GB2312"/>
          <w:color w:val="auto"/>
          <w:kern w:val="0"/>
          <w:sz w:val="32"/>
          <w:szCs w:val="32"/>
          <w:u w:val="none" w:color="auto"/>
          <w:lang w:val="en-US" w:eastAsia="zh-CN" w:bidi="ar"/>
        </w:rPr>
        <w:t>加强评价结果共享，避免多头、频繁、重复评价人才。</w:t>
      </w:r>
      <w:r>
        <w:rPr>
          <w:rFonts w:hint="eastAsia" w:ascii="仿宋_GB2312" w:hAnsi="仿宋_GB2312" w:eastAsia="仿宋_GB2312" w:cs="仿宋_GB2312"/>
          <w:color w:val="auto"/>
          <w:kern w:val="2"/>
          <w:sz w:val="32"/>
          <w:szCs w:val="32"/>
          <w:u w:val="none" w:color="auto"/>
          <w:lang w:val="en-US" w:eastAsia="zh-CN" w:bidi="ar-SA"/>
        </w:rPr>
        <w:t>推动学术头衔、人才称号回归学术性、荣誉性本质，避免简单通过各类人才计划头衔评价人才。</w:t>
      </w:r>
      <w:r>
        <w:rPr>
          <w:rFonts w:hint="eastAsia" w:ascii="仿宋_GB2312" w:hAnsi="仿宋_GB2312" w:eastAsia="仿宋_GB2312" w:cs="仿宋_GB2312"/>
          <w:color w:val="auto"/>
          <w:sz w:val="32"/>
          <w:szCs w:val="32"/>
          <w:u w:val="none" w:color="auto"/>
        </w:rPr>
        <w:t>进一步优化科技人才评价环境，</w:t>
      </w:r>
      <w:r>
        <w:rPr>
          <w:rFonts w:hint="eastAsia" w:ascii="仿宋_GB2312" w:hAnsi="仿宋_GB2312" w:eastAsia="仿宋_GB2312" w:cs="仿宋_GB2312"/>
          <w:color w:val="auto"/>
          <w:sz w:val="32"/>
          <w:szCs w:val="32"/>
          <w:u w:val="none" w:color="auto"/>
          <w:lang w:val="en-US" w:eastAsia="zh-CN"/>
        </w:rPr>
        <w:t>大力</w:t>
      </w:r>
      <w:r>
        <w:rPr>
          <w:rFonts w:hint="eastAsia" w:ascii="仿宋_GB2312" w:hAnsi="仿宋_GB2312" w:eastAsia="仿宋_GB2312" w:cs="仿宋_GB2312"/>
          <w:color w:val="auto"/>
          <w:sz w:val="32"/>
          <w:szCs w:val="32"/>
          <w:u w:val="none" w:color="auto"/>
        </w:rPr>
        <w:t>加强科研信用体系建设，</w:t>
      </w:r>
      <w:r>
        <w:rPr>
          <w:rFonts w:hint="eastAsia" w:ascii="仿宋_GB2312" w:hAnsi="仿宋_GB2312" w:eastAsia="仿宋_GB2312" w:cs="仿宋_GB2312"/>
          <w:color w:val="auto"/>
          <w:sz w:val="32"/>
          <w:szCs w:val="32"/>
          <w:u w:val="none" w:color="auto"/>
          <w:lang w:val="en-US" w:eastAsia="zh-CN"/>
        </w:rPr>
        <w:t>完善</w:t>
      </w:r>
      <w:r>
        <w:rPr>
          <w:rFonts w:hint="eastAsia" w:ascii="仿宋_GB2312" w:hAnsi="仿宋_GB2312" w:eastAsia="仿宋_GB2312" w:cs="仿宋_GB2312"/>
          <w:color w:val="auto"/>
          <w:sz w:val="32"/>
          <w:szCs w:val="32"/>
          <w:u w:val="none" w:color="auto"/>
        </w:rPr>
        <w:t>评价主体信用评级制度</w:t>
      </w:r>
      <w:r>
        <w:rPr>
          <w:rStyle w:val="18"/>
          <w:rFonts w:hint="eastAsia" w:ascii="仿宋_GB2312" w:hAnsi="仿宋_GB2312" w:eastAsia="仿宋_GB2312" w:cs="仿宋_GB2312"/>
          <w:color w:val="auto"/>
          <w:sz w:val="32"/>
          <w:szCs w:val="32"/>
          <w:u w:val="none" w:color="auto"/>
          <w:lang w:eastAsia="zh-CN"/>
        </w:rPr>
        <w:t>。</w:t>
      </w:r>
      <w:r>
        <w:rPr>
          <w:rFonts w:hint="eastAsia" w:ascii="仿宋_GB2312" w:hAnsi="仿宋_GB2312" w:eastAsia="仿宋_GB2312" w:cs="仿宋_GB2312"/>
          <w:color w:val="auto"/>
          <w:kern w:val="0"/>
          <w:sz w:val="32"/>
          <w:szCs w:val="32"/>
          <w:u w:val="none" w:color="auto"/>
          <w:lang w:val="en-US" w:eastAsia="zh-CN" w:bidi="ar"/>
        </w:rPr>
        <w:t>治理科研领域“圈子”文化，完善随机、轮换、调整、退出和回避的评价专家遴选机制</w:t>
      </w:r>
      <w:r>
        <w:rPr>
          <w:rFonts w:hint="eastAsia" w:ascii="仿宋_GB2312" w:hAnsi="仿宋_GB2312" w:eastAsia="仿宋_GB2312" w:cs="仿宋_GB2312"/>
          <w:color w:val="auto"/>
          <w:sz w:val="32"/>
          <w:szCs w:val="32"/>
          <w:u w:val="none" w:color="auto"/>
          <w:lang w:eastAsia="zh-CN"/>
        </w:rPr>
        <w:t>，</w:t>
      </w:r>
      <w:r>
        <w:rPr>
          <w:rFonts w:hint="eastAsia" w:ascii="仿宋_GB2312" w:hAnsi="仿宋_GB2312" w:eastAsia="仿宋_GB2312" w:cs="仿宋_GB2312"/>
          <w:color w:val="auto"/>
          <w:sz w:val="32"/>
          <w:szCs w:val="32"/>
          <w:u w:val="none" w:color="auto"/>
          <w:lang w:val="en-US" w:eastAsia="zh-CN"/>
        </w:rPr>
        <w:t>建立评价</w:t>
      </w:r>
      <w:r>
        <w:rPr>
          <w:rFonts w:hint="eastAsia" w:ascii="仿宋_GB2312" w:hAnsi="仿宋_GB2312" w:eastAsia="仿宋_GB2312" w:cs="仿宋_GB2312"/>
          <w:color w:val="auto"/>
          <w:sz w:val="32"/>
          <w:szCs w:val="32"/>
          <w:u w:val="none" w:color="auto"/>
        </w:rPr>
        <w:t>专家</w:t>
      </w:r>
      <w:r>
        <w:rPr>
          <w:rFonts w:hint="eastAsia" w:ascii="仿宋_GB2312" w:hAnsi="仿宋_GB2312" w:eastAsia="仿宋_GB2312" w:cs="仿宋_GB2312"/>
          <w:color w:val="auto"/>
          <w:sz w:val="32"/>
          <w:szCs w:val="32"/>
          <w:u w:val="none" w:color="auto"/>
          <w:lang w:val="en-US" w:eastAsia="zh-CN"/>
        </w:rPr>
        <w:t>责任和</w:t>
      </w:r>
      <w:r>
        <w:rPr>
          <w:rFonts w:hint="eastAsia" w:ascii="仿宋_GB2312" w:hAnsi="仿宋_GB2312" w:eastAsia="仿宋_GB2312" w:cs="仿宋_GB2312"/>
          <w:color w:val="auto"/>
          <w:sz w:val="32"/>
          <w:szCs w:val="32"/>
          <w:u w:val="none" w:color="auto"/>
        </w:rPr>
        <w:t>信誉制度</w:t>
      </w:r>
      <w:r>
        <w:rPr>
          <w:rFonts w:hint="eastAsia" w:ascii="仿宋_GB2312" w:hAnsi="仿宋_GB2312" w:eastAsia="仿宋_GB2312" w:cs="仿宋_GB2312"/>
          <w:color w:val="auto"/>
          <w:kern w:val="0"/>
          <w:sz w:val="32"/>
          <w:szCs w:val="32"/>
          <w:u w:val="none" w:color="auto"/>
          <w:lang w:val="en-US" w:eastAsia="zh-CN" w:bidi="ar"/>
        </w:rPr>
        <w:t>。完善海外引进人才评价机制，注重成果与实绩评价相结合，不简单把海外教育、工作背景等同于科研水平。加快建设学术不端问题主动监测发现机制，推进自治区级科技计划项目管理全过程监督。</w:t>
      </w:r>
      <w:r>
        <w:rPr>
          <w:rFonts w:hint="eastAsia" w:ascii="仿宋_GB2312" w:hAnsi="仿宋_GB2312" w:eastAsia="仿宋_GB2312" w:cs="仿宋_GB2312"/>
          <w:color w:val="auto"/>
          <w:sz w:val="32"/>
          <w:szCs w:val="32"/>
          <w:u w:val="none" w:color="auto"/>
        </w:rPr>
        <w:t>加大对学术不端、科研违规违纪行为的约束和问责</w:t>
      </w:r>
      <w:r>
        <w:rPr>
          <w:rFonts w:hint="eastAsia" w:ascii="仿宋_GB2312" w:hAnsi="仿宋_GB2312" w:eastAsia="仿宋_GB2312" w:cs="仿宋_GB2312"/>
          <w:color w:val="auto"/>
          <w:sz w:val="32"/>
          <w:szCs w:val="32"/>
          <w:u w:val="none" w:color="auto"/>
          <w:lang w:eastAsia="zh-CN"/>
        </w:rPr>
        <w:t>，</w:t>
      </w:r>
      <w:r>
        <w:rPr>
          <w:rFonts w:hint="eastAsia" w:ascii="仿宋_GB2312" w:hAnsi="仿宋_GB2312" w:eastAsia="仿宋_GB2312" w:cs="仿宋_GB2312"/>
          <w:color w:val="auto"/>
          <w:sz w:val="32"/>
          <w:szCs w:val="32"/>
          <w:u w:val="none" w:color="auto"/>
        </w:rPr>
        <w:t>保障科技人才评价公正、公平、透明</w:t>
      </w:r>
      <w:r>
        <w:rPr>
          <w:rFonts w:hint="eastAsia" w:ascii="仿宋_GB2312" w:hAnsi="仿宋_GB2312" w:eastAsia="仿宋_GB2312" w:cs="仿宋_GB2312"/>
          <w:color w:val="auto"/>
          <w:sz w:val="32"/>
          <w:szCs w:val="32"/>
          <w:u w:val="none" w:color="auto"/>
          <w:lang w:eastAsia="zh-CN"/>
        </w:rPr>
        <w:t>。</w:t>
      </w:r>
    </w:p>
    <w:p w14:paraId="1D98F435">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val="en-US" w:eastAsia="zh-CN"/>
        </w:rPr>
      </w:pPr>
      <w:r>
        <w:rPr>
          <w:rFonts w:hint="eastAsia" w:ascii="楷体_GB2312" w:hAnsi="楷体_GB2312" w:eastAsia="楷体_GB2312" w:cs="楷体_GB2312"/>
          <w:b/>
          <w:bCs/>
          <w:color w:val="auto"/>
          <w:sz w:val="32"/>
          <w:szCs w:val="32"/>
          <w:u w:val="none" w:color="auto"/>
          <w:lang w:val="en-US" w:eastAsia="zh-CN"/>
        </w:rPr>
        <w:t>（五）强化科技人才参加科技开放合作的保障</w:t>
      </w:r>
    </w:p>
    <w:p w14:paraId="14BA6CD4">
      <w:pPr>
        <w:keepNext w:val="0"/>
        <w:keepLines w:val="0"/>
        <w:pageBreakBefore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bCs/>
          <w:color w:val="auto"/>
          <w:sz w:val="32"/>
          <w:szCs w:val="32"/>
          <w:u w:val="none" w:color="auto"/>
          <w:lang w:val="en-US" w:eastAsia="zh-CN"/>
        </w:rPr>
      </w:pPr>
      <w:r>
        <w:rPr>
          <w:rFonts w:hint="eastAsia" w:ascii="仿宋_GB2312" w:hAnsi="仿宋_GB2312" w:eastAsia="仿宋_GB2312" w:cs="仿宋_GB2312"/>
          <w:color w:val="auto"/>
          <w:kern w:val="0"/>
          <w:sz w:val="32"/>
          <w:szCs w:val="32"/>
          <w:u w:val="none" w:color="auto"/>
          <w:lang w:val="en-US" w:eastAsia="zh-CN" w:bidi="ar"/>
        </w:rPr>
        <w:t>支持科技领军人才在桂发起设立国际科技组织或科技创新相关的国际产业与标准组织，鼓励科技人才在国际科技组织与机构任职、兼职。鼓励科研人员在国际国内重要学术会议上作报告，在重要学术组织和期刊任职。</w:t>
      </w:r>
      <w:r>
        <w:rPr>
          <w:rFonts w:hint="eastAsia" w:ascii="仿宋_GB2312" w:hAnsi="仿宋_GB2312" w:eastAsia="仿宋_GB2312" w:cs="仿宋_GB2312"/>
          <w:color w:val="auto"/>
          <w:sz w:val="32"/>
          <w:szCs w:val="32"/>
          <w:u w:val="none" w:color="auto"/>
          <w:lang w:val="en-US" w:eastAsia="zh-CN"/>
        </w:rPr>
        <w:t>鼓励科研人员积极参加广西与东盟国家的技术转移合作、科创平台共建、技术联合攻关等，对贡献突出人员在人才评价时给予加分奖励。推动完善东盟国家与广西人才的交流机制，支持本土科研人员赴东盟国家长期开展实地调研、访学研修、技术培训、项目研究等。鼓励试点单位建立完善科技</w:t>
      </w:r>
      <w:r>
        <w:rPr>
          <w:rFonts w:hint="eastAsia" w:ascii="仿宋_GB2312" w:hAnsi="仿宋_GB2312" w:eastAsia="仿宋_GB2312" w:cs="仿宋_GB2312"/>
          <w:color w:val="auto"/>
          <w:sz w:val="32"/>
          <w:szCs w:val="32"/>
          <w:u w:val="none" w:color="auto"/>
        </w:rPr>
        <w:t>人才</w:t>
      </w:r>
      <w:r>
        <w:rPr>
          <w:rFonts w:hint="eastAsia" w:ascii="仿宋_GB2312" w:hAnsi="仿宋_GB2312" w:eastAsia="仿宋_GB2312" w:cs="仿宋_GB2312"/>
          <w:color w:val="auto"/>
          <w:sz w:val="32"/>
          <w:szCs w:val="32"/>
          <w:u w:val="none" w:color="auto"/>
          <w:lang w:val="en-US" w:eastAsia="zh-CN"/>
        </w:rPr>
        <w:t>赴区外</w:t>
      </w:r>
      <w:r>
        <w:rPr>
          <w:rFonts w:hint="eastAsia" w:ascii="仿宋_GB2312" w:hAnsi="仿宋_GB2312" w:eastAsia="仿宋_GB2312" w:cs="仿宋_GB2312"/>
          <w:color w:val="auto"/>
          <w:sz w:val="32"/>
          <w:szCs w:val="32"/>
          <w:u w:val="none" w:color="auto"/>
        </w:rPr>
        <w:t>交流</w:t>
      </w:r>
      <w:r>
        <w:rPr>
          <w:rFonts w:hint="eastAsia" w:ascii="仿宋_GB2312" w:hAnsi="仿宋_GB2312" w:eastAsia="仿宋_GB2312" w:cs="仿宋_GB2312"/>
          <w:color w:val="auto"/>
          <w:sz w:val="32"/>
          <w:szCs w:val="32"/>
          <w:u w:val="none" w:color="auto"/>
          <w:lang w:val="en-US" w:eastAsia="zh-CN"/>
        </w:rPr>
        <w:t>的跟踪评价</w:t>
      </w:r>
      <w:r>
        <w:rPr>
          <w:rFonts w:hint="eastAsia" w:ascii="仿宋_GB2312" w:hAnsi="仿宋_GB2312" w:eastAsia="仿宋_GB2312" w:cs="仿宋_GB2312"/>
          <w:color w:val="auto"/>
          <w:sz w:val="32"/>
          <w:szCs w:val="32"/>
          <w:u w:val="none" w:color="auto"/>
        </w:rPr>
        <w:t>机制，</w:t>
      </w:r>
      <w:r>
        <w:rPr>
          <w:rFonts w:hint="eastAsia" w:ascii="仿宋_GB2312" w:hAnsi="仿宋_GB2312" w:eastAsia="仿宋_GB2312" w:cs="仿宋_GB2312"/>
          <w:color w:val="auto"/>
          <w:sz w:val="32"/>
          <w:szCs w:val="32"/>
          <w:u w:val="none" w:color="auto"/>
          <w:lang w:val="en-US" w:eastAsia="zh-CN"/>
        </w:rPr>
        <w:t>解决科技人才长期调离原单位的后顾之忧。</w:t>
      </w:r>
    </w:p>
    <w:p w14:paraId="45E5343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u w:val="none" w:color="auto"/>
          <w:lang w:val="en-US" w:eastAsia="zh-CN"/>
        </w:rPr>
      </w:pPr>
      <w:r>
        <w:rPr>
          <w:rFonts w:hint="eastAsia" w:ascii="黑体" w:hAnsi="黑体" w:eastAsia="黑体" w:cs="黑体"/>
          <w:color w:val="auto"/>
          <w:sz w:val="32"/>
          <w:szCs w:val="32"/>
          <w:u w:val="none" w:color="auto"/>
        </w:rPr>
        <w:t>四、</w:t>
      </w:r>
      <w:r>
        <w:rPr>
          <w:rFonts w:hint="eastAsia" w:ascii="黑体" w:hAnsi="黑体" w:eastAsia="黑体" w:cs="黑体"/>
          <w:color w:val="auto"/>
          <w:sz w:val="32"/>
          <w:szCs w:val="32"/>
          <w:u w:val="none" w:color="auto"/>
          <w:lang w:val="en-US" w:eastAsia="zh-CN"/>
        </w:rPr>
        <w:t>组织实施</w:t>
      </w:r>
    </w:p>
    <w:p w14:paraId="0F73BFDB">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eastAsia="zh-CN"/>
        </w:rPr>
      </w:pPr>
      <w:r>
        <w:rPr>
          <w:rFonts w:hint="eastAsia" w:ascii="楷体_GB2312" w:hAnsi="楷体_GB2312" w:eastAsia="楷体_GB2312" w:cs="楷体_GB2312"/>
          <w:b/>
          <w:bCs/>
          <w:color w:val="auto"/>
          <w:sz w:val="32"/>
          <w:szCs w:val="32"/>
          <w:u w:val="none" w:color="auto"/>
        </w:rPr>
        <w:t>（一）加强组织领导</w:t>
      </w:r>
    </w:p>
    <w:p w14:paraId="6122B36F">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rPr>
      </w:pPr>
      <w:r>
        <w:rPr>
          <w:rFonts w:hint="eastAsia" w:ascii="仿宋_GB2312" w:hAnsi="仿宋_GB2312" w:eastAsia="仿宋_GB2312" w:cs="仿宋_GB2312"/>
          <w:color w:val="auto"/>
          <w:sz w:val="32"/>
          <w:szCs w:val="32"/>
          <w:u w:val="none" w:color="auto"/>
        </w:rPr>
        <w:t>在自治区党委人才工作领导小组的统筹协调指导下，自治区科技厅会同</w:t>
      </w:r>
      <w:r>
        <w:rPr>
          <w:rFonts w:hint="eastAsia" w:ascii="仿宋_GB2312" w:hAnsi="仿宋_GB2312" w:eastAsia="仿宋_GB2312" w:cs="仿宋_GB2312"/>
          <w:color w:val="auto"/>
          <w:sz w:val="32"/>
          <w:szCs w:val="32"/>
          <w:u w:val="none" w:color="auto"/>
          <w:lang w:val="en-US" w:eastAsia="zh-CN"/>
        </w:rPr>
        <w:t>自治区党委组织部、党委编办，以及</w:t>
      </w:r>
      <w:r>
        <w:rPr>
          <w:rFonts w:hint="eastAsia" w:ascii="仿宋_GB2312" w:hAnsi="仿宋_GB2312" w:eastAsia="仿宋_GB2312" w:cs="仿宋_GB2312"/>
          <w:color w:val="auto"/>
          <w:sz w:val="32"/>
          <w:szCs w:val="32"/>
          <w:u w:val="none" w:color="auto"/>
        </w:rPr>
        <w:t>自治区教育厅、工业和信息化厅、人力资源社会保障厅、</w:t>
      </w:r>
      <w:r>
        <w:rPr>
          <w:rFonts w:hint="eastAsia" w:ascii="仿宋_GB2312" w:hAnsi="仿宋_GB2312" w:eastAsia="仿宋_GB2312" w:cs="仿宋_GB2312"/>
          <w:color w:val="auto"/>
          <w:sz w:val="32"/>
          <w:szCs w:val="32"/>
          <w:u w:val="none" w:color="auto"/>
          <w:lang w:val="en-US" w:eastAsia="zh-CN"/>
        </w:rPr>
        <w:t>交通运输厅、水利厅、</w:t>
      </w:r>
      <w:r>
        <w:rPr>
          <w:rFonts w:hint="eastAsia" w:ascii="仿宋_GB2312" w:hAnsi="仿宋_GB2312" w:eastAsia="仿宋_GB2312" w:cs="仿宋_GB2312"/>
          <w:color w:val="auto"/>
          <w:sz w:val="32"/>
          <w:szCs w:val="32"/>
          <w:u w:val="none" w:color="auto"/>
        </w:rPr>
        <w:t>农业农村厅、卫生健康委、国资委</w:t>
      </w:r>
      <w:r>
        <w:rPr>
          <w:rFonts w:hint="eastAsia" w:ascii="仿宋_GB2312" w:hAnsi="仿宋_GB2312" w:eastAsia="仿宋_GB2312" w:cs="仿宋_GB2312"/>
          <w:color w:val="auto"/>
          <w:sz w:val="32"/>
          <w:szCs w:val="32"/>
          <w:u w:val="none" w:color="auto"/>
          <w:lang w:eastAsia="zh-CN"/>
        </w:rPr>
        <w:t>、</w:t>
      </w:r>
      <w:r>
        <w:rPr>
          <w:rFonts w:hint="eastAsia" w:ascii="仿宋_GB2312" w:hAnsi="仿宋_GB2312" w:eastAsia="仿宋_GB2312" w:cs="仿宋_GB2312"/>
          <w:color w:val="auto"/>
          <w:sz w:val="32"/>
          <w:szCs w:val="32"/>
          <w:u w:val="none" w:color="auto"/>
          <w:lang w:val="en-US" w:eastAsia="zh-CN"/>
        </w:rPr>
        <w:t>林业局</w:t>
      </w:r>
      <w:r>
        <w:rPr>
          <w:rFonts w:hint="eastAsia" w:ascii="仿宋_GB2312" w:hAnsi="仿宋_GB2312" w:eastAsia="仿宋_GB2312" w:cs="仿宋_GB2312"/>
          <w:color w:val="auto"/>
          <w:sz w:val="32"/>
          <w:szCs w:val="32"/>
          <w:u w:val="none" w:color="auto"/>
        </w:rPr>
        <w:t>等部门组织试点单位做好科技人才评价改革试点的具体实施工作，明确任务分工，压实责任，建立定期会商交流机制，协调解决试点过程中遇到的重点难点问题，推动试点任务取得实效。</w:t>
      </w:r>
    </w:p>
    <w:p w14:paraId="114A3C85">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eastAsia="zh-CN"/>
        </w:rPr>
      </w:pPr>
      <w:r>
        <w:rPr>
          <w:rFonts w:hint="eastAsia" w:ascii="楷体_GB2312" w:hAnsi="楷体_GB2312" w:eastAsia="楷体_GB2312" w:cs="楷体_GB2312"/>
          <w:b/>
          <w:bCs/>
          <w:color w:val="auto"/>
          <w:sz w:val="32"/>
          <w:szCs w:val="32"/>
          <w:u w:val="none" w:color="auto"/>
        </w:rPr>
        <w:t>（二）推进试点实施</w:t>
      </w:r>
    </w:p>
    <w:p w14:paraId="388767D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rPr>
      </w:pPr>
      <w:r>
        <w:rPr>
          <w:rFonts w:hint="eastAsia" w:ascii="仿宋_GB2312" w:hAnsi="仿宋_GB2312" w:eastAsia="仿宋_GB2312" w:cs="仿宋_GB2312"/>
          <w:color w:val="auto"/>
          <w:sz w:val="32"/>
          <w:szCs w:val="32"/>
          <w:u w:val="none" w:color="auto"/>
        </w:rPr>
        <w:t>各试点单位作为主体责任单位，要组建专门力量负责落实改革试点任务。应根据本方案，在主管部门指导下，结合本行业本单位特点和创新活动类型，选择试点内容，编制具体实施方案，分类别进一步细化评价标准、量化评价指标、改进评价方法、规范评价程序</w:t>
      </w:r>
      <w:r>
        <w:rPr>
          <w:rFonts w:hint="eastAsia" w:ascii="仿宋_GB2312" w:hAnsi="仿宋_GB2312" w:eastAsia="仿宋_GB2312" w:cs="仿宋_GB2312"/>
          <w:color w:val="auto"/>
          <w:sz w:val="32"/>
          <w:szCs w:val="32"/>
          <w:u w:val="none" w:color="auto"/>
          <w:lang w:eastAsia="zh-CN"/>
        </w:rPr>
        <w:t>、</w:t>
      </w:r>
      <w:r>
        <w:rPr>
          <w:rFonts w:hint="eastAsia" w:ascii="仿宋_GB2312" w:hAnsi="仿宋_GB2312" w:eastAsia="仿宋_GB2312" w:cs="仿宋_GB2312"/>
          <w:color w:val="auto"/>
          <w:sz w:val="32"/>
          <w:szCs w:val="32"/>
          <w:u w:val="none" w:color="auto"/>
        </w:rPr>
        <w:t>创新评价工具，鼓励探索应用</w:t>
      </w:r>
      <w:r>
        <w:rPr>
          <w:rFonts w:hint="default" w:ascii="Times New Roman" w:hAnsi="Times New Roman" w:eastAsia="仿宋_GB2312" w:cs="Times New Roman"/>
          <w:color w:val="auto"/>
          <w:sz w:val="32"/>
          <w:szCs w:val="32"/>
          <w:u w:val="none" w:color="auto"/>
        </w:rPr>
        <w:t>人工智能、大数据等现代信息技术开展评价，建立适应本单位发展需要的科技人才分类评价体系。各试点单位实施方案应在本方案印发后2个月内报送自治区科技厅，由自治区科技厅会同相关部门研究同意后启动实施。</w:t>
      </w:r>
    </w:p>
    <w:p w14:paraId="327F8D0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val="0"/>
          <w:bCs w:val="0"/>
          <w:color w:val="auto"/>
          <w:sz w:val="32"/>
          <w:szCs w:val="32"/>
          <w:u w:val="none" w:color="auto"/>
          <w:lang w:eastAsia="zh-CN"/>
        </w:rPr>
      </w:pPr>
      <w:r>
        <w:rPr>
          <w:rFonts w:hint="eastAsia" w:ascii="楷体_GB2312" w:hAnsi="楷体_GB2312" w:eastAsia="楷体_GB2312" w:cs="楷体_GB2312"/>
          <w:b/>
          <w:bCs/>
          <w:color w:val="auto"/>
          <w:sz w:val="32"/>
          <w:szCs w:val="32"/>
          <w:u w:val="none" w:color="auto"/>
        </w:rPr>
        <w:t>（三）强化协同联动</w:t>
      </w:r>
    </w:p>
    <w:p w14:paraId="79CFB91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rPr>
      </w:pPr>
      <w:r>
        <w:rPr>
          <w:rFonts w:hint="eastAsia" w:ascii="仿宋_GB2312" w:hAnsi="仿宋_GB2312" w:eastAsia="仿宋_GB2312" w:cs="仿宋_GB2312"/>
          <w:color w:val="auto"/>
          <w:kern w:val="0"/>
          <w:sz w:val="32"/>
          <w:szCs w:val="32"/>
          <w:u w:val="none" w:color="auto"/>
          <w:lang w:val="en-US" w:eastAsia="zh-CN" w:bidi="ar"/>
        </w:rPr>
        <w:t>自治区科技厅</w:t>
      </w:r>
      <w:r>
        <w:rPr>
          <w:rFonts w:hint="eastAsia" w:ascii="仿宋_GB2312" w:hAnsi="仿宋_GB2312" w:eastAsia="仿宋_GB2312" w:cs="仿宋_GB2312"/>
          <w:color w:val="auto"/>
          <w:kern w:val="0"/>
          <w:sz w:val="32"/>
          <w:szCs w:val="32"/>
          <w:u w:val="none" w:color="auto"/>
          <w:lang w:bidi="ar"/>
        </w:rPr>
        <w:t>要肩负起组织推动责任并率先改革，推动落实科研单位自主权，在科技计划项目评审、科研机构绩效评价、科技人才计划评选中破除“四唯”，突出创新价值、能力、贡献导向。自治区教育厅、工业和信息化厅、</w:t>
      </w:r>
      <w:r>
        <w:rPr>
          <w:rFonts w:hint="eastAsia" w:ascii="仿宋_GB2312" w:hAnsi="仿宋_GB2312" w:eastAsia="仿宋_GB2312" w:cs="仿宋_GB2312"/>
          <w:color w:val="auto"/>
          <w:kern w:val="0"/>
          <w:sz w:val="32"/>
          <w:szCs w:val="32"/>
          <w:u w:val="none" w:color="auto"/>
          <w:lang w:val="en-US" w:eastAsia="zh-CN" w:bidi="ar"/>
        </w:rPr>
        <w:t>交通运输厅、水利厅</w:t>
      </w:r>
      <w:r>
        <w:rPr>
          <w:rFonts w:hint="eastAsia" w:ascii="仿宋_GB2312" w:hAnsi="仿宋_GB2312" w:eastAsia="仿宋_GB2312" w:cs="仿宋_GB2312"/>
          <w:color w:val="auto"/>
          <w:kern w:val="0"/>
          <w:sz w:val="32"/>
          <w:szCs w:val="32"/>
          <w:u w:val="none" w:color="auto"/>
          <w:lang w:bidi="ar"/>
        </w:rPr>
        <w:t>、农业农村厅</w:t>
      </w:r>
      <w:r>
        <w:rPr>
          <w:rFonts w:hint="eastAsia" w:ascii="仿宋_GB2312" w:hAnsi="仿宋_GB2312" w:eastAsia="仿宋_GB2312" w:cs="仿宋_GB2312"/>
          <w:color w:val="auto"/>
          <w:kern w:val="0"/>
          <w:sz w:val="32"/>
          <w:szCs w:val="32"/>
          <w:u w:val="none" w:color="auto"/>
          <w:lang w:val="en-US" w:eastAsia="zh-CN" w:bidi="ar"/>
        </w:rPr>
        <w:t>、</w:t>
      </w:r>
      <w:r>
        <w:rPr>
          <w:rFonts w:hint="eastAsia" w:ascii="仿宋_GB2312" w:hAnsi="仿宋_GB2312" w:eastAsia="仿宋_GB2312" w:cs="仿宋_GB2312"/>
          <w:color w:val="auto"/>
          <w:kern w:val="0"/>
          <w:sz w:val="32"/>
          <w:szCs w:val="32"/>
          <w:u w:val="none" w:color="auto"/>
          <w:lang w:bidi="ar"/>
        </w:rPr>
        <w:t>卫生健康委、国资委等</w:t>
      </w:r>
      <w:r>
        <w:rPr>
          <w:rFonts w:hint="eastAsia" w:ascii="仿宋_GB2312" w:hAnsi="仿宋_GB2312" w:eastAsia="仿宋_GB2312" w:cs="仿宋_GB2312"/>
          <w:color w:val="auto"/>
          <w:kern w:val="0"/>
          <w:sz w:val="32"/>
          <w:szCs w:val="32"/>
          <w:u w:val="none" w:color="auto"/>
          <w:lang w:val="en-US" w:eastAsia="zh-CN" w:bidi="ar"/>
        </w:rPr>
        <w:t>作为试点单位的主管</w:t>
      </w:r>
      <w:r>
        <w:rPr>
          <w:rFonts w:hint="eastAsia" w:ascii="仿宋_GB2312" w:hAnsi="仿宋_GB2312" w:eastAsia="仿宋_GB2312" w:cs="仿宋_GB2312"/>
          <w:color w:val="auto"/>
          <w:kern w:val="0"/>
          <w:sz w:val="32"/>
          <w:szCs w:val="32"/>
          <w:u w:val="none" w:color="auto"/>
          <w:lang w:bidi="ar"/>
        </w:rPr>
        <w:t>部门</w:t>
      </w:r>
      <w:r>
        <w:rPr>
          <w:rFonts w:hint="eastAsia" w:ascii="仿宋_GB2312" w:hAnsi="仿宋_GB2312" w:eastAsia="仿宋_GB2312" w:cs="仿宋_GB2312"/>
          <w:color w:val="auto"/>
          <w:kern w:val="0"/>
          <w:sz w:val="32"/>
          <w:szCs w:val="32"/>
          <w:u w:val="none" w:color="auto"/>
          <w:lang w:eastAsia="zh-CN" w:bidi="ar"/>
        </w:rPr>
        <w:t>，</w:t>
      </w:r>
      <w:r>
        <w:rPr>
          <w:rFonts w:hint="eastAsia" w:ascii="仿宋_GB2312" w:hAnsi="仿宋_GB2312" w:eastAsia="仿宋_GB2312" w:cs="仿宋_GB2312"/>
          <w:color w:val="auto"/>
          <w:kern w:val="0"/>
          <w:sz w:val="32"/>
          <w:szCs w:val="32"/>
          <w:u w:val="none" w:color="auto"/>
          <w:lang w:bidi="ar"/>
        </w:rPr>
        <w:t>要结合本部门本行业本领域工作贯彻落实人才评价改革要求，完善行业人才评价机制，赋予用人单位评价自主权</w:t>
      </w:r>
      <w:r>
        <w:rPr>
          <w:rFonts w:hint="eastAsia" w:ascii="仿宋_GB2312" w:hAnsi="仿宋_GB2312" w:eastAsia="仿宋_GB2312" w:cs="仿宋_GB2312"/>
          <w:color w:val="auto"/>
          <w:kern w:val="0"/>
          <w:sz w:val="32"/>
          <w:szCs w:val="32"/>
          <w:u w:val="none" w:color="auto"/>
          <w:lang w:eastAsia="zh-CN" w:bidi="ar"/>
        </w:rPr>
        <w:t>，</w:t>
      </w:r>
      <w:r>
        <w:rPr>
          <w:rFonts w:hint="eastAsia" w:ascii="仿宋_GB2312" w:hAnsi="仿宋_GB2312" w:eastAsia="仿宋_GB2312" w:cs="仿宋_GB2312"/>
          <w:color w:val="auto"/>
          <w:kern w:val="0"/>
          <w:sz w:val="32"/>
          <w:szCs w:val="32"/>
          <w:u w:val="none" w:color="auto"/>
          <w:lang w:bidi="ar"/>
        </w:rPr>
        <w:t>组织并指导所属试点单位积极开展评价改革试点工作</w:t>
      </w:r>
      <w:r>
        <w:rPr>
          <w:rFonts w:hint="eastAsia" w:ascii="仿宋_GB2312" w:hAnsi="仿宋_GB2312" w:eastAsia="仿宋_GB2312" w:cs="仿宋_GB2312"/>
          <w:color w:val="auto"/>
          <w:kern w:val="0"/>
          <w:sz w:val="32"/>
          <w:szCs w:val="32"/>
          <w:u w:val="none" w:color="auto"/>
          <w:lang w:eastAsia="zh-CN" w:bidi="ar"/>
        </w:rPr>
        <w:t>，</w:t>
      </w:r>
      <w:r>
        <w:rPr>
          <w:rFonts w:hint="eastAsia" w:ascii="仿宋_GB2312" w:hAnsi="仿宋_GB2312" w:eastAsia="仿宋_GB2312" w:cs="仿宋_GB2312"/>
          <w:color w:val="auto"/>
          <w:kern w:val="0"/>
          <w:sz w:val="32"/>
          <w:szCs w:val="32"/>
          <w:u w:val="none" w:color="auto"/>
          <w:lang w:bidi="ar"/>
        </w:rPr>
        <w:t>把试点工作完成情况作为绩效评价的重要内容</w:t>
      </w:r>
      <w:r>
        <w:rPr>
          <w:rFonts w:hint="eastAsia" w:ascii="仿宋_GB2312" w:hAnsi="仿宋_GB2312" w:eastAsia="仿宋_GB2312" w:cs="仿宋_GB2312"/>
          <w:color w:val="auto"/>
          <w:kern w:val="0"/>
          <w:sz w:val="32"/>
          <w:szCs w:val="32"/>
          <w:u w:val="none" w:color="auto"/>
          <w:lang w:eastAsia="zh-CN" w:bidi="ar"/>
        </w:rPr>
        <w:t>。</w:t>
      </w:r>
      <w:r>
        <w:rPr>
          <w:rFonts w:hint="eastAsia" w:ascii="仿宋_GB2312" w:hAnsi="仿宋_GB2312" w:eastAsia="仿宋_GB2312" w:cs="仿宋_GB2312"/>
          <w:color w:val="auto"/>
          <w:kern w:val="2"/>
          <w:sz w:val="32"/>
          <w:szCs w:val="32"/>
          <w:u w:val="none" w:color="auto"/>
          <w:lang w:val="en-US" w:eastAsia="zh-CN" w:bidi="ar-SA"/>
        </w:rPr>
        <w:t>在建立行业人才评价体系时，自治区教育厅要突出推进“双一流”建设导向，工业和信息化厅要突出服务产业发展导向，交通运输厅、水利厅要突出服务重大工程和项目建设导向，农业农村厅要突出服务“三农”导向，自治区林业局要突出服务林业生态建设和林业产业发展导向，自治区卫生健康委要突出临床实践导向，自治区国资委要突出提升国有企业创新能力导向。</w:t>
      </w:r>
    </w:p>
    <w:p w14:paraId="115223B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color w:val="auto"/>
          <w:sz w:val="32"/>
          <w:szCs w:val="32"/>
          <w:u w:val="none" w:color="auto"/>
        </w:rPr>
      </w:pPr>
      <w:r>
        <w:rPr>
          <w:rFonts w:hint="eastAsia" w:ascii="楷体_GB2312" w:hAnsi="楷体_GB2312" w:eastAsia="楷体_GB2312" w:cs="楷体_GB2312"/>
          <w:b/>
          <w:bCs/>
          <w:color w:val="auto"/>
          <w:sz w:val="32"/>
          <w:szCs w:val="32"/>
          <w:u w:val="none" w:color="auto"/>
        </w:rPr>
        <w:t>（四）做好总结推广</w:t>
      </w:r>
    </w:p>
    <w:p w14:paraId="0132155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rPr>
      </w:pPr>
      <w:r>
        <w:rPr>
          <w:rFonts w:hint="eastAsia" w:ascii="仿宋_GB2312" w:hAnsi="仿宋_GB2312" w:eastAsia="仿宋_GB2312" w:cs="仿宋_GB2312"/>
          <w:color w:val="auto"/>
          <w:sz w:val="32"/>
          <w:szCs w:val="32"/>
          <w:u w:val="none" w:color="auto"/>
        </w:rPr>
        <w:t>自治区科技厅会同相关部门要做好科技人才评价改革试点的宣传解读，建立全程督导机制，及时跟踪了解试点工作进展情况。适时组织开展试点工作经验交流，做到边试点、边总结、边提升。试点工作期满后，由自治区科技厅会同相关部门对试点工作完成情况进行评估，及时总结和推广各试点单位在改革过程中的成功经验和典型案例，切实发挥示范带动作用。</w:t>
      </w:r>
    </w:p>
    <w:p w14:paraId="7890A92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rPr>
      </w:pPr>
    </w:p>
    <w:p w14:paraId="6690890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lang w:val="en-US" w:eastAsia="zh-CN"/>
        </w:rPr>
      </w:pPr>
      <w:r>
        <w:rPr>
          <w:rFonts w:hint="eastAsia" w:ascii="仿宋_GB2312" w:hAnsi="仿宋_GB2312" w:eastAsia="仿宋_GB2312" w:cs="仿宋_GB2312"/>
          <w:b w:val="0"/>
          <w:bCs w:val="0"/>
          <w:color w:val="auto"/>
          <w:sz w:val="32"/>
          <w:szCs w:val="32"/>
          <w:u w:val="none" w:color="auto"/>
          <w:lang w:val="en-US" w:eastAsia="zh-CN"/>
        </w:rPr>
        <w:t>附：试点单位名单</w:t>
      </w:r>
    </w:p>
    <w:p w14:paraId="1012D09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lang w:val="en-US" w:eastAsia="zh-CN"/>
        </w:rPr>
      </w:pPr>
    </w:p>
    <w:p w14:paraId="1384A29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lang w:val="en-US" w:eastAsia="zh-CN"/>
        </w:rPr>
      </w:pPr>
    </w:p>
    <w:p w14:paraId="252629E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u w:val="none" w:color="auto"/>
          <w:lang w:val="en-US" w:eastAsia="zh-CN"/>
        </w:rPr>
        <w:sectPr>
          <w:footerReference r:id="rId5" w:type="first"/>
          <w:headerReference r:id="rId3" w:type="default"/>
          <w:footerReference r:id="rId4" w:type="default"/>
          <w:pgSz w:w="11906" w:h="16838"/>
          <w:pgMar w:top="2098" w:right="1531" w:bottom="1701" w:left="1531" w:header="851" w:footer="1417" w:gutter="0"/>
          <w:paperSrc/>
          <w:pgNumType w:fmt="decimal"/>
          <w:cols w:space="720" w:num="1"/>
          <w:titlePg/>
          <w:rtlGutter w:val="0"/>
          <w:docGrid w:type="lines" w:linePitch="312" w:charSpace="0"/>
        </w:sectPr>
      </w:pPr>
    </w:p>
    <w:p w14:paraId="375B24D5">
      <w:pPr>
        <w:spacing w:line="540" w:lineRule="exact"/>
        <w:ind w:left="0" w:leftChars="0" w:firstLine="0" w:firstLineChars="0"/>
        <w:rPr>
          <w:rFonts w:hint="eastAsia" w:ascii="黑体" w:hAnsi="黑体" w:eastAsia="黑体" w:cs="黑体"/>
          <w:b w:val="0"/>
          <w:bCs w:val="0"/>
          <w:color w:val="auto"/>
          <w:sz w:val="32"/>
          <w:szCs w:val="32"/>
          <w:u w:val="none" w:color="auto"/>
          <w:lang w:val="en-US" w:eastAsia="zh-CN"/>
        </w:rPr>
      </w:pPr>
      <w:r>
        <w:rPr>
          <w:rFonts w:hint="eastAsia" w:ascii="黑体" w:hAnsi="黑体" w:eastAsia="黑体" w:cs="黑体"/>
          <w:b w:val="0"/>
          <w:bCs w:val="0"/>
          <w:color w:val="auto"/>
          <w:sz w:val="32"/>
          <w:szCs w:val="32"/>
          <w:u w:val="none" w:color="auto"/>
          <w:lang w:val="en-US" w:eastAsia="zh-CN"/>
        </w:rPr>
        <w:t>附</w:t>
      </w:r>
    </w:p>
    <w:p w14:paraId="58CD354D">
      <w:pPr>
        <w:ind w:left="0" w:leftChars="0" w:firstLine="0" w:firstLineChars="0"/>
        <w:rPr>
          <w:rFonts w:hint="eastAsia" w:ascii="仿宋_GB2312" w:hAnsi="仿宋_GB2312" w:eastAsia="仿宋_GB2312" w:cs="仿宋_GB2312"/>
          <w:color w:val="auto"/>
          <w:sz w:val="32"/>
          <w:szCs w:val="32"/>
          <w:u w:val="none" w:color="auto"/>
        </w:rPr>
      </w:pPr>
    </w:p>
    <w:p w14:paraId="61AD18AB">
      <w:pPr>
        <w:spacing w:line="540" w:lineRule="exact"/>
        <w:ind w:left="0" w:leftChars="0" w:firstLine="0" w:firstLineChars="0"/>
        <w:jc w:val="center"/>
        <w:rPr>
          <w:rFonts w:hint="eastAsia" w:ascii="方正小标宋简体" w:hAnsi="方正小标宋简体" w:eastAsia="方正小标宋简体" w:cs="方正小标宋简体"/>
          <w:b w:val="0"/>
          <w:bCs w:val="0"/>
          <w:color w:val="auto"/>
          <w:sz w:val="44"/>
          <w:szCs w:val="44"/>
          <w:u w:val="none" w:color="auto"/>
          <w:lang w:val="en-US" w:eastAsia="zh-CN"/>
        </w:rPr>
      </w:pPr>
      <w:r>
        <w:rPr>
          <w:rFonts w:hint="eastAsia" w:ascii="方正小标宋简体" w:hAnsi="方正小标宋简体" w:eastAsia="方正小标宋简体" w:cs="方正小标宋简体"/>
          <w:b w:val="0"/>
          <w:bCs w:val="0"/>
          <w:color w:val="auto"/>
          <w:sz w:val="44"/>
          <w:szCs w:val="44"/>
          <w:u w:val="none" w:color="auto"/>
          <w:lang w:val="en-US" w:eastAsia="zh-CN"/>
        </w:rPr>
        <w:t>试点单位名单</w:t>
      </w:r>
    </w:p>
    <w:p w14:paraId="7E69B7DC">
      <w:pPr>
        <w:spacing w:line="540" w:lineRule="exact"/>
        <w:ind w:left="0" w:leftChars="0" w:firstLine="0" w:firstLineChars="0"/>
        <w:jc w:val="center"/>
        <w:rPr>
          <w:rFonts w:hint="default" w:ascii="Times New Roman" w:hAnsi="Times New Roman" w:eastAsia="仿宋_GB2312" w:cs="Times New Roman"/>
          <w:b w:val="0"/>
          <w:bCs w:val="0"/>
          <w:color w:val="auto"/>
          <w:sz w:val="32"/>
          <w:szCs w:val="32"/>
          <w:u w:val="none" w:color="auto"/>
          <w:lang w:val="en-US" w:eastAsia="zh-CN"/>
        </w:rPr>
      </w:pPr>
      <w:r>
        <w:rPr>
          <w:rFonts w:hint="default" w:ascii="Times New Roman" w:hAnsi="Times New Roman" w:eastAsia="仿宋_GB2312" w:cs="Times New Roman"/>
          <w:b w:val="0"/>
          <w:bCs w:val="0"/>
          <w:color w:val="auto"/>
          <w:sz w:val="32"/>
          <w:szCs w:val="32"/>
          <w:u w:val="none" w:color="auto"/>
          <w:lang w:val="en-US" w:eastAsia="zh-CN"/>
        </w:rPr>
        <w:t>（共15家）</w:t>
      </w:r>
    </w:p>
    <w:p w14:paraId="53D8EF4F">
      <w:pPr>
        <w:spacing w:line="540" w:lineRule="exact"/>
        <w:ind w:firstLine="643"/>
        <w:jc w:val="center"/>
        <w:rPr>
          <w:rFonts w:hint="default" w:ascii="Times New Roman" w:hAnsi="Times New Roman" w:eastAsia="仿宋_GB2312" w:cs="Times New Roman"/>
          <w:b w:val="0"/>
          <w:bCs w:val="0"/>
          <w:color w:val="auto"/>
          <w:sz w:val="32"/>
          <w:szCs w:val="32"/>
          <w:u w:val="none" w:color="auto"/>
          <w:lang w:val="en-US" w:eastAsia="zh-CN"/>
        </w:rPr>
      </w:pPr>
    </w:p>
    <w:p w14:paraId="460A83A9">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 xml:space="preserve">一、科研院所（4 家） </w:t>
      </w:r>
    </w:p>
    <w:p w14:paraId="434DA642">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    广西科学院、</w:t>
      </w:r>
      <w:r>
        <w:rPr>
          <w:rFonts w:hint="eastAsia" w:ascii="Times New Roman" w:hAnsi="Times New Roman" w:eastAsia="仿宋_GB2312" w:cs="Times New Roman"/>
          <w:color w:val="000000"/>
          <w:kern w:val="0"/>
          <w:sz w:val="32"/>
          <w:szCs w:val="32"/>
          <w:u w:val="none" w:color="auto"/>
          <w:lang w:val="en-US" w:eastAsia="zh-CN" w:bidi="ar"/>
        </w:rPr>
        <w:t>自治区</w:t>
      </w:r>
      <w:r>
        <w:rPr>
          <w:rFonts w:hint="default" w:ascii="Times New Roman" w:hAnsi="Times New Roman" w:eastAsia="仿宋_GB2312" w:cs="Times New Roman"/>
          <w:color w:val="000000"/>
          <w:kern w:val="0"/>
          <w:sz w:val="32"/>
          <w:szCs w:val="32"/>
          <w:u w:val="none" w:color="auto"/>
          <w:lang w:val="en-US" w:eastAsia="zh-CN" w:bidi="ar"/>
        </w:rPr>
        <w:t>农科院、广西林科院、广西壮族自治区人民医院（广西医学科学院）。</w:t>
      </w:r>
    </w:p>
    <w:p w14:paraId="12D4DF15">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 xml:space="preserve">二、高校或其附属机构（6 家） </w:t>
      </w:r>
    </w:p>
    <w:p w14:paraId="63E264D2">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    广西大学、广西医科大学、广西医科大学第一附属医院、桂林理工大学、广西中医药大学、广西中医药大学第一附属医院。</w:t>
      </w:r>
    </w:p>
    <w:p w14:paraId="024991B6">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三、企业（</w:t>
      </w:r>
      <w:r>
        <w:rPr>
          <w:rFonts w:hint="eastAsia" w:ascii="Times New Roman" w:hAnsi="Times New Roman" w:eastAsia="黑体" w:cs="Times New Roman"/>
          <w:color w:val="000000"/>
          <w:kern w:val="0"/>
          <w:sz w:val="32"/>
          <w:szCs w:val="32"/>
          <w:u w:val="none" w:color="auto"/>
          <w:lang w:val="en-US" w:eastAsia="zh-CN" w:bidi="ar"/>
        </w:rPr>
        <w:t>5</w:t>
      </w:r>
      <w:r>
        <w:rPr>
          <w:rFonts w:hint="default" w:ascii="Times New Roman" w:hAnsi="Times New Roman" w:eastAsia="黑体" w:cs="Times New Roman"/>
          <w:color w:val="000000"/>
          <w:kern w:val="0"/>
          <w:sz w:val="32"/>
          <w:szCs w:val="32"/>
          <w:u w:val="none" w:color="auto"/>
          <w:lang w:val="en-US" w:eastAsia="zh-CN" w:bidi="ar"/>
        </w:rPr>
        <w:t xml:space="preserve">家） </w:t>
      </w:r>
    </w:p>
    <w:p w14:paraId="688A7453">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u w:val="none" w:color="auto"/>
          <w:lang w:val="en-US" w:eastAsia="zh-CN" w:bidi="ar"/>
        </w:rPr>
      </w:pPr>
      <w:r>
        <w:rPr>
          <w:rFonts w:hint="default" w:ascii="Times New Roman" w:hAnsi="Times New Roman" w:eastAsia="仿宋_GB2312" w:cs="Times New Roman"/>
          <w:color w:val="000000"/>
          <w:kern w:val="0"/>
          <w:sz w:val="32"/>
          <w:szCs w:val="32"/>
          <w:u w:val="none" w:color="auto"/>
          <w:lang w:val="en-US" w:eastAsia="zh-CN" w:bidi="ar"/>
        </w:rPr>
        <w:t>广西玉柴机器股份有限公司、平陆运河集团有限公司、广西交通投资集团、广西柳工集团有限公司、广西汽车集团有限公司。</w:t>
      </w:r>
    </w:p>
    <w:p w14:paraId="37D041D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Times New Roman" w:hAnsi="Times New Roman" w:eastAsia="仿宋_GB2312" w:cs="Times New Roman"/>
          <w:sz w:val="32"/>
          <w:szCs w:val="32"/>
        </w:rPr>
      </w:pPr>
    </w:p>
    <w:sectPr>
      <w:headerReference r:id="rId7" w:type="first"/>
      <w:footerReference r:id="rId9" w:type="first"/>
      <w:headerReference r:id="rId6" w:type="default"/>
      <w:footerReference r:id="rId8" w:type="default"/>
      <w:pgSz w:w="11906" w:h="16838"/>
      <w:pgMar w:top="2098" w:right="1531" w:bottom="1701" w:left="1531" w:header="851" w:footer="1417" w:gutter="0"/>
      <w:paperSrc/>
      <w:pgNumType w:fmt="decimal"/>
      <w:cols w:space="720" w:num="1"/>
      <w:titlePg/>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方正黑体_GBK">
    <w:altName w:val="微软雅黑"/>
    <w:panose1 w:val="02000000000000000000"/>
    <w:charset w:val="86"/>
    <w:family w:val="script"/>
    <w:pitch w:val="default"/>
    <w:sig w:usb0="00000001" w:usb1="08000000" w:usb2="00000000" w:usb3="00000000" w:csb0="00040000" w:csb1="00000000"/>
  </w:font>
  <w:font w:name="Arial">
    <w:panose1 w:val="020B0604020202020204"/>
    <w:charset w:val="00"/>
    <w:family w:val="swiss"/>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方正仿宋_GBK">
    <w:altName w:val="微软雅黑"/>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7C30A">
    <w:pPr>
      <w:pStyle w:val="10"/>
      <w:ind w:firstLine="0" w:firstLineChars="0"/>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10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0CAFA46E">
                          <w:pPr>
                            <w:pStyle w:val="10"/>
                            <w:ind w:firstLine="0" w:firstLineChars="0"/>
                            <w:rPr>
                              <w:rFonts w:hint="default" w:ascii="Times New Roman" w:hAnsi="Times New Roman" w:eastAsia="宋体" w:cs="Times New Roman"/>
                              <w:sz w:val="28"/>
                              <w:szCs w:val="28"/>
                            </w:rPr>
                          </w:pPr>
                          <w:r>
                            <w:rPr>
                              <w:rFonts w:hint="default" w:ascii="Times New Roman" w:hAnsi="Times New Roman" w:eastAsia="宋体" w:cs="Times New Roman"/>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2</w:t>
                          </w:r>
                          <w:r>
                            <w:rPr>
                              <w:rFonts w:hint="default" w:ascii="Times New Roman" w:hAnsi="Times New Roman" w:eastAsia="宋体" w:cs="Times New Roman"/>
                              <w:sz w:val="28"/>
                              <w:szCs w:val="28"/>
                            </w:rPr>
                            <w:fldChar w:fldCharType="end"/>
                          </w:r>
                          <w:r>
                            <w:rPr>
                              <w:rFonts w:hint="default" w:ascii="Times New Roman" w:hAnsi="Times New Roman" w:eastAsia="宋体" w:cs="Times New Roman"/>
                              <w:sz w:val="28"/>
                              <w:szCs w:val="28"/>
                            </w:rPr>
                            <w:t xml:space="preserve"> —</w:t>
                          </w:r>
                        </w:p>
                      </w:txbxContent>
                    </wps:txbx>
                    <wps:bodyPr vert="horz" wrap="none" lIns="0" tIns="0" rIns="0" bIns="0" anchor="t" anchorCtr="0" upright="1">
                      <a:spAutoFit/>
                    </wps:bodyPr>
                  </wps:wsp>
                </a:graphicData>
              </a:graphic>
            </wp:anchor>
          </w:drawing>
        </mc:Choice>
        <mc:Fallback>
          <w:pict>
            <v:shape id="文本框 1039"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LNJWO7QAAAABQEA&#10;AA8AAAAAAAAAAQAgAAAAIgAAAGRycy9kb3ducmV2LnhtbFBLAQIUABQAAAAIAIdO4kA6ZOo36QEA&#10;AMoDAAAOAAAAAAAAAAEAIAAAAB8BAABkcnMvZTJvRG9jLnhtbFBLBQYAAAAABgAGAFkBAAB6BQAA&#10;AAA=&#10;">
              <v:fill on="f" focussize="0,0"/>
              <v:stroke on="f" weight="0.5pt"/>
              <v:imagedata o:title=""/>
              <o:lock v:ext="edit" aspectratio="f"/>
              <v:textbox inset="0mm,0mm,0mm,0mm" style="mso-fit-shape-to-text:t;">
                <w:txbxContent>
                  <w:p w14:paraId="0CAFA46E">
                    <w:pPr>
                      <w:pStyle w:val="10"/>
                      <w:ind w:firstLine="0" w:firstLineChars="0"/>
                      <w:rPr>
                        <w:rFonts w:hint="default" w:ascii="Times New Roman" w:hAnsi="Times New Roman" w:eastAsia="宋体" w:cs="Times New Roman"/>
                        <w:sz w:val="28"/>
                        <w:szCs w:val="28"/>
                      </w:rPr>
                    </w:pPr>
                    <w:r>
                      <w:rPr>
                        <w:rFonts w:hint="default" w:ascii="Times New Roman" w:hAnsi="Times New Roman" w:eastAsia="宋体" w:cs="Times New Roman"/>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2</w:t>
                    </w:r>
                    <w:r>
                      <w:rPr>
                        <w:rFonts w:hint="default" w:ascii="Times New Roman" w:hAnsi="Times New Roman" w:eastAsia="宋体" w:cs="Times New Roman"/>
                        <w:sz w:val="28"/>
                        <w:szCs w:val="28"/>
                      </w:rPr>
                      <w:fldChar w:fldCharType="end"/>
                    </w:r>
                    <w:r>
                      <w:rPr>
                        <w:rFonts w:hint="default" w:ascii="Times New Roman" w:hAnsi="Times New Roman" w:eastAsia="宋体" w:cs="Times New Roman"/>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507C8">
    <w:pPr>
      <w:pStyle w:val="10"/>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10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1E516476">
                          <w:pPr>
                            <w:pStyle w:val="1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1045"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ql5uc8AAAAFAQAA&#10;DwAAAAAAAAABACAAAAAiAAAAZHJzL2Rvd25yZXYueG1sUEsBAhQAFAAAAAgAh07iQDaMExzpAQAA&#10;ygMAAA4AAAAAAAAAAQAgAAAAHgEAAGRycy9lMm9Eb2MueG1sUEsFBgAAAAAGAAYAWQEAAHkFAAAA&#10;AA==&#10;">
              <v:fill on="f" focussize="0,0"/>
              <v:stroke on="f"/>
              <v:imagedata o:title=""/>
              <o:lock v:ext="edit" aspectratio="f"/>
              <v:textbox inset="0mm,0mm,0mm,0mm" style="mso-fit-shape-to-text:t;">
                <w:txbxContent>
                  <w:p w14:paraId="1E516476">
                    <w:pPr>
                      <w:pStyle w:val="1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30DFE">
    <w:pPr>
      <w:pStyle w:val="10"/>
      <w:spacing w:line="360" w:lineRule="exact"/>
      <w:jc w:val="both"/>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22935" cy="204470"/>
              <wp:effectExtent l="0" t="0" r="0" b="0"/>
              <wp:wrapNone/>
              <wp:docPr id="1" name="Text Box 5"/>
              <wp:cNvGraphicFramePr/>
              <a:graphic xmlns:a="http://schemas.openxmlformats.org/drawingml/2006/main">
                <a:graphicData uri="http://schemas.microsoft.com/office/word/2010/wordprocessingShape">
                  <wps:wsp>
                    <wps:cNvSpPr txBox="1"/>
                    <wps:spPr>
                      <a:xfrm>
                        <a:off x="0" y="0"/>
                        <a:ext cx="622935" cy="204470"/>
                      </a:xfrm>
                      <a:prstGeom prst="rect">
                        <a:avLst/>
                      </a:prstGeom>
                      <a:noFill/>
                      <a:ln>
                        <a:noFill/>
                      </a:ln>
                    </wps:spPr>
                    <wps:txbx>
                      <w:txbxContent>
                        <w:p w14:paraId="7DDB47EE">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vert="horz" wrap="none" lIns="0" tIns="0" rIns="0" bIns="0" anchor="t" anchorCtr="0" upright="1">
                      <a:spAutoFit/>
                    </wps:bodyPr>
                  </wps:wsp>
                </a:graphicData>
              </a:graphic>
            </wp:anchor>
          </w:drawing>
        </mc:Choice>
        <mc:Fallback>
          <w:pict>
            <v:shape id="Text Box 5" o:spid="_x0000_s1026" o:spt="202" type="#_x0000_t202" style="position:absolute;left:0pt;margin-top:0pt;height:16.1pt;width:49.05pt;mso-position-horizontal:outside;mso-position-horizontal-relative:margin;mso-wrap-style:none;z-index:251659264;mso-width-relative:page;mso-height-relative:page;" filled="f" stroked="f" coordsize="21600,21600" o:gfxdata="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JWDyM0QAAAAMBAAAPAAAAAAAAAAEAIAAAACIAAABk&#10;cnMvZG93bnJldi54bWxQSwECFAAUAAAACACHTuJAs3Wnl9QBAAC7AwAADgAAAAAAAAABACAAAAAg&#10;AQAAZHJzL2Uyb0RvYy54bWxQSwUGAAAAAAYABgBZAQAAZgUAAAAA&#10;">
              <v:fill on="f" focussize="0,0"/>
              <v:stroke on="f"/>
              <v:imagedata o:title=""/>
              <o:lock v:ext="edit" aspectratio="f"/>
              <v:textbox inset="0mm,0mm,0mm,0mm" style="mso-fit-shape-to-text:t;">
                <w:txbxContent>
                  <w:p w14:paraId="7DDB47EE">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6BED7">
    <w:pPr>
      <w:pStyle w:val="10"/>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10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14F29942">
                          <w:pPr>
                            <w:pStyle w:val="10"/>
                          </w:pPr>
                          <w:r>
                            <w:t xml:space="preserve">— </w:t>
                          </w:r>
                          <w:r>
                            <w:fldChar w:fldCharType="begin"/>
                          </w:r>
                          <w:r>
                            <w:instrText xml:space="preserve"> PAGE  \* MERGEFORMAT </w:instrText>
                          </w:r>
                          <w:r>
                            <w:fldChar w:fldCharType="separate"/>
                          </w:r>
                          <w:r>
                            <w:t>11</w:t>
                          </w:r>
                          <w:r>
                            <w:fldChar w:fldCharType="end"/>
                          </w:r>
                          <w:r>
                            <w:t xml:space="preserve"> —</w:t>
                          </w:r>
                        </w:p>
                      </w:txbxContent>
                    </wps:txbx>
                    <wps:bodyPr vert="horz" wrap="none" lIns="0" tIns="0" rIns="0" bIns="0" anchor="t" anchorCtr="0" upright="0">
                      <a:spAutoFit/>
                    </wps:bodyPr>
                  </wps:wsp>
                </a:graphicData>
              </a:graphic>
            </wp:anchor>
          </w:drawing>
        </mc:Choice>
        <mc:Fallback>
          <w:pict>
            <v:shape id="文本框 104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ql5uc8AAAAFAQAA&#10;DwAAAAAAAAABACAAAAAiAAAAZHJzL2Rvd25yZXYueG1sUEsBAhQAFAAAAAgAh07iQOZG4zbpAQAA&#10;ygMAAA4AAAAAAAAAAQAgAAAAHgEAAGRycy9lMm9Eb2MueG1sUEsFBgAAAAAGAAYAWQEAAHkFAAAA&#10;AA==&#10;">
              <v:fill on="f" focussize="0,0"/>
              <v:stroke on="f"/>
              <v:imagedata o:title=""/>
              <o:lock v:ext="edit" aspectratio="f"/>
              <v:textbox inset="0mm,0mm,0mm,0mm" style="mso-fit-shape-to-text:t;">
                <w:txbxContent>
                  <w:p w14:paraId="14F29942">
                    <w:pPr>
                      <w:pStyle w:val="10"/>
                    </w:pPr>
                    <w:r>
                      <w:t xml:space="preserve">— </w:t>
                    </w:r>
                    <w:r>
                      <w:fldChar w:fldCharType="begin"/>
                    </w:r>
                    <w:r>
                      <w:instrText xml:space="preserve"> PAGE  \* MERGEFORMAT </w:instrText>
                    </w:r>
                    <w:r>
                      <w:fldChar w:fldCharType="separate"/>
                    </w:r>
                    <w:r>
                      <w:t>11</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C2A36">
    <w:r>
      <mc:AlternateContent>
        <mc:Choice Requires="wps">
          <w:drawing>
            <wp:anchor distT="0" distB="0" distL="114300" distR="114300" simplePos="0" relativeHeight="251660288" behindDoc="0" locked="0" layoutInCell="1" allowOverlap="1">
              <wp:simplePos x="0" y="0"/>
              <wp:positionH relativeFrom="page">
                <wp:posOffset>0</wp:posOffset>
              </wp:positionH>
              <wp:positionV relativeFrom="page">
                <wp:posOffset>0</wp:posOffset>
              </wp:positionV>
              <wp:extent cx="635" cy="0"/>
              <wp:effectExtent l="0" t="0" r="0" b="0"/>
              <wp:wrapNone/>
              <wp:docPr id="2" name="ImpTraceLabel"/>
              <wp:cNvGraphicFramePr/>
              <a:graphic xmlns:a="http://schemas.openxmlformats.org/drawingml/2006/main">
                <a:graphicData uri="http://schemas.microsoft.com/office/word/2010/wordprocessingShape">
                  <wps:wsp>
                    <wps:cNvSpPr txBox="1"/>
                    <wps:spPr>
                      <a:xfrm>
                        <a:off x="0" y="0"/>
                        <a:ext cx="635" cy="0"/>
                      </a:xfrm>
                      <a:prstGeom prst="rect">
                        <a:avLst/>
                      </a:prstGeom>
                      <a:noFill/>
                      <a:ln>
                        <a:noFill/>
                      </a:ln>
                    </wps:spPr>
                    <wps:txbx>
                      <w:txbxContent>
                        <w:p w14:paraId="1516F9A7">
                          <w:r>
                            <w:t>ImpTraceLabel=PD94bWwgdmVyc2lvbj0nMS4wJyBlbmNvZGluZz0nVVRGLTgnPz48dHJhY2U+PGNvbnRlbnQ+PC9jb250ZW50PjxhY2NvdW50PjNrdXZhYmNpOWhjY2gwdjdtODNxdHE8L2FjY291bnQ+PG1hY2hpbmVDb2RlPkszOFpTM0gwMDE1NjgKPC9tYWNoaW5lQ29kZT48dGltZT4yMDI1LTAzLTI2IDE1OjI0OjMzPC90aW1lPjxzeXN0ZW0+TUI8c3lzdGVtPjwvdHJhY2U+</w:t>
                          </w:r>
                        </w:p>
                      </w:txbxContent>
                    </wps:txbx>
                    <wps:bodyPr wrap="square" upright="1"/>
                  </wps:wsp>
                </a:graphicData>
              </a:graphic>
            </wp:anchor>
          </w:drawing>
        </mc:Choice>
        <mc:Fallback>
          <w:pict>
            <v:shape id="ImpTraceLabel" o:spid="_x0000_s1026" o:spt="202" type="#_x0000_t202" style="position:absolute;left:0pt;margin-left:0pt;margin-top:0pt;height:0pt;width:0.05pt;mso-position-horizontal-relative:page;mso-position-vertical-relative:page;z-index:251660288;mso-width-relative:page;mso-height-relative:page;" filled="f" stroked="f" coordsize="21600,21600" o:gfxdata="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">
              <v:fill on="f" focussize="0,0"/>
              <v:stroke on="f"/>
              <v:imagedata o:title=""/>
              <o:lock v:ext="edit" aspectratio="f"/>
              <v:textbox>
                <w:txbxContent>
                  <w:p w14:paraId="1516F9A7">
                    <w:r>
                      <w:t>ImpTraceLabel=PD94bWwgdmVyc2lvbj0nMS4wJyBlbmNvZGluZz0nVVRGLTgnPz48dHJhY2U+PGNvbnRlbnQ+PC9jb250ZW50PjxhY2NvdW50PjNrdXZhYmNpOWhjY2gwdjdtODNxdHE8L2FjY291bnQ+PG1hY2hpbmVDb2RlPkszOFpTM0gwMDE1NjgKPC9tYWNoaW5lQ29kZT48dGltZT4yMDI1LTAzLTI2IDE1OjI0OjMzPC90aW1lPjxzeXN0ZW0+TUI8c3lzdGVtPjwvdHJhY2U+</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9FC889">
    <w:pPr>
      <w:pStyle w:val="11"/>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7D14D">
    <w:pPr>
      <w:pStyle w:val="11"/>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hyphenationZone w:val="360"/>
  <w:drawingGridHorizontalSpacing w:val="210"/>
  <w:drawingGridVerticalSpacing w:val="158"/>
  <w:displayHorizontalDrawingGridEvery w:val="1"/>
  <w:displayVerticalDrawingGridEvery w:val="2"/>
  <w:characterSpacingControl w:val="compressPunctuation"/>
  <w:hdrShapeDefaults>
    <o:shapelayout v:ext="edit">
      <o:idmap v:ext="edit" data="2,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7F6923"/>
    <w:rsid w:val="000002F1"/>
    <w:rsid w:val="00000F55"/>
    <w:rsid w:val="000045D6"/>
    <w:rsid w:val="00020D2A"/>
    <w:rsid w:val="00024006"/>
    <w:rsid w:val="000310D0"/>
    <w:rsid w:val="000332C3"/>
    <w:rsid w:val="000543BF"/>
    <w:rsid w:val="00056C43"/>
    <w:rsid w:val="00064356"/>
    <w:rsid w:val="000650BC"/>
    <w:rsid w:val="00074AA6"/>
    <w:rsid w:val="00075405"/>
    <w:rsid w:val="0007604C"/>
    <w:rsid w:val="00080ABC"/>
    <w:rsid w:val="00082B48"/>
    <w:rsid w:val="000848DC"/>
    <w:rsid w:val="00086F61"/>
    <w:rsid w:val="00090177"/>
    <w:rsid w:val="000958FB"/>
    <w:rsid w:val="00095A3D"/>
    <w:rsid w:val="000A2E76"/>
    <w:rsid w:val="000B6F89"/>
    <w:rsid w:val="000C12DE"/>
    <w:rsid w:val="000C1AE3"/>
    <w:rsid w:val="000D4071"/>
    <w:rsid w:val="000E4BB4"/>
    <w:rsid w:val="000F3210"/>
    <w:rsid w:val="000F369E"/>
    <w:rsid w:val="000F38E3"/>
    <w:rsid w:val="000F518C"/>
    <w:rsid w:val="000F6F50"/>
    <w:rsid w:val="000F7248"/>
    <w:rsid w:val="001011E4"/>
    <w:rsid w:val="001014C1"/>
    <w:rsid w:val="0011417A"/>
    <w:rsid w:val="001179BC"/>
    <w:rsid w:val="00122223"/>
    <w:rsid w:val="00124233"/>
    <w:rsid w:val="00143345"/>
    <w:rsid w:val="0014506C"/>
    <w:rsid w:val="001528C3"/>
    <w:rsid w:val="00157938"/>
    <w:rsid w:val="00157C4D"/>
    <w:rsid w:val="0016161B"/>
    <w:rsid w:val="0017337B"/>
    <w:rsid w:val="00173CC8"/>
    <w:rsid w:val="00183C60"/>
    <w:rsid w:val="00183E30"/>
    <w:rsid w:val="001910CE"/>
    <w:rsid w:val="00194269"/>
    <w:rsid w:val="001A3E4C"/>
    <w:rsid w:val="001A5CB6"/>
    <w:rsid w:val="001B2E7C"/>
    <w:rsid w:val="001B49F0"/>
    <w:rsid w:val="001C7F46"/>
    <w:rsid w:val="001D390D"/>
    <w:rsid w:val="001E6799"/>
    <w:rsid w:val="0021055E"/>
    <w:rsid w:val="002177BE"/>
    <w:rsid w:val="00221285"/>
    <w:rsid w:val="00224E91"/>
    <w:rsid w:val="00242EB2"/>
    <w:rsid w:val="0024545E"/>
    <w:rsid w:val="00251261"/>
    <w:rsid w:val="002513F4"/>
    <w:rsid w:val="002539DB"/>
    <w:rsid w:val="002546D9"/>
    <w:rsid w:val="0025551C"/>
    <w:rsid w:val="002718DF"/>
    <w:rsid w:val="00287AAE"/>
    <w:rsid w:val="00294BD7"/>
    <w:rsid w:val="002951A6"/>
    <w:rsid w:val="002975AC"/>
    <w:rsid w:val="002A3792"/>
    <w:rsid w:val="002C7CAD"/>
    <w:rsid w:val="002D02E5"/>
    <w:rsid w:val="002D1462"/>
    <w:rsid w:val="002E197D"/>
    <w:rsid w:val="002E22FF"/>
    <w:rsid w:val="00301927"/>
    <w:rsid w:val="00301B62"/>
    <w:rsid w:val="00310AA9"/>
    <w:rsid w:val="003172AC"/>
    <w:rsid w:val="0032056E"/>
    <w:rsid w:val="00326A0C"/>
    <w:rsid w:val="00340EAD"/>
    <w:rsid w:val="00355CA7"/>
    <w:rsid w:val="00366729"/>
    <w:rsid w:val="00375591"/>
    <w:rsid w:val="003758E4"/>
    <w:rsid w:val="00385E7E"/>
    <w:rsid w:val="00392B63"/>
    <w:rsid w:val="0039657C"/>
    <w:rsid w:val="00396CAE"/>
    <w:rsid w:val="003B364F"/>
    <w:rsid w:val="003C48E0"/>
    <w:rsid w:val="003C6B62"/>
    <w:rsid w:val="003D7A4F"/>
    <w:rsid w:val="003E2531"/>
    <w:rsid w:val="003E420D"/>
    <w:rsid w:val="003E5397"/>
    <w:rsid w:val="003F1CF8"/>
    <w:rsid w:val="003F1E2C"/>
    <w:rsid w:val="003F2513"/>
    <w:rsid w:val="003F66C8"/>
    <w:rsid w:val="00411A4B"/>
    <w:rsid w:val="00412DBE"/>
    <w:rsid w:val="00420312"/>
    <w:rsid w:val="00432939"/>
    <w:rsid w:val="00435EB9"/>
    <w:rsid w:val="00436309"/>
    <w:rsid w:val="00451939"/>
    <w:rsid w:val="0045446C"/>
    <w:rsid w:val="0046084D"/>
    <w:rsid w:val="00460B46"/>
    <w:rsid w:val="00461956"/>
    <w:rsid w:val="004652B3"/>
    <w:rsid w:val="00467301"/>
    <w:rsid w:val="00470EEC"/>
    <w:rsid w:val="00475153"/>
    <w:rsid w:val="00480D67"/>
    <w:rsid w:val="0048462D"/>
    <w:rsid w:val="00485383"/>
    <w:rsid w:val="00492057"/>
    <w:rsid w:val="00493B51"/>
    <w:rsid w:val="004B3D2A"/>
    <w:rsid w:val="004C449C"/>
    <w:rsid w:val="004C59C9"/>
    <w:rsid w:val="004D13BC"/>
    <w:rsid w:val="004D6EE5"/>
    <w:rsid w:val="004D72CB"/>
    <w:rsid w:val="004F0CAE"/>
    <w:rsid w:val="004F155E"/>
    <w:rsid w:val="00514691"/>
    <w:rsid w:val="005315A4"/>
    <w:rsid w:val="00543354"/>
    <w:rsid w:val="005530FE"/>
    <w:rsid w:val="00571856"/>
    <w:rsid w:val="005728CF"/>
    <w:rsid w:val="00576564"/>
    <w:rsid w:val="005802FA"/>
    <w:rsid w:val="00585CDF"/>
    <w:rsid w:val="0059366F"/>
    <w:rsid w:val="005A05FD"/>
    <w:rsid w:val="005A4022"/>
    <w:rsid w:val="005A45E7"/>
    <w:rsid w:val="005B5143"/>
    <w:rsid w:val="005C2387"/>
    <w:rsid w:val="005C550A"/>
    <w:rsid w:val="005D02FF"/>
    <w:rsid w:val="005D1EF7"/>
    <w:rsid w:val="005D3C02"/>
    <w:rsid w:val="005D5F9B"/>
    <w:rsid w:val="005E6BD3"/>
    <w:rsid w:val="005E7B75"/>
    <w:rsid w:val="005F0A3B"/>
    <w:rsid w:val="005F2501"/>
    <w:rsid w:val="005F2B35"/>
    <w:rsid w:val="00601A7A"/>
    <w:rsid w:val="006337F8"/>
    <w:rsid w:val="00646C4C"/>
    <w:rsid w:val="00647244"/>
    <w:rsid w:val="0066006F"/>
    <w:rsid w:val="00672C88"/>
    <w:rsid w:val="00673E4F"/>
    <w:rsid w:val="00692AB5"/>
    <w:rsid w:val="006937AE"/>
    <w:rsid w:val="006A11B1"/>
    <w:rsid w:val="006B1924"/>
    <w:rsid w:val="006D055A"/>
    <w:rsid w:val="006D70E0"/>
    <w:rsid w:val="006E68D3"/>
    <w:rsid w:val="00700D11"/>
    <w:rsid w:val="00715187"/>
    <w:rsid w:val="007236AF"/>
    <w:rsid w:val="00727900"/>
    <w:rsid w:val="00731295"/>
    <w:rsid w:val="007319E5"/>
    <w:rsid w:val="00732A3B"/>
    <w:rsid w:val="00736C57"/>
    <w:rsid w:val="00766A29"/>
    <w:rsid w:val="00780B22"/>
    <w:rsid w:val="00782B80"/>
    <w:rsid w:val="007900F7"/>
    <w:rsid w:val="007B578A"/>
    <w:rsid w:val="007B6E81"/>
    <w:rsid w:val="007B776C"/>
    <w:rsid w:val="007C330F"/>
    <w:rsid w:val="007C3DF2"/>
    <w:rsid w:val="007C7D17"/>
    <w:rsid w:val="007D5F53"/>
    <w:rsid w:val="007E5050"/>
    <w:rsid w:val="007E6699"/>
    <w:rsid w:val="008008A3"/>
    <w:rsid w:val="008011F2"/>
    <w:rsid w:val="00802E58"/>
    <w:rsid w:val="00807D66"/>
    <w:rsid w:val="008206C8"/>
    <w:rsid w:val="00824133"/>
    <w:rsid w:val="00824F7E"/>
    <w:rsid w:val="00827E39"/>
    <w:rsid w:val="00831804"/>
    <w:rsid w:val="00833F4B"/>
    <w:rsid w:val="00841148"/>
    <w:rsid w:val="00843766"/>
    <w:rsid w:val="00851578"/>
    <w:rsid w:val="00852B03"/>
    <w:rsid w:val="00871C90"/>
    <w:rsid w:val="00874932"/>
    <w:rsid w:val="0088764E"/>
    <w:rsid w:val="00894586"/>
    <w:rsid w:val="008B2639"/>
    <w:rsid w:val="008D4478"/>
    <w:rsid w:val="008E3D5E"/>
    <w:rsid w:val="008F3D02"/>
    <w:rsid w:val="008F6383"/>
    <w:rsid w:val="0090136C"/>
    <w:rsid w:val="00902B6F"/>
    <w:rsid w:val="00914BC9"/>
    <w:rsid w:val="0091512E"/>
    <w:rsid w:val="00921B71"/>
    <w:rsid w:val="009223CE"/>
    <w:rsid w:val="00924D4D"/>
    <w:rsid w:val="009274E2"/>
    <w:rsid w:val="00933C59"/>
    <w:rsid w:val="009411B9"/>
    <w:rsid w:val="0095073F"/>
    <w:rsid w:val="00957787"/>
    <w:rsid w:val="00957A9B"/>
    <w:rsid w:val="00964E62"/>
    <w:rsid w:val="009664B7"/>
    <w:rsid w:val="00971771"/>
    <w:rsid w:val="00981278"/>
    <w:rsid w:val="00990A61"/>
    <w:rsid w:val="00991840"/>
    <w:rsid w:val="00995E40"/>
    <w:rsid w:val="009A36EE"/>
    <w:rsid w:val="009A48ED"/>
    <w:rsid w:val="009B0742"/>
    <w:rsid w:val="009C5486"/>
    <w:rsid w:val="009D1A9E"/>
    <w:rsid w:val="009E086D"/>
    <w:rsid w:val="009E64BF"/>
    <w:rsid w:val="009F062D"/>
    <w:rsid w:val="009F1D81"/>
    <w:rsid w:val="009F38DA"/>
    <w:rsid w:val="009F7CAE"/>
    <w:rsid w:val="00A06A48"/>
    <w:rsid w:val="00A16656"/>
    <w:rsid w:val="00A21708"/>
    <w:rsid w:val="00A21EA2"/>
    <w:rsid w:val="00A22EA0"/>
    <w:rsid w:val="00A241EA"/>
    <w:rsid w:val="00A301F6"/>
    <w:rsid w:val="00A3236C"/>
    <w:rsid w:val="00A32D51"/>
    <w:rsid w:val="00A43BBB"/>
    <w:rsid w:val="00A469D1"/>
    <w:rsid w:val="00A4793B"/>
    <w:rsid w:val="00A50934"/>
    <w:rsid w:val="00A52EAA"/>
    <w:rsid w:val="00A55C92"/>
    <w:rsid w:val="00A56B53"/>
    <w:rsid w:val="00A56E5E"/>
    <w:rsid w:val="00A57520"/>
    <w:rsid w:val="00A62B2B"/>
    <w:rsid w:val="00A640D7"/>
    <w:rsid w:val="00A7698E"/>
    <w:rsid w:val="00A77A7C"/>
    <w:rsid w:val="00A922C5"/>
    <w:rsid w:val="00AA049C"/>
    <w:rsid w:val="00AB5361"/>
    <w:rsid w:val="00AC134C"/>
    <w:rsid w:val="00AC3DF7"/>
    <w:rsid w:val="00AC51D8"/>
    <w:rsid w:val="00AD4EEA"/>
    <w:rsid w:val="00AE0369"/>
    <w:rsid w:val="00AE4F06"/>
    <w:rsid w:val="00AE71C8"/>
    <w:rsid w:val="00AF0A05"/>
    <w:rsid w:val="00AF0B3E"/>
    <w:rsid w:val="00AF2244"/>
    <w:rsid w:val="00AF58CA"/>
    <w:rsid w:val="00AF5DE0"/>
    <w:rsid w:val="00B000BD"/>
    <w:rsid w:val="00B0207B"/>
    <w:rsid w:val="00B1275E"/>
    <w:rsid w:val="00B2484C"/>
    <w:rsid w:val="00B31F85"/>
    <w:rsid w:val="00B52205"/>
    <w:rsid w:val="00B6339F"/>
    <w:rsid w:val="00BA13CB"/>
    <w:rsid w:val="00BA4307"/>
    <w:rsid w:val="00BA52F7"/>
    <w:rsid w:val="00BB2FC6"/>
    <w:rsid w:val="00BC3BA6"/>
    <w:rsid w:val="00BD007D"/>
    <w:rsid w:val="00BD5664"/>
    <w:rsid w:val="00BD6D49"/>
    <w:rsid w:val="00BE2F0D"/>
    <w:rsid w:val="00BE532B"/>
    <w:rsid w:val="00BE797D"/>
    <w:rsid w:val="00BF1BD3"/>
    <w:rsid w:val="00BF33B8"/>
    <w:rsid w:val="00BF7728"/>
    <w:rsid w:val="00C06A55"/>
    <w:rsid w:val="00C1267B"/>
    <w:rsid w:val="00C22375"/>
    <w:rsid w:val="00C27326"/>
    <w:rsid w:val="00C2773E"/>
    <w:rsid w:val="00C32C34"/>
    <w:rsid w:val="00C355E8"/>
    <w:rsid w:val="00C44C95"/>
    <w:rsid w:val="00C4713B"/>
    <w:rsid w:val="00C50D26"/>
    <w:rsid w:val="00C52E2C"/>
    <w:rsid w:val="00C66A72"/>
    <w:rsid w:val="00C73C2A"/>
    <w:rsid w:val="00C75C33"/>
    <w:rsid w:val="00C76983"/>
    <w:rsid w:val="00C77FD8"/>
    <w:rsid w:val="00C80434"/>
    <w:rsid w:val="00C81658"/>
    <w:rsid w:val="00C85FE5"/>
    <w:rsid w:val="00C9192E"/>
    <w:rsid w:val="00C94256"/>
    <w:rsid w:val="00C95912"/>
    <w:rsid w:val="00C95C3C"/>
    <w:rsid w:val="00CA353A"/>
    <w:rsid w:val="00CA6196"/>
    <w:rsid w:val="00CC0100"/>
    <w:rsid w:val="00CC68AD"/>
    <w:rsid w:val="00CD4A58"/>
    <w:rsid w:val="00CE505D"/>
    <w:rsid w:val="00D16474"/>
    <w:rsid w:val="00D26E0D"/>
    <w:rsid w:val="00D3394E"/>
    <w:rsid w:val="00D46522"/>
    <w:rsid w:val="00D50D8A"/>
    <w:rsid w:val="00D60630"/>
    <w:rsid w:val="00D61433"/>
    <w:rsid w:val="00D62BFB"/>
    <w:rsid w:val="00D638BA"/>
    <w:rsid w:val="00D80D98"/>
    <w:rsid w:val="00DA58B3"/>
    <w:rsid w:val="00DC5977"/>
    <w:rsid w:val="00DD5BF7"/>
    <w:rsid w:val="00DE6CDC"/>
    <w:rsid w:val="00DF60A8"/>
    <w:rsid w:val="00E0750D"/>
    <w:rsid w:val="00E15FCA"/>
    <w:rsid w:val="00E16CFC"/>
    <w:rsid w:val="00E17C4D"/>
    <w:rsid w:val="00E21F7A"/>
    <w:rsid w:val="00E32D80"/>
    <w:rsid w:val="00E33C7F"/>
    <w:rsid w:val="00E34AF9"/>
    <w:rsid w:val="00E40241"/>
    <w:rsid w:val="00E4784D"/>
    <w:rsid w:val="00E66342"/>
    <w:rsid w:val="00E67D9B"/>
    <w:rsid w:val="00E724A0"/>
    <w:rsid w:val="00E76190"/>
    <w:rsid w:val="00E87771"/>
    <w:rsid w:val="00E9289F"/>
    <w:rsid w:val="00E95B2E"/>
    <w:rsid w:val="00E9621D"/>
    <w:rsid w:val="00EA24BA"/>
    <w:rsid w:val="00EC2EB8"/>
    <w:rsid w:val="00ED05A5"/>
    <w:rsid w:val="00EE269B"/>
    <w:rsid w:val="00EF4C03"/>
    <w:rsid w:val="00F028DA"/>
    <w:rsid w:val="00F03046"/>
    <w:rsid w:val="00F07C85"/>
    <w:rsid w:val="00F233D0"/>
    <w:rsid w:val="00F23782"/>
    <w:rsid w:val="00F3111F"/>
    <w:rsid w:val="00F31E23"/>
    <w:rsid w:val="00F33BCE"/>
    <w:rsid w:val="00F4571B"/>
    <w:rsid w:val="00F60DB5"/>
    <w:rsid w:val="00F62D3A"/>
    <w:rsid w:val="00F71396"/>
    <w:rsid w:val="00FA3C60"/>
    <w:rsid w:val="00FB0EA7"/>
    <w:rsid w:val="00FC6160"/>
    <w:rsid w:val="00FD12DB"/>
    <w:rsid w:val="00FD1FFE"/>
    <w:rsid w:val="00FD5E71"/>
    <w:rsid w:val="00FE46B3"/>
    <w:rsid w:val="00FF0E72"/>
    <w:rsid w:val="00FF2808"/>
    <w:rsid w:val="00FF3AC2"/>
    <w:rsid w:val="00FF3C7A"/>
    <w:rsid w:val="010630D0"/>
    <w:rsid w:val="034F6973"/>
    <w:rsid w:val="05CE6EB1"/>
    <w:rsid w:val="06982F19"/>
    <w:rsid w:val="087F6923"/>
    <w:rsid w:val="0B616901"/>
    <w:rsid w:val="0D445412"/>
    <w:rsid w:val="0EAA760A"/>
    <w:rsid w:val="16295DD9"/>
    <w:rsid w:val="25565D1A"/>
    <w:rsid w:val="27E239F2"/>
    <w:rsid w:val="280F74E7"/>
    <w:rsid w:val="2BC00920"/>
    <w:rsid w:val="2BE01BD6"/>
    <w:rsid w:val="2DBB9EC8"/>
    <w:rsid w:val="30B4648D"/>
    <w:rsid w:val="31E36869"/>
    <w:rsid w:val="335F56CE"/>
    <w:rsid w:val="355A3E1C"/>
    <w:rsid w:val="358B23F4"/>
    <w:rsid w:val="365A443E"/>
    <w:rsid w:val="373B525E"/>
    <w:rsid w:val="38FB5317"/>
    <w:rsid w:val="39AFAEF6"/>
    <w:rsid w:val="39B76556"/>
    <w:rsid w:val="39C7D0F5"/>
    <w:rsid w:val="3ACBA423"/>
    <w:rsid w:val="3B1FC398"/>
    <w:rsid w:val="3B378168"/>
    <w:rsid w:val="3C730A48"/>
    <w:rsid w:val="3F814D97"/>
    <w:rsid w:val="3FF7F52E"/>
    <w:rsid w:val="409A21BD"/>
    <w:rsid w:val="40C44895"/>
    <w:rsid w:val="448F25B4"/>
    <w:rsid w:val="49051EC1"/>
    <w:rsid w:val="49BF6941"/>
    <w:rsid w:val="4AEB42B2"/>
    <w:rsid w:val="4B0A3EDB"/>
    <w:rsid w:val="4D981343"/>
    <w:rsid w:val="4E80705D"/>
    <w:rsid w:val="4F9F7D77"/>
    <w:rsid w:val="526BFAD4"/>
    <w:rsid w:val="55625F0C"/>
    <w:rsid w:val="55F51A69"/>
    <w:rsid w:val="59A857A9"/>
    <w:rsid w:val="5AF35FEF"/>
    <w:rsid w:val="5BDF3788"/>
    <w:rsid w:val="5CA5570E"/>
    <w:rsid w:val="5CC44C22"/>
    <w:rsid w:val="5D1E7563"/>
    <w:rsid w:val="5D5F8624"/>
    <w:rsid w:val="5E7F32B2"/>
    <w:rsid w:val="5FBEE5F5"/>
    <w:rsid w:val="6097591A"/>
    <w:rsid w:val="63317BAB"/>
    <w:rsid w:val="642971E3"/>
    <w:rsid w:val="65081EF0"/>
    <w:rsid w:val="66C9548A"/>
    <w:rsid w:val="68CB0E27"/>
    <w:rsid w:val="68EF1AEA"/>
    <w:rsid w:val="6BEFCD41"/>
    <w:rsid w:val="6EE567C2"/>
    <w:rsid w:val="6F797B09"/>
    <w:rsid w:val="6F7EDBE6"/>
    <w:rsid w:val="6FBD5DC6"/>
    <w:rsid w:val="700E0E59"/>
    <w:rsid w:val="708664A7"/>
    <w:rsid w:val="71AC61BE"/>
    <w:rsid w:val="71ED0839"/>
    <w:rsid w:val="73CC3568"/>
    <w:rsid w:val="746D3BA9"/>
    <w:rsid w:val="75477E01"/>
    <w:rsid w:val="771D4F71"/>
    <w:rsid w:val="77DB6926"/>
    <w:rsid w:val="77E35A7F"/>
    <w:rsid w:val="7804098D"/>
    <w:rsid w:val="7A5B709F"/>
    <w:rsid w:val="7B0423A9"/>
    <w:rsid w:val="7B672258"/>
    <w:rsid w:val="7B853083"/>
    <w:rsid w:val="7BAC284C"/>
    <w:rsid w:val="7BCC0671"/>
    <w:rsid w:val="7D766EB8"/>
    <w:rsid w:val="7DFE8B05"/>
    <w:rsid w:val="7DFF05DA"/>
    <w:rsid w:val="7E195214"/>
    <w:rsid w:val="7FDCEE19"/>
    <w:rsid w:val="7FEF8F7E"/>
    <w:rsid w:val="7FFB6C78"/>
    <w:rsid w:val="7FFD8599"/>
    <w:rsid w:val="93FE7B13"/>
    <w:rsid w:val="97FE47F4"/>
    <w:rsid w:val="A5BBA65B"/>
    <w:rsid w:val="AC9F28CF"/>
    <w:rsid w:val="AFDD2337"/>
    <w:rsid w:val="BD5FC214"/>
    <w:rsid w:val="BDD42B31"/>
    <w:rsid w:val="BE7FEB03"/>
    <w:rsid w:val="BF7B0C10"/>
    <w:rsid w:val="BF8B0EB7"/>
    <w:rsid w:val="BFAF52A9"/>
    <w:rsid w:val="CBFF75BF"/>
    <w:rsid w:val="CF778927"/>
    <w:rsid w:val="D5E7005E"/>
    <w:rsid w:val="DBD69646"/>
    <w:rsid w:val="DFDBF448"/>
    <w:rsid w:val="DFF51856"/>
    <w:rsid w:val="DFFF8725"/>
    <w:rsid w:val="E3DF7FC2"/>
    <w:rsid w:val="E5BBE460"/>
    <w:rsid w:val="E7AB668E"/>
    <w:rsid w:val="EFCFDEDE"/>
    <w:rsid w:val="EFF5F5C6"/>
    <w:rsid w:val="F3BF4E85"/>
    <w:rsid w:val="F3F6A645"/>
    <w:rsid w:val="F68EC1BB"/>
    <w:rsid w:val="F76AA324"/>
    <w:rsid w:val="F8B58E7C"/>
    <w:rsid w:val="FBC5A9B9"/>
    <w:rsid w:val="FBEBEF67"/>
    <w:rsid w:val="FF3F8DFA"/>
    <w:rsid w:val="FF46DB6C"/>
    <w:rsid w:val="FF660270"/>
    <w:rsid w:val="FF7E9C03"/>
    <w:rsid w:val="FFD3ADA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99" w:semiHidden="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99" w:semiHidden="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2"/>
      <w:lang w:val="en-US" w:eastAsia="zh-CN" w:bidi="ar-SA"/>
    </w:rPr>
  </w:style>
  <w:style w:type="character" w:default="1" w:styleId="16">
    <w:name w:val="Default Paragraph Font"/>
    <w:unhideWhenUsed/>
    <w:qFormat/>
    <w:uiPriority w:val="1"/>
  </w:style>
  <w:style w:type="table" w:default="1" w:styleId="14">
    <w:name w:val="Normal Table"/>
    <w:unhideWhenUsed/>
    <w:qFormat/>
    <w:uiPriority w:val="99"/>
    <w:tblPr>
      <w:tblStyle w:val="14"/>
      <w:tblCellMar>
        <w:top w:w="0" w:type="dxa"/>
        <w:left w:w="108" w:type="dxa"/>
        <w:bottom w:w="0" w:type="dxa"/>
        <w:right w:w="108" w:type="dxa"/>
      </w:tblCellMar>
    </w:tblPr>
  </w:style>
  <w:style w:type="paragraph" w:customStyle="1" w:styleId="2">
    <w:name w:val="Default"/>
    <w:basedOn w:val="3"/>
    <w:next w:val="4"/>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3">
    <w:name w:val="纯文本1"/>
    <w:basedOn w:val="1"/>
    <w:qFormat/>
    <w:uiPriority w:val="0"/>
    <w:pPr>
      <w:textAlignment w:val="baseline"/>
    </w:pPr>
    <w:rPr>
      <w:rFonts w:hint="eastAsia" w:ascii="宋体" w:hAnsi="Courier New" w:eastAsia="宋体" w:cs="Times New Roman"/>
      <w:sz w:val="21"/>
      <w:szCs w:val="24"/>
    </w:rPr>
  </w:style>
  <w:style w:type="paragraph" w:customStyle="1" w:styleId="4">
    <w:name w:val="正文文字 6"/>
    <w:next w:val="1"/>
    <w:qFormat/>
    <w:uiPriority w:val="99"/>
    <w:pPr>
      <w:widowControl w:val="0"/>
      <w:ind w:left="240"/>
      <w:jc w:val="both"/>
    </w:pPr>
    <w:rPr>
      <w:rFonts w:ascii="宋体" w:hAnsi="Times New Roman" w:eastAsia="宋体" w:cs="Times New Roman"/>
      <w:b/>
      <w:bCs/>
      <w:kern w:val="2"/>
      <w:sz w:val="32"/>
      <w:szCs w:val="32"/>
      <w:lang w:val="en-US" w:eastAsia="zh-CN" w:bidi="ar-SA"/>
    </w:rPr>
  </w:style>
  <w:style w:type="paragraph" w:styleId="5">
    <w:name w:val="Normal Indent"/>
    <w:basedOn w:val="1"/>
    <w:next w:val="1"/>
    <w:qFormat/>
    <w:uiPriority w:val="99"/>
    <w:pPr>
      <w:ind w:firstLine="420" w:firstLineChars="200"/>
    </w:pPr>
    <w:rPr>
      <w:rFonts w:cs="Calibri"/>
      <w:szCs w:val="21"/>
    </w:rPr>
  </w:style>
  <w:style w:type="paragraph" w:styleId="6">
    <w:name w:val="Body Text"/>
    <w:basedOn w:val="1"/>
    <w:next w:val="7"/>
    <w:qFormat/>
    <w:uiPriority w:val="0"/>
    <w:pPr>
      <w:spacing w:after="120" w:afterLines="0" w:afterAutospacing="0"/>
    </w:pPr>
  </w:style>
  <w:style w:type="paragraph" w:styleId="7">
    <w:name w:val="Title"/>
    <w:basedOn w:val="1"/>
    <w:next w:val="1"/>
    <w:qFormat/>
    <w:uiPriority w:val="0"/>
    <w:pPr>
      <w:widowControl/>
      <w:spacing w:line="590" w:lineRule="exact"/>
      <w:jc w:val="center"/>
      <w:outlineLvl w:val="0"/>
    </w:pPr>
    <w:rPr>
      <w:rFonts w:ascii="Cambria" w:hAnsi="Cambria" w:eastAsia="方正黑体_GBK" w:cs="宋体"/>
      <w:kern w:val="0"/>
      <w:sz w:val="32"/>
      <w:szCs w:val="32"/>
    </w:rPr>
  </w:style>
  <w:style w:type="paragraph" w:styleId="8">
    <w:name w:val="Date"/>
    <w:basedOn w:val="1"/>
    <w:next w:val="1"/>
    <w:link w:val="19"/>
    <w:unhideWhenUsed/>
    <w:qFormat/>
    <w:uiPriority w:val="0"/>
    <w:pPr>
      <w:ind w:left="100" w:leftChars="2500"/>
    </w:pPr>
  </w:style>
  <w:style w:type="paragraph" w:styleId="9">
    <w:name w:val="Balloon Text"/>
    <w:basedOn w:val="1"/>
    <w:link w:val="20"/>
    <w:qFormat/>
    <w:uiPriority w:val="0"/>
    <w:rPr>
      <w:sz w:val="18"/>
      <w:szCs w:val="18"/>
    </w:rPr>
  </w:style>
  <w:style w:type="paragraph" w:styleId="10">
    <w:name w:val="footer"/>
    <w:basedOn w:val="1"/>
    <w:link w:val="21"/>
    <w:qFormat/>
    <w:uiPriority w:val="99"/>
    <w:pPr>
      <w:tabs>
        <w:tab w:val="center" w:pos="4153"/>
        <w:tab w:val="right" w:pos="8306"/>
      </w:tabs>
      <w:snapToGrid w:val="0"/>
      <w:jc w:val="left"/>
    </w:pPr>
    <w:rPr>
      <w:sz w:val="18"/>
      <w:szCs w:val="18"/>
    </w:rPr>
  </w:style>
  <w:style w:type="paragraph" w:styleId="11">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paragraph" w:styleId="12">
    <w:name w:val="HTML Preformatted"/>
    <w:basedOn w:val="1"/>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15">
    <w:name w:val="Table Grid"/>
    <w:basedOn w:val="14"/>
    <w:qFormat/>
    <w:uiPriority w:val="59"/>
    <w:tblPr>
      <w:tblStyle w:val="1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page number"/>
    <w:qFormat/>
    <w:uiPriority w:val="0"/>
  </w:style>
  <w:style w:type="character" w:styleId="18">
    <w:name w:val="annotation reference"/>
    <w:basedOn w:val="16"/>
    <w:qFormat/>
    <w:uiPriority w:val="0"/>
    <w:rPr>
      <w:sz w:val="21"/>
      <w:szCs w:val="21"/>
    </w:rPr>
  </w:style>
  <w:style w:type="character" w:customStyle="1" w:styleId="19">
    <w:name w:val="日期 Char"/>
    <w:link w:val="8"/>
    <w:semiHidden/>
    <w:qFormat/>
    <w:uiPriority w:val="0"/>
    <w:rPr>
      <w:kern w:val="2"/>
      <w:sz w:val="21"/>
      <w:szCs w:val="22"/>
    </w:rPr>
  </w:style>
  <w:style w:type="character" w:customStyle="1" w:styleId="20">
    <w:name w:val="批注框文本 Char"/>
    <w:link w:val="9"/>
    <w:qFormat/>
    <w:uiPriority w:val="0"/>
    <w:rPr>
      <w:kern w:val="2"/>
      <w:sz w:val="18"/>
      <w:szCs w:val="18"/>
    </w:rPr>
  </w:style>
  <w:style w:type="character" w:customStyle="1" w:styleId="21">
    <w:name w:val="页脚 Char"/>
    <w:link w:val="10"/>
    <w:qFormat/>
    <w:uiPriority w:val="99"/>
    <w:rPr>
      <w:kern w:val="2"/>
      <w:sz w:val="18"/>
      <w:szCs w:val="18"/>
    </w:rPr>
  </w:style>
  <w:style w:type="character" w:customStyle="1" w:styleId="22">
    <w:name w:val="页眉 Char"/>
    <w:link w:val="11"/>
    <w:qFormat/>
    <w:uiPriority w:val="99"/>
    <w:rPr>
      <w:kern w:val="2"/>
      <w:sz w:val="18"/>
      <w:szCs w:val="18"/>
    </w:rPr>
  </w:style>
  <w:style w:type="paragraph" w:customStyle="1" w:styleId="23">
    <w:name w:val="et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7CE"/>
      <w:spacing w:before="100" w:beforeAutospacing="1" w:after="100" w:afterAutospacing="1"/>
      <w:jc w:val="center"/>
    </w:pPr>
    <w:rPr>
      <w:rFonts w:ascii="宋体" w:hAnsi="宋体" w:eastAsia="宋体" w:cs="宋体"/>
      <w:color w:val="9C0006"/>
      <w:kern w:val="0"/>
      <w:sz w:val="24"/>
      <w:szCs w:val="24"/>
    </w:rPr>
  </w:style>
  <w:style w:type="paragraph" w:customStyle="1" w:styleId="24">
    <w:name w:val="et2"/>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styleId="25">
    <w:name w:val="List Paragraph"/>
    <w:basedOn w:val="1"/>
    <w:qFormat/>
    <w:uiPriority w:val="99"/>
    <w:pPr>
      <w:ind w:firstLine="420" w:firstLineChars="200"/>
    </w:pPr>
  </w:style>
  <w:style w:type="paragraph" w:customStyle="1" w:styleId="26">
    <w:name w:val="et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27">
    <w:name w:val="正文内容"/>
    <w:basedOn w:val="1"/>
    <w:qFormat/>
    <w:uiPriority w:val="0"/>
    <w:pPr>
      <w:keepNext w:val="0"/>
      <w:keepLines w:val="0"/>
      <w:widowControl/>
      <w:suppressLineNumbers w:val="0"/>
      <w:spacing w:before="0" w:beforeAutospacing="0" w:after="0" w:afterAutospacing="0" w:line="560" w:lineRule="exact"/>
      <w:ind w:left="0" w:right="0" w:firstLine="200"/>
      <w:jc w:val="both"/>
    </w:pPr>
    <w:rPr>
      <w:rFonts w:hint="default" w:ascii="Times New Roman" w:hAnsi="Times New Roman" w:eastAsia="宋体" w:cs="Times New Roman"/>
      <w:kern w:val="2"/>
      <w:sz w:val="21"/>
      <w:szCs w:val="22"/>
      <w:lang w:val="en-US" w:eastAsia="zh-CN" w:bidi="ar"/>
    </w:rPr>
  </w:style>
  <w:style w:type="paragraph" w:customStyle="1" w:styleId="28">
    <w:name w:val="et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29">
    <w:name w:val="et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30">
    <w:name w:val="et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宋体" w:hAnsi="宋体" w:eastAsia="宋体" w:cs="宋体"/>
      <w:kern w:val="0"/>
      <w:sz w:val="24"/>
      <w:szCs w:val="24"/>
    </w:rPr>
  </w:style>
  <w:style w:type="paragraph" w:customStyle="1" w:styleId="31">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2">
    <w:name w:val="正文1"/>
    <w:qFormat/>
    <w:uiPriority w:val="0"/>
    <w:pPr>
      <w:jc w:val="both"/>
    </w:pPr>
    <w:rPr>
      <w:rFonts w:cs="宋体"/>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Gxsti</Company>
  <Pages>11</Pages>
  <Words>409</Words>
  <Characters>459</Characters>
  <Lines>25</Lines>
  <Paragraphs>7</Paragraphs>
  <TotalTime>20</TotalTime>
  <ScaleCrop>false</ScaleCrop>
  <LinksUpToDate>false</LinksUpToDate>
  <CharactersWithSpaces>468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2023-01-19T03:12:00Z</dcterms:created>
  <dc:creator>梁晖</dc:creator>
  <cp:lastModifiedBy>墨迹夏子</cp:lastModifiedBy>
  <cp:lastPrinted>2024-04-04T18:48:54Z</cp:lastPrinted>
  <dcterms:modified xsi:type="dcterms:W3CDTF">2025-03-26T10:52:55Z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DEE043C3A04B4928BEA4D39AFDDFD417_13</vt:lpwstr>
  </property>
  <property fmtid="{D5CDD505-2E9C-101B-9397-08002B2CF9AE}" pid="4" name="KSOTemplateDocerSaveRecord">
    <vt:lpwstr>eyJoZGlkIjoiYzY5ZDFkYjAwZjNhYTM1NDBlZTczZjFiNGMyNzYxN2IiLCJ1c2VySWQiOiIzNjAwMjk3NDgifQ==</vt:lpwstr>
  </property>
</Properties>
</file>