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default" w:ascii="Times New Roman" w:hAnsi="Times New Roman" w:eastAsia="方正小标宋简体" w:cs="Times New Roman"/>
          <w:b w:val="0"/>
          <w:bCs w:val="0"/>
          <w:color w:val="000000" w:themeColor="text1"/>
          <w:w w:val="90"/>
          <w:sz w:val="44"/>
          <w:szCs w:val="44"/>
          <w:lang w:val="en-US" w:eastAsia="zh-CN"/>
          <w14:textFill>
            <w14:solidFill>
              <w14:schemeClr w14:val="tx1"/>
            </w14:solidFill>
          </w14:textFill>
        </w:rPr>
      </w:pPr>
      <w:r>
        <w:rPr>
          <w:rFonts w:hint="default" w:ascii="Times New Roman" w:hAnsi="Times New Roman" w:eastAsia="方正小标宋简体" w:cs="Times New Roman"/>
          <w:b w:val="0"/>
          <w:bCs w:val="0"/>
          <w:color w:val="000000" w:themeColor="text1"/>
          <w:w w:val="90"/>
          <w:sz w:val="44"/>
          <w:szCs w:val="44"/>
          <w:lang w:val="en-US" w:eastAsia="zh-CN"/>
          <w14:textFill>
            <w14:solidFill>
              <w14:schemeClr w14:val="tx1"/>
            </w14:solidFill>
          </w14:textFill>
        </w:rPr>
        <w:t>四川省中小微企业增信体系建设实施方案</w:t>
      </w:r>
    </w:p>
    <w:p>
      <w:pPr>
        <w:spacing w:line="640" w:lineRule="exact"/>
        <w:jc w:val="center"/>
        <w:rPr>
          <w:rFonts w:hint="default" w:ascii="Times New Roman" w:hAnsi="Times New Roman" w:eastAsia="仿宋_GB2312" w:cs="Times New Roman"/>
          <w:b/>
          <w:bCs/>
          <w:color w:val="000000" w:themeColor="text1"/>
          <w:w w:val="90"/>
          <w:sz w:val="32"/>
          <w:szCs w:val="32"/>
          <w:lang w:eastAsia="zh-CN"/>
          <w14:textFill>
            <w14:solidFill>
              <w14:schemeClr w14:val="tx1"/>
            </w14:solidFill>
          </w14:textFill>
        </w:rPr>
      </w:pPr>
      <w:r>
        <w:rPr>
          <w:rFonts w:hint="eastAsia" w:ascii="Times New Roman" w:hAnsi="Times New Roman" w:eastAsia="方正小标宋简体" w:cs="Times New Roman"/>
          <w:b w:val="0"/>
          <w:bCs w:val="0"/>
          <w:color w:val="000000" w:themeColor="text1"/>
          <w:w w:val="90"/>
          <w:sz w:val="44"/>
          <w:szCs w:val="44"/>
          <w:lang w:val="en-US" w:eastAsia="zh-CN"/>
          <w14:textFill>
            <w14:solidFill>
              <w14:schemeClr w14:val="tx1"/>
            </w14:solidFill>
          </w14:textFill>
        </w:rPr>
        <w:t>（征求意见稿</w:t>
      </w:r>
      <w:bookmarkStart w:id="0" w:name="_GoBack"/>
      <w:bookmarkEnd w:id="0"/>
      <w:r>
        <w:rPr>
          <w:rFonts w:hint="eastAsia" w:ascii="Times New Roman" w:hAnsi="Times New Roman" w:eastAsia="方正小标宋简体" w:cs="Times New Roman"/>
          <w:b w:val="0"/>
          <w:bCs w:val="0"/>
          <w:color w:val="000000" w:themeColor="text1"/>
          <w:w w:val="90"/>
          <w:sz w:val="44"/>
          <w:szCs w:val="44"/>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580" w:lineRule="exact"/>
        <w:ind w:right="0" w:rightChars="0" w:firstLine="640"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both"/>
        <w:textAlignment w:val="auto"/>
        <w:rPr>
          <w:rFonts w:hint="default" w:ascii="Times New Roman" w:hAnsi="Times New Roman" w:eastAsia="仿宋_GB2312" w:cs="Times New Roman"/>
          <w:b w:val="0"/>
          <w:bCs w:val="0"/>
          <w:i w:val="0"/>
          <w:iCs w:val="0"/>
          <w:caps w:val="0"/>
          <w:color w:val="000000" w:themeColor="text1"/>
          <w:spacing w:val="0"/>
          <w:kern w:val="2"/>
          <w:sz w:val="32"/>
          <w:szCs w:val="32"/>
          <w:highlight w:val="none"/>
          <w:lang w:val="en-US" w:eastAsia="zh-CN" w:bidi="ar"/>
          <w14:textFill>
            <w14:solidFill>
              <w14:schemeClr w14:val="tx1"/>
            </w14:solidFill>
          </w14:textFill>
        </w:rPr>
      </w:pP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健全的增信制度能够助力中小微企业提升融资债务信用等级、增强债务履约保障水平、降低</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综合</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融资成本</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提高</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金融服务</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可</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获</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得性</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和便利度，</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有利于帮助债权人分散、转移信用风险，促进惠企便民政策直达快享、政务服务高效便捷。为贯彻落实省委、省政府关于“健全企业增信制度”的工作部署，制定本实施方案。</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0" w:firstLineChars="200"/>
        <w:jc w:val="left"/>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eastAsia="zh-CN"/>
          <w14:textFill>
            <w14:solidFill>
              <w14:schemeClr w14:val="tx1"/>
            </w14:solidFill>
          </w14:textFill>
        </w:rPr>
        <w:t>一、总体要求</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以习近平新时代中国特色社会主义思想为指导，深入贯彻党的二十大和二十届二中、三中全会精神，落实省委十二届六次全会工作部署，通过健全制度</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标准</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、整合数据资源、</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丰富增信措施、拓展</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增信</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场景</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、强化增信保障等方式，构建覆盖全省中小微企业的增信服务体系，全力推动金融活水精准滴灌实体经济。</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黑体" w:cs="Times New Roman"/>
          <w:b w:val="0"/>
          <w:bCs w:val="0"/>
          <w:color w:val="000000" w:themeColor="text1"/>
          <w:sz w:val="32"/>
          <w:szCs w:val="32"/>
          <w:lang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二</w:t>
      </w:r>
      <w:r>
        <w:rPr>
          <w:rFonts w:hint="default" w:ascii="Times New Roman" w:hAnsi="Times New Roman" w:eastAsia="黑体" w:cs="Times New Roman"/>
          <w:b w:val="0"/>
          <w:bCs w:val="0"/>
          <w:color w:val="000000" w:themeColor="text1"/>
          <w:sz w:val="32"/>
          <w:szCs w:val="32"/>
          <w:lang w:eastAsia="zh-CN"/>
          <w14:textFill>
            <w14:solidFill>
              <w14:schemeClr w14:val="tx1"/>
            </w14:solidFill>
          </w14:textFill>
        </w:rPr>
        <w:t>、主要目标</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2"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（一）制度</w:t>
      </w:r>
      <w:r>
        <w:rPr>
          <w:rFonts w:hint="eastAsia"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标准</w:t>
      </w: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更加健全。</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2025年上半年初步建立增信制度框架，2025年底形成覆盖数据归集、信用评价、修复等方面的制度体系，为全省中小微企业增信提供有力的制度保障。</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2" w:firstLineChars="200"/>
        <w:jc w:val="both"/>
        <w:textAlignment w:val="auto"/>
        <w:rPr>
          <w:rFonts w:ascii="Times New Roman" w:hAnsi="Times New Roman" w:eastAsia="仿宋_GB2312" w:cs="Times New Roman"/>
          <w:color w:val="000000" w:themeColor="text1"/>
          <w:sz w:val="32"/>
          <w:szCs w:val="32"/>
          <w:highlight w:val="none"/>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（二）平台支撑全面增强。</w:t>
      </w: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依托省社会信用信息平台，于2026年一季度前完成省增信平台建设。推动跨部门数据互联互通，实现公共信用信息</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“应归尽归”</w:t>
      </w: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，不断增强平台数据支撑能力</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2" w:firstLineChars="200"/>
        <w:jc w:val="both"/>
        <w:textAlignment w:val="auto"/>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（三）增信措施不断丰富。</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推动金融机构优化创新信贷、担保、保险、信用衍生工具等金融产品，充分发挥财政政策引导作用，用好用足财政金融互动政策，持续拓展增信场景应用范围。</w:t>
      </w:r>
    </w:p>
    <w:p>
      <w:pPr>
        <w:keepNext w:val="0"/>
        <w:keepLines w:val="0"/>
        <w:pageBreakBefore w:val="0"/>
        <w:widowControl w:val="0"/>
        <w:kinsoku/>
        <w:wordWrap/>
        <w:overflowPunct/>
        <w:topLinePunct w:val="0"/>
        <w:autoSpaceDE/>
        <w:autoSpaceDN/>
        <w:bidi w:val="0"/>
        <w:adjustRightInd/>
        <w:snapToGrid/>
        <w:spacing w:beforeAutospacing="0" w:line="580" w:lineRule="exact"/>
        <w:ind w:firstLine="642"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（四）信用服务持续优化。</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2025年底建成全省中小微企业公共信用综合评价模型，定期开展企业信用画像，精准推送惠企便民政策，推动</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“信易贷”降本提速增量。</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黑体_GBK"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三、重点任务</w:t>
      </w:r>
    </w:p>
    <w:p>
      <w:pPr>
        <w:keepNext w:val="0"/>
        <w:keepLines w:val="0"/>
        <w:pageBreakBefore w:val="0"/>
        <w:widowControl w:val="0"/>
        <w:numPr>
          <w:ilvl w:val="-1"/>
          <w:numId w:val="0"/>
        </w:numPr>
        <w:kinsoku/>
        <w:wordWrap/>
        <w:overflowPunct/>
        <w:topLinePunct w:val="0"/>
        <w:autoSpaceDE/>
        <w:autoSpaceDN/>
        <w:bidi w:val="0"/>
        <w:adjustRightInd/>
        <w:snapToGrid/>
        <w:spacing w:line="580" w:lineRule="exact"/>
        <w:ind w:firstLine="642" w:firstLineChars="200"/>
        <w:textAlignment w:val="auto"/>
        <w:rPr>
          <w:rFonts w:hint="default" w:ascii="Times New Roman" w:hAnsi="Times New Roman" w:eastAsia="楷体_GB2312" w:cs="Times New Roman"/>
          <w:b/>
          <w:bCs/>
          <w:color w:val="000000" w:themeColor="text1"/>
          <w:sz w:val="32"/>
          <w:szCs w:val="32"/>
          <w:highlight w:val="yellow"/>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（一）健全增信制度与标准。</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2"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1.加快制度框架建设。</w:t>
      </w:r>
      <w:r>
        <w:rPr>
          <w:rFonts w:hint="default" w:ascii="Times New Roman" w:hAnsi="Times New Roman" w:eastAsia="仿宋_GB2312" w:cs="Times New Roman"/>
          <w:color w:val="000000" w:themeColor="text1"/>
          <w:kern w:val="2"/>
          <w:sz w:val="32"/>
          <w:szCs w:val="32"/>
          <w:highlight w:val="none"/>
          <w:lang w:val="en-US" w:eastAsia="zh-CN"/>
          <w14:textFill>
            <w14:solidFill>
              <w14:schemeClr w14:val="tx1"/>
            </w14:solidFill>
          </w14:textFill>
        </w:rPr>
        <w:t>推进民营经济地方立法，</w:t>
      </w:r>
      <w:r>
        <w:rPr>
          <w:rFonts w:hint="eastAsia" w:ascii="Times New Roman" w:hAnsi="Times New Roman" w:eastAsia="仿宋_GB2312" w:cs="Times New Roman"/>
          <w:color w:val="000000" w:themeColor="text1"/>
          <w:kern w:val="2"/>
          <w:sz w:val="32"/>
          <w:szCs w:val="32"/>
          <w:highlight w:val="none"/>
          <w:lang w:val="en-US" w:eastAsia="zh-CN"/>
          <w14:textFill>
            <w14:solidFill>
              <w14:schemeClr w14:val="tx1"/>
            </w14:solidFill>
          </w14:textFill>
        </w:rPr>
        <w:t>明确</w:t>
      </w:r>
      <w:r>
        <w:rPr>
          <w:rFonts w:hint="default" w:ascii="Times New Roman" w:hAnsi="Times New Roman" w:eastAsia="仿宋_GB2312" w:cs="Times New Roman"/>
          <w:color w:val="000000" w:themeColor="text1"/>
          <w:kern w:val="2"/>
          <w:sz w:val="32"/>
          <w:szCs w:val="32"/>
          <w:highlight w:val="none"/>
          <w:lang w:val="en-US" w:eastAsia="zh-CN"/>
          <w14:textFill>
            <w14:solidFill>
              <w14:schemeClr w14:val="tx1"/>
            </w14:solidFill>
          </w14:textFill>
        </w:rPr>
        <w:t>企业增信有关要求</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。研究制定《四川省省级公共信用信息细目（2025年版）》，不断完善信用信息归集标准。</w:t>
      </w:r>
      <w:r>
        <w:rPr>
          <w:rFonts w:hint="default" w:ascii="Times New Roman" w:hAnsi="Times New Roman" w:eastAsia="仿宋_GB2312" w:cs="Times New Roman"/>
          <w:color w:val="000000" w:themeColor="text1"/>
          <w:kern w:val="2"/>
          <w:sz w:val="32"/>
          <w:szCs w:val="32"/>
          <w:highlight w:val="none"/>
          <w:lang w:val="en-US" w:eastAsia="zh-CN"/>
          <w14:textFill>
            <w14:solidFill>
              <w14:schemeClr w14:val="tx1"/>
            </w14:solidFill>
          </w14:textFill>
        </w:rPr>
        <w:t>建立健全企业和个体工商户公共信用综合评价指标体系，</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细化信用评价标准，涵盖企业基础信息、履约记录、社会责任等维度。根据国家统一部署，</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不断完善信用修复制度</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，优化信用修复流程，</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保障企业合法权益</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。贯彻落实《四川省推行经营主体以专项信用报告替代无违法违规记录证明实施方案》，建立“一键申请、自动生成、在线验证”信用报告服务系统，实现企业证明“零跑腿”。</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〔责任主体：省发展改革委、省大数据中心，省级相关部门；完成时间：2025年</w:t>
      </w:r>
      <w:r>
        <w:rPr>
          <w:rFonts w:hint="default" w:ascii="Times New Roman" w:hAnsi="Times New Roman" w:eastAsia="汉仪细圆B5" w:cs="Times New Roman"/>
          <w:b w:val="0"/>
          <w:bCs w:val="0"/>
          <w:color w:val="000000" w:themeColor="text1"/>
          <w:sz w:val="32"/>
          <w:szCs w:val="32"/>
          <w:highlight w:val="none"/>
          <w:lang w:val="en-US" w:eastAsia="zh-CN"/>
          <w14:textFill>
            <w14:solidFill>
              <w14:schemeClr w14:val="tx1"/>
            </w14:solidFill>
          </w14:textFill>
        </w:rPr>
        <w:t>12</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月底。逗号前为牵头部门</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单位</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，下同〕</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（二）推动</w:t>
      </w: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信用信息共享与应用。</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2.建设省</w:t>
      </w: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增信平台</w:t>
      </w: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w:t>
      </w:r>
      <w:r>
        <w:rPr>
          <w:rFonts w:hint="eastAsia" w:ascii="Times New Roman" w:hAnsi="Times New Roman" w:eastAsia="仿宋_GB2312" w:cs="Times New Roman"/>
          <w:color w:val="000000"/>
          <w:kern w:val="0"/>
          <w:sz w:val="32"/>
          <w:szCs w:val="32"/>
          <w:lang w:val="en-US" w:eastAsia="zh-CN"/>
        </w:rPr>
        <w:t>逐步建成省增信平台，推动平台与</w:t>
      </w:r>
      <w:r>
        <w:rPr>
          <w:rFonts w:hint="eastAsia" w:eastAsia="仿宋_GB2312" w:cs="Times New Roman"/>
          <w:color w:val="000000"/>
          <w:kern w:val="0"/>
          <w:sz w:val="32"/>
          <w:szCs w:val="32"/>
          <w:lang w:val="en-US" w:eastAsia="zh-CN"/>
        </w:rPr>
        <w:t>全</w:t>
      </w:r>
      <w:r>
        <w:rPr>
          <w:rFonts w:hint="eastAsia" w:ascii="Times New Roman" w:hAnsi="Times New Roman" w:eastAsia="仿宋_GB2312" w:cs="Times New Roman"/>
          <w:color w:val="000000"/>
          <w:kern w:val="0"/>
          <w:sz w:val="32"/>
          <w:szCs w:val="32"/>
          <w:lang w:val="en-US" w:eastAsia="zh-CN"/>
        </w:rPr>
        <w:t>国信用信息</w:t>
      </w:r>
      <w:r>
        <w:rPr>
          <w:rFonts w:hint="eastAsia" w:eastAsia="仿宋_GB2312" w:cs="Times New Roman"/>
          <w:color w:val="000000"/>
          <w:kern w:val="0"/>
          <w:sz w:val="32"/>
          <w:szCs w:val="32"/>
          <w:lang w:val="en-US" w:eastAsia="zh-CN"/>
        </w:rPr>
        <w:t>共享</w:t>
      </w:r>
      <w:r>
        <w:rPr>
          <w:rFonts w:hint="eastAsia" w:ascii="Times New Roman" w:hAnsi="Times New Roman" w:eastAsia="仿宋_GB2312" w:cs="Times New Roman"/>
          <w:color w:val="000000"/>
          <w:kern w:val="0"/>
          <w:sz w:val="32"/>
          <w:szCs w:val="32"/>
          <w:lang w:val="en-US" w:eastAsia="zh-CN"/>
        </w:rPr>
        <w:t>平台、税务部门“金税系统”、</w:t>
      </w:r>
      <w:r>
        <w:rPr>
          <w:rFonts w:hint="eastAsia" w:eastAsia="仿宋_GB2312" w:cs="Times New Roman"/>
          <w:color w:val="000000"/>
          <w:kern w:val="0"/>
          <w:sz w:val="32"/>
          <w:szCs w:val="32"/>
          <w:lang w:val="en-US" w:eastAsia="zh-CN"/>
        </w:rPr>
        <w:t>省</w:t>
      </w:r>
      <w:r>
        <w:rPr>
          <w:rFonts w:hint="eastAsia" w:ascii="Times New Roman" w:hAnsi="Times New Roman" w:eastAsia="仿宋_GB2312" w:cs="Times New Roman"/>
          <w:color w:val="000000"/>
          <w:kern w:val="0"/>
          <w:sz w:val="32"/>
          <w:szCs w:val="32"/>
          <w:lang w:val="en-US" w:eastAsia="zh-CN"/>
        </w:rPr>
        <w:t>政务一体化平台、全省融资信用基础服务平台等互联互通，持续提升政府侧社会信用数据聚通管用、信用业务协同办理和信用服务快速构建能力和水平。</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大数据中心</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省发展改革委、</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省</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政务</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服务和</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公共</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资源交易</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服务</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中心、四川省税务局，各市（州）人民政府；完成时间：2025年</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12</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月底〕</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3.强化信用信息归集共享。</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着力加强</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商标和专利、科技研发、水电气费缴纳等</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公共信用信息归集，</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开通企业信用信息自主申报通道，支持企业在线提交合同履约、专利成果等增信佐证材料。引导金融机构加快接入全国中小微企业资金流信用信息共享平台，加强征信</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信息、中小微企业资金流信用信息</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共享应用，经企业授权，依法开展</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中小微企业资金流信用信息</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查询。积极对接第三方信用服务机构及互联网平台（如国、省拖欠中小企业账款投诉服务平台），依法依规归集共享企业经营数据、用户评价等市场信用信息。建立调度机制，定期或不定期督促各职能部门按标准及时归集数据，确保“应归尽归”。</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〔责任主体：省大数据中心</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省发展改革委、</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经济和信息化厅、</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商务厅、省市场监管局、人行四川省分行</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省级相关部门、各市（州）人民政府；完成时间：2025年</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10月底</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bCs/>
          <w:color w:val="000000" w:themeColor="text1"/>
          <w:sz w:val="32"/>
          <w:szCs w:val="32"/>
          <w:highlight w:val="yellow"/>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4.</w:t>
      </w: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推动</w:t>
      </w: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惠企政策直达</w:t>
      </w: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快享</w:t>
      </w: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推动省增信平台与</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天府易享</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平台深度对接，提供公共信用综合评价、红黑名单、行政处罚等企业信用信息支撑，推动</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政策找人、快申快享、即申即享、免申即享</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〔责任主体：省政务服务和资源交易服务中心、省大数据中心，省发展改革委、省级相关部门；完成时间：2025年9月初步实现政策推送〕</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（三）加大融资增信支持力度。</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2" w:firstLineChars="200"/>
        <w:jc w:val="both"/>
        <w:textAlignment w:val="auto"/>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kern w:val="2"/>
          <w:sz w:val="32"/>
          <w:szCs w:val="32"/>
          <w:lang w:val="en-US" w:eastAsia="zh-CN" w:bidi="ar-SA"/>
          <w14:textFill>
            <w14:solidFill>
              <w14:schemeClr w14:val="tx1"/>
            </w14:solidFill>
          </w14:textFill>
        </w:rPr>
        <w:t>5.丰富银行增信服务产品。</w:t>
      </w:r>
      <w:r>
        <w:rPr>
          <w:rFonts w:hint="default" w:ascii="Times New Roman" w:hAnsi="Times New Roman" w:eastAsia="仿宋_GB2312"/>
          <w:color w:val="000000" w:themeColor="text1"/>
          <w:sz w:val="32"/>
          <w:szCs w:val="32"/>
          <w:highlight w:val="none"/>
          <w:lang w:val="en-US" w:eastAsia="zh-CN"/>
          <w14:textFill>
            <w14:solidFill>
              <w14:schemeClr w14:val="tx1"/>
            </w14:solidFill>
          </w14:textFill>
        </w:rPr>
        <w:t>鼓励</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银行机构优化信用贷款产品，按融资增信要素设置增信权重，纳入已有信贷评价和风险管理模型，确定相应授信额度，在贷款利率、融资期限、还款方式等方面体现优惠。鼓励参考相关企业征信数据和融资增信要素信息，</w:t>
      </w:r>
      <w:r>
        <w:rPr>
          <w:rFonts w:hint="default" w:ascii="Times New Roman" w:hAnsi="Times New Roman" w:eastAsia="仿宋_GB2312"/>
          <w:color w:val="000000" w:themeColor="text1"/>
          <w:sz w:val="32"/>
          <w:szCs w:val="32"/>
          <w:highlight w:val="none"/>
          <w:lang w:val="en-US" w:eastAsia="zh-CN"/>
          <w14:textFill>
            <w14:solidFill>
              <w14:schemeClr w14:val="tx1"/>
            </w14:solidFill>
          </w14:textFill>
        </w:rPr>
        <w:t>在依法合规、风险可控和商业可持续的前提下，创新金融产品，开发差异化信贷产品</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，简化审批流程，压缩审批时限。推广“随借随还”模式，支持企业按日计息、灵活还款。</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责任主体：人行四川省分行、四川金融监管局、省委金融办；完成时间：2025年9月底</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p>
    <w:p>
      <w:pPr>
        <w:pStyle w:val="5"/>
        <w:spacing w:after="0" w:line="580" w:lineRule="exact"/>
        <w:ind w:firstLine="642" w:firstLineChars="200"/>
        <w:rPr>
          <w:rFonts w:hint="default" w:ascii="Times New Roman" w:hAnsi="Times New Roman"/>
          <w:color w:val="000000" w:themeColor="text1"/>
          <w:highlight w:val="none"/>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6.完善担保保险增信。</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积极实施支持科技创新专项担保计划，引导更多金融资源支持科技创新</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仿宋_GB2312" w:cs="Times New Roman"/>
          <w:color w:val="000000" w:themeColor="text1"/>
          <w:sz w:val="32"/>
          <w:szCs w:val="32"/>
          <w:highlight w:val="none"/>
          <w:lang w:val="en-US" w:eastAsia="zh-CN"/>
          <w14:textFill>
            <w14:solidFill>
              <w14:schemeClr w14:val="tx1"/>
            </w14:solidFill>
          </w14:textFill>
        </w:rPr>
        <w:t>推动政府性融资担保机构为符合条件的小微企业贷款提供担保增信，对融资担保费予以补贴。</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扩大信用保险覆盖面，鼓励通过</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信用</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保证保险、责任保险、</w:t>
      </w:r>
      <w:r>
        <w:rPr>
          <w:rFonts w:hint="default" w:ascii="Times New Roman" w:hAnsi="Times New Roman" w:eastAsia="仿宋_GB2312"/>
          <w:color w:val="000000" w:themeColor="text1"/>
          <w:sz w:val="32"/>
          <w:szCs w:val="32"/>
          <w:highlight w:val="none"/>
          <w:lang w:val="en-US" w:eastAsia="zh-CN"/>
          <w14:textFill>
            <w14:solidFill>
              <w14:schemeClr w14:val="tx1"/>
            </w14:solidFill>
          </w14:textFill>
        </w:rPr>
        <w:t>政策性保险、</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再保险、</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共同</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保险等方式，提升企业信用水平。建立“担保+保险”双增信模式，通过融资担保机构为企业提供担保，保险公司为担保机构或企业提供信用保险或履约保险方式，按约定比例分担风险，提升企业信用评级。</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〔责任主体：省委金融办、科技厅、财政厅、省国资委、四川金融监管局、四川证监局，相关金融机构；完成时间：2025年9月底〕</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2" w:firstLineChars="200"/>
        <w:jc w:val="both"/>
        <w:textAlignment w:val="auto"/>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7.开展重点行业特色增信。</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相关行业主管部门要用好现有增信政策，积极围绕人工智能、低空经济、文化旅游等我省15条重点产业链，结合行业特点，根据企业信用、质量管理、产品品牌、创新能力等方面应具备的资质及获得的荣誉等重要信息，建立重点中小微企业增信名录库，及时动态更新库内名单，并实时推送至</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省增信平台</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，为金融机构综合授信提供依据，满足各行业中小微企业个性化需求。</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责任主体：</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省级相关重点产业链牵头部门，</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省级相关部门；完成时间：2025年10月底前建立名录库〕</w:t>
      </w:r>
    </w:p>
    <w:p>
      <w:pPr>
        <w:keepNext w:val="0"/>
        <w:keepLines w:val="0"/>
        <w:widowControl w:val="0"/>
        <w:suppressLineNumbers w:val="0"/>
        <w:spacing w:line="580" w:lineRule="exact"/>
        <w:ind w:firstLine="642" w:firstLineChars="200"/>
        <w:jc w:val="left"/>
        <w:rPr>
          <w:rFonts w:ascii="Times New Roman" w:hAnsi="Times New Roman" w:eastAsia="仿宋_GB2312" w:cs="Times New Roman"/>
          <w:i w:val="0"/>
          <w:caps w:val="0"/>
          <w:color w:val="000000" w:themeColor="text1"/>
          <w:spacing w:val="0"/>
          <w:kern w:val="2"/>
          <w:sz w:val="32"/>
          <w:szCs w:val="32"/>
          <w:highlight w:val="none"/>
          <w:shd w:val="clear"/>
          <w:lang w:val="en-US" w:eastAsia="zh-CN" w:bidi="ar"/>
          <w14:textFill>
            <w14:solidFill>
              <w14:schemeClr w14:val="tx1"/>
            </w14:solidFill>
          </w14:textFill>
        </w:rPr>
      </w:pPr>
      <w:r>
        <w:rPr>
          <w:rFonts w:hint="default"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8.支持园区企业打包增信。</w:t>
      </w:r>
      <w:r>
        <w:rPr>
          <w:rFonts w:hint="default" w:ascii="Times New Roman" w:hAnsi="Times New Roman" w:eastAsia="仿宋_GB2312" w:cs="Times New Roman"/>
          <w:i w:val="0"/>
          <w:caps w:val="0"/>
          <w:color w:val="000000" w:themeColor="text1"/>
          <w:spacing w:val="0"/>
          <w:kern w:val="2"/>
          <w:sz w:val="32"/>
          <w:szCs w:val="32"/>
          <w:highlight w:val="none"/>
          <w:shd w:val="clear"/>
          <w:lang w:val="en-US" w:eastAsia="zh-CN" w:bidi="ar"/>
          <w14:textFill>
            <w14:solidFill>
              <w14:schemeClr w14:val="tx1"/>
            </w14:solidFill>
          </w14:textFill>
        </w:rPr>
        <w:t>探索对</w:t>
      </w:r>
      <w:r>
        <w:rPr>
          <w:rFonts w:hint="eastAsia" w:ascii="Times New Roman" w:hAnsi="Times New Roman" w:eastAsia="仿宋_GB2312" w:cs="Times New Roman"/>
          <w:i w:val="0"/>
          <w:caps w:val="0"/>
          <w:color w:val="000000" w:themeColor="text1"/>
          <w:spacing w:val="0"/>
          <w:kern w:val="2"/>
          <w:sz w:val="32"/>
          <w:szCs w:val="32"/>
          <w:highlight w:val="none"/>
          <w:shd w:val="clear"/>
          <w:lang w:val="en-US" w:eastAsia="zh-CN" w:bidi="ar"/>
          <w14:textFill>
            <w14:solidFill>
              <w14:schemeClr w14:val="tx1"/>
            </w14:solidFill>
          </w14:textFill>
        </w:rPr>
        <w:t>国家级省级</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新区、</w:t>
      </w:r>
      <w:r>
        <w:rPr>
          <w:rFonts w:hint="eastAsia"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开发</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区等园区推荐的具有技术优势、成长性较好、有融资需求但抵</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质</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押</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物</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不能满足银行放款条件的企业</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开展</w:t>
      </w:r>
      <w:r>
        <w:rPr>
          <w:rFonts w:hint="default" w:ascii="Times New Roman" w:hAnsi="Times New Roman" w:eastAsia="仿宋_GB2312" w:cs="Times New Roman"/>
          <w:i w:val="0"/>
          <w:caps w:val="0"/>
          <w:color w:val="000000" w:themeColor="text1"/>
          <w:spacing w:val="0"/>
          <w:kern w:val="2"/>
          <w:sz w:val="32"/>
          <w:szCs w:val="32"/>
          <w:highlight w:val="none"/>
          <w:shd w:val="clear"/>
          <w:lang w:val="en-US" w:eastAsia="zh-CN" w:bidi="ar"/>
          <w14:textFill>
            <w14:solidFill>
              <w14:schemeClr w14:val="tx1"/>
            </w14:solidFill>
          </w14:textFill>
        </w:rPr>
        <w:t>打包增信服务，形成多方风险共担机制，鼓励银行</w:t>
      </w:r>
      <w:r>
        <w:rPr>
          <w:rFonts w:hint="default" w:ascii="Times New Roman" w:hAnsi="Times New Roman" w:eastAsia="仿宋_GB2312"/>
          <w:color w:val="000000" w:themeColor="text1"/>
          <w:sz w:val="32"/>
          <w:szCs w:val="32"/>
          <w:highlight w:val="none"/>
          <w:lang w:val="en-US" w:eastAsia="zh-CN" w:bidi="ar"/>
          <w14:textFill>
            <w14:solidFill>
              <w14:schemeClr w14:val="tx1"/>
            </w14:solidFill>
          </w14:textFill>
        </w:rPr>
        <w:t>在</w:t>
      </w:r>
      <w:r>
        <w:rPr>
          <w:rFonts w:hint="eastAsia" w:ascii="Times New Roman" w:hAnsi="Times New Roman" w:eastAsia="仿宋_GB2312"/>
          <w:color w:val="000000" w:themeColor="text1"/>
          <w:sz w:val="32"/>
          <w:szCs w:val="32"/>
          <w:highlight w:val="none"/>
          <w:lang w:val="en-US" w:eastAsia="zh-CN" w:bidi="ar"/>
          <w14:textFill>
            <w14:solidFill>
              <w14:schemeClr w14:val="tx1"/>
            </w14:solidFill>
          </w14:textFill>
        </w:rPr>
        <w:t>合</w:t>
      </w:r>
      <w:r>
        <w:rPr>
          <w:rFonts w:hint="default" w:ascii="Times New Roman" w:hAnsi="Times New Roman" w:eastAsia="仿宋_GB2312"/>
          <w:color w:val="000000" w:themeColor="text1"/>
          <w:sz w:val="32"/>
          <w:szCs w:val="32"/>
          <w:highlight w:val="none"/>
          <w:lang w:val="en-US" w:eastAsia="zh-CN" w:bidi="ar"/>
          <w14:textFill>
            <w14:solidFill>
              <w14:schemeClr w14:val="tx1"/>
            </w14:solidFill>
          </w14:textFill>
        </w:rPr>
        <w:t>法合规、风险可控和商业可持续的前提下，</w:t>
      </w:r>
      <w:r>
        <w:rPr>
          <w:rFonts w:hint="default" w:ascii="Times New Roman" w:hAnsi="Times New Roman" w:eastAsia="仿宋_GB2312" w:cs="Times New Roman"/>
          <w:i w:val="0"/>
          <w:caps w:val="0"/>
          <w:color w:val="000000" w:themeColor="text1"/>
          <w:spacing w:val="0"/>
          <w:kern w:val="2"/>
          <w:sz w:val="32"/>
          <w:szCs w:val="32"/>
          <w:highlight w:val="none"/>
          <w:shd w:val="clear"/>
          <w:lang w:val="en-US" w:eastAsia="zh-CN" w:bidi="ar"/>
          <w14:textFill>
            <w14:solidFill>
              <w14:schemeClr w14:val="tx1"/>
            </w14:solidFill>
          </w14:textFill>
        </w:rPr>
        <w:t>对</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推荐企业提供低门槛、低成本的信贷</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支持</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，有效提升企业融资可</w:t>
      </w:r>
      <w:r>
        <w:rPr>
          <w:rFonts w:hint="eastAsia"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获得</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性</w:t>
      </w:r>
      <w:r>
        <w:rPr>
          <w:rFonts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责任主体：</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各市（州）人民政府，</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省委金融办、</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经济和信息化厅、</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人民银行四川省分行、四川金融监管局；完成时间：持续开展</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p>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580" w:lineRule="exact"/>
        <w:ind w:firstLine="642" w:firstLineChars="200"/>
        <w:jc w:val="both"/>
        <w:textAlignment w:val="auto"/>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kern w:val="2"/>
          <w:sz w:val="32"/>
          <w:szCs w:val="32"/>
          <w:highlight w:val="none"/>
          <w:lang w:val="en-US" w:eastAsia="zh-CN" w:bidi="ar-SA"/>
          <w14:textFill>
            <w14:solidFill>
              <w14:schemeClr w14:val="tx1"/>
            </w14:solidFill>
          </w14:textFill>
        </w:rPr>
        <w:t>（四）用好财政金融互动政策。</w:t>
      </w:r>
    </w:p>
    <w:p>
      <w:pPr>
        <w:keepNext w:val="0"/>
        <w:keepLines w:val="0"/>
        <w:pageBreakBefore w:val="0"/>
        <w:widowControl w:val="0"/>
        <w:suppressLineNumbers w:val="0"/>
        <w:kinsoku/>
        <w:wordWrap/>
        <w:overflowPunct/>
        <w:topLinePunct w:val="0"/>
        <w:autoSpaceDE/>
        <w:autoSpaceDN/>
        <w:bidi w:val="0"/>
        <w:adjustRightInd/>
        <w:snapToGrid/>
        <w:spacing w:afterAutospacing="0" w:line="580" w:lineRule="exact"/>
        <w:ind w:firstLine="642" w:firstLineChars="200"/>
        <w:jc w:val="both"/>
        <w:textAlignment w:val="auto"/>
        <w:rPr>
          <w:rFonts w:hint="default" w:ascii="Times New Roman" w:hAnsi="Times New Roman" w:eastAsia="楷体_GB2312" w:cs="Times New Roman"/>
          <w:b w:val="0"/>
          <w:bCs w:val="0"/>
          <w:color w:val="auto"/>
          <w:sz w:val="32"/>
          <w:szCs w:val="32"/>
          <w:highlight w:val="none"/>
          <w:lang w:val="en-US" w:eastAsia="zh-CN"/>
        </w:rPr>
      </w:pPr>
      <w:r>
        <w:rPr>
          <w:rFonts w:hint="eastAsia"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9.强化融资担保分险激励。</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实施融资担保增量降费奖补政策，财政部门对开展符合条件业务的融资担保机构，给予一定保费补贴支持；对开展符合条件业务的政府性融资担保机构，给予不超过其年化新发生担保额1%的业务奖补支持；对省级再担保机构给予适当再担保费补贴和分类代偿补偿，引导带动融资担保机构提升中小微企业服务水平。</w:t>
      </w:r>
      <w:r>
        <w:rPr>
          <w:rFonts w:hint="default" w:ascii="Times New Roman" w:hAnsi="Times New Roman" w:eastAsia="楷体_GB2312" w:cs="Times New Roman"/>
          <w:b w:val="0"/>
          <w:bCs w:val="0"/>
          <w:color w:val="auto"/>
          <w:sz w:val="32"/>
          <w:szCs w:val="32"/>
          <w:highlight w:val="none"/>
          <w:lang w:val="en-US" w:eastAsia="zh-CN"/>
        </w:rPr>
        <w:t>〔</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责任主体：财政厅、经济和信息化厅、</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省委金融办</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，各市（州）人民政府；完成时间：</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持续推进</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w:t>
      </w:r>
    </w:p>
    <w:p>
      <w:pPr>
        <w:keepNext w:val="0"/>
        <w:keepLines w:val="0"/>
        <w:pageBreakBefore w:val="0"/>
        <w:widowControl w:val="0"/>
        <w:suppressLineNumbers w:val="0"/>
        <w:kinsoku/>
        <w:wordWrap/>
        <w:overflowPunct/>
        <w:topLinePunct w:val="0"/>
        <w:autoSpaceDE/>
        <w:autoSpaceDN/>
        <w:bidi w:val="0"/>
        <w:adjustRightInd/>
        <w:snapToGrid/>
        <w:spacing w:afterAutospacing="0" w:line="580" w:lineRule="exact"/>
        <w:ind w:firstLine="642" w:firstLineChars="200"/>
        <w:jc w:val="left"/>
        <w:textAlignment w:val="auto"/>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pPr>
      <w:r>
        <w:rPr>
          <w:rFonts w:hint="eastAsia" w:ascii="Times New Roman" w:hAnsi="Times New Roman" w:eastAsia="仿宋_GB2312" w:cs="Times New Roman"/>
          <w:b/>
          <w:bCs/>
          <w:color w:val="000000" w:themeColor="text1"/>
          <w:sz w:val="32"/>
          <w:szCs w:val="32"/>
          <w:highlight w:val="none"/>
          <w:lang w:val="en-US" w:eastAsia="zh-CN"/>
          <w14:textFill>
            <w14:solidFill>
              <w14:schemeClr w14:val="tx1"/>
            </w14:solidFill>
          </w14:textFill>
        </w:rPr>
        <w:t>10.用好用活省风险补偿资金池。</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充分发挥省风险补偿资金池功能作用，按产业支持重点分设多个专项贷款子产品，采</w:t>
      </w:r>
      <w:r>
        <w:rPr>
          <w:rFonts w:hint="eastAsia"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取</w:t>
      </w:r>
      <w:r>
        <w:rPr>
          <w:rFonts w:hint="default" w:ascii="Times New Roman" w:hAnsi="Times New Roman" w:eastAsia="仿宋_GB2312" w:cs="Times New Roman"/>
          <w:i w:val="0"/>
          <w:caps w:val="0"/>
          <w:color w:val="000000" w:themeColor="text1"/>
          <w:spacing w:val="0"/>
          <w:kern w:val="2"/>
          <w:sz w:val="32"/>
          <w:szCs w:val="32"/>
          <w:highlight w:val="none"/>
          <w:shd w:val="clear" w:fill="auto"/>
          <w:lang w:val="en-US" w:eastAsia="zh-CN" w:bidi="ar"/>
          <w14:textFill>
            <w14:solidFill>
              <w14:schemeClr w14:val="tx1"/>
            </w14:solidFill>
          </w14:textFill>
        </w:rPr>
        <w:t>“政银担”分险模式，通过模式、标准、管理“三统一”强化政策协同。</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责任主体：财政厅，</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省级相关部门</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；完成时间：</w:t>
      </w:r>
      <w:r>
        <w:rPr>
          <w:rFonts w:hint="eastAsia" w:ascii="Times New Roman" w:hAnsi="Times New Roman" w:eastAsia="楷体_GB2312" w:cs="Times New Roman"/>
          <w:b w:val="0"/>
          <w:bCs w:val="0"/>
          <w:color w:val="000000" w:themeColor="text1"/>
          <w:sz w:val="32"/>
          <w:szCs w:val="32"/>
          <w:lang w:val="en-US" w:eastAsia="zh-CN"/>
          <w14:textFill>
            <w14:solidFill>
              <w14:schemeClr w14:val="tx1"/>
            </w14:solidFill>
          </w14:textFill>
        </w:rPr>
        <w:t>持续推进</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（五）构建分级分类监管。</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1</w:t>
      </w: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1</w:t>
      </w: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.推行信用承诺和动态评价。</w:t>
      </w:r>
      <w:r>
        <w:rPr>
          <w:rFonts w:hint="default" w:ascii="Times New Roman" w:hAnsi="Times New Roman" w:eastAsia="仿宋_GB2312" w:cs="Times New Roman"/>
          <w:b w:val="0"/>
          <w:bCs w:val="0"/>
          <w:i w:val="0"/>
          <w:caps w:val="0"/>
          <w:color w:val="000000" w:themeColor="text1"/>
          <w:spacing w:val="0"/>
          <w:kern w:val="2"/>
          <w:sz w:val="32"/>
          <w:szCs w:val="32"/>
          <w:shd w:val="clear"/>
          <w:lang w:val="en-US" w:eastAsia="zh-CN" w:bidi="ar"/>
          <w14:textFill>
            <w14:solidFill>
              <w14:schemeClr w14:val="tx1"/>
            </w14:solidFill>
          </w14:textFill>
        </w:rPr>
        <w:t>鼓励中小微企业主动向社会作出信用承诺，推行审批替代、容缺受理、证明替代、信用修复、行业自律、主动公示等“六型”信用承诺制，将信用承诺履行情况纳入信用记录。</w:t>
      </w:r>
      <w:r>
        <w:rPr>
          <w:rFonts w:hint="default" w:ascii="Times New Roman" w:hAnsi="Times New Roman" w:eastAsia="仿宋_GB2312" w:cs="Times New Roman"/>
          <w:b w:val="0"/>
          <w:bCs w:val="0"/>
          <w:color w:val="000000" w:themeColor="text1"/>
          <w:sz w:val="32"/>
          <w:szCs w:val="32"/>
          <w:lang w:val="en-US" w:eastAsia="zh-CN" w:bidi="ar"/>
          <w14:textFill>
            <w14:solidFill>
              <w14:schemeClr w14:val="tx1"/>
            </w14:solidFill>
          </w14:textFill>
        </w:rPr>
        <w:t>优化</w:t>
      </w:r>
      <w:r>
        <w:rPr>
          <w:rFonts w:hint="default" w:ascii="Times New Roman" w:hAnsi="Times New Roman" w:eastAsia="仿宋_GB2312" w:cs="Times New Roman"/>
          <w:b w:val="0"/>
          <w:bCs w:val="0"/>
          <w:i w:val="0"/>
          <w:caps w:val="0"/>
          <w:color w:val="000000" w:themeColor="text1"/>
          <w:spacing w:val="0"/>
          <w:kern w:val="2"/>
          <w:sz w:val="32"/>
          <w:szCs w:val="32"/>
          <w:shd w:val="clear"/>
          <w:lang w:val="en-US" w:eastAsia="zh-CN" w:bidi="ar"/>
          <w14:textFill>
            <w14:solidFill>
              <w14:schemeClr w14:val="tx1"/>
            </w14:solidFill>
          </w14:textFill>
        </w:rPr>
        <w:t>中小微企业公共信用综合评价机制，完善动态信用评价模型，每季度更新企业信用画像，对存在</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经营异常等情况导致</w:t>
      </w:r>
      <w:r>
        <w:rPr>
          <w:rFonts w:hint="default" w:ascii="Times New Roman" w:hAnsi="Times New Roman" w:eastAsia="仿宋_GB2312" w:cs="Times New Roman"/>
          <w:b w:val="0"/>
          <w:bCs w:val="0"/>
          <w:i w:val="0"/>
          <w:caps w:val="0"/>
          <w:color w:val="000000" w:themeColor="text1"/>
          <w:spacing w:val="0"/>
          <w:kern w:val="2"/>
          <w:sz w:val="32"/>
          <w:szCs w:val="32"/>
          <w:shd w:val="clear"/>
          <w:lang w:val="en-US" w:eastAsia="zh-CN" w:bidi="ar"/>
          <w14:textFill>
            <w14:solidFill>
              <w14:schemeClr w14:val="tx1"/>
            </w14:solidFill>
          </w14:textFill>
        </w:rPr>
        <w:t>评价结果波动较大的企业进行风险提示。</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〔责任主体：省政务服务和</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公共</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资源交易</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服务</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中心、省大数据中心，省发展改革委、司法厅、省市场监管局等；完成时间：</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2025年3月底前完成模型迭代，6月底前实现动态评级全覆盖</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textAlignment w:val="auto"/>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1</w:t>
      </w: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2</w:t>
      </w:r>
      <w:r>
        <w:rPr>
          <w:rFonts w:hint="default" w:ascii="Times New Roman" w:hAnsi="Times New Roman" w:eastAsia="仿宋_GB2312" w:cs="Times New Roman"/>
          <w:b/>
          <w:bCs/>
          <w:color w:val="000000" w:themeColor="text1"/>
          <w:sz w:val="32"/>
          <w:szCs w:val="32"/>
          <w:lang w:val="en-US" w:eastAsia="zh-CN"/>
          <w14:textFill>
            <w14:solidFill>
              <w14:schemeClr w14:val="tx1"/>
            </w14:solidFill>
          </w14:textFill>
        </w:rPr>
        <w:t>.实施差异化监管。</w:t>
      </w:r>
      <w:r>
        <w:rPr>
          <w:rFonts w:hint="default" w:ascii="Times New Roman" w:hAnsi="Times New Roman" w:eastAsia="仿宋_GB2312" w:cs="Times New Roman"/>
          <w:b w:val="0"/>
          <w:bCs w:val="0"/>
          <w:color w:val="000000" w:themeColor="text1"/>
          <w:sz w:val="32"/>
          <w:szCs w:val="32"/>
          <w:lang w:val="en-US" w:eastAsia="zh-CN" w:bidi="ar"/>
          <w14:textFill>
            <w14:solidFill>
              <w14:schemeClr w14:val="tx1"/>
            </w14:solidFill>
          </w14:textFill>
        </w:rPr>
        <w:t>开展</w:t>
      </w:r>
      <w:r>
        <w:rPr>
          <w:rFonts w:hint="default" w:ascii="Times New Roman" w:hAnsi="Times New Roman" w:eastAsia="仿宋_GB2312" w:cs="Times New Roman"/>
          <w:b w:val="0"/>
          <w:bCs w:val="0"/>
          <w:i w:val="0"/>
          <w:caps w:val="0"/>
          <w:color w:val="000000" w:themeColor="text1"/>
          <w:spacing w:val="0"/>
          <w:kern w:val="2"/>
          <w:sz w:val="32"/>
          <w:szCs w:val="32"/>
          <w:shd w:val="clear"/>
          <w:lang w:val="en-US" w:eastAsia="zh-CN" w:bidi="ar"/>
          <w14:textFill>
            <w14:solidFill>
              <w14:schemeClr w14:val="tx1"/>
            </w14:solidFill>
          </w14:textFill>
        </w:rPr>
        <w:t>中小微企业公共信用综合评价，将全省中小微企业信用等级从高到低划分为A、B</w:t>
      </w:r>
      <w:r>
        <w:rPr>
          <w:rFonts w:hint="default" w:ascii="Times New Roman" w:hAnsi="Times New Roman" w:eastAsia="仿宋_GB2312" w:cs="Times New Roman"/>
          <w:b w:val="0"/>
          <w:bCs w:val="0"/>
          <w:i w:val="0"/>
          <w:caps w:val="0"/>
          <w:color w:val="000000" w:themeColor="text1"/>
          <w:spacing w:val="0"/>
          <w:kern w:val="2"/>
          <w:sz w:val="32"/>
          <w:szCs w:val="32"/>
          <w:highlight w:val="none"/>
          <w:shd w:val="clear"/>
          <w:lang w:val="en-US" w:eastAsia="zh-CN" w:bidi="ar"/>
          <w14:textFill>
            <w14:solidFill>
              <w14:schemeClr w14:val="tx1"/>
            </w14:solidFill>
          </w14:textFill>
        </w:rPr>
        <w:t>、C、D四级，推动信用抽查事项和监管措施协同。鼓励对信用A级企业</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享受“免申即享”政策；</w:t>
      </w:r>
      <w:r>
        <w:rPr>
          <w:rFonts w:hint="default" w:ascii="Times New Roman" w:hAnsi="Times New Roman" w:eastAsia="仿宋_GB2312" w:cs="Times New Roman"/>
          <w:b w:val="0"/>
          <w:bCs w:val="0"/>
          <w:i w:val="0"/>
          <w:caps w:val="0"/>
          <w:color w:val="000000" w:themeColor="text1"/>
          <w:spacing w:val="0"/>
          <w:kern w:val="2"/>
          <w:sz w:val="32"/>
          <w:szCs w:val="32"/>
          <w:highlight w:val="none"/>
          <w:shd w:val="clear"/>
          <w:lang w:val="en-US" w:eastAsia="zh-CN" w:bidi="ar"/>
          <w14:textFill>
            <w14:solidFill>
              <w14:schemeClr w14:val="tx1"/>
            </w14:solidFill>
          </w14:textFill>
        </w:rPr>
        <w:t>B级纳入辅导清单，推动相关部门、金融机构</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提供“一对一”辅导，帮助提升信用等级；</w:t>
      </w:r>
      <w:r>
        <w:rPr>
          <w:rFonts w:hint="default" w:ascii="Times New Roman" w:hAnsi="Times New Roman" w:eastAsia="仿宋_GB2312" w:cs="Times New Roman"/>
          <w:b w:val="0"/>
          <w:bCs w:val="0"/>
          <w:i w:val="0"/>
          <w:caps w:val="0"/>
          <w:color w:val="000000" w:themeColor="text1"/>
          <w:spacing w:val="0"/>
          <w:kern w:val="2"/>
          <w:sz w:val="32"/>
          <w:szCs w:val="32"/>
          <w:highlight w:val="none"/>
          <w:shd w:val="clear"/>
          <w:lang w:val="en-US" w:eastAsia="zh-CN" w:bidi="ar"/>
          <w14:textFill>
            <w14:solidFill>
              <w14:schemeClr w14:val="tx1"/>
            </w14:solidFill>
          </w14:textFill>
        </w:rPr>
        <w:t>C级企业纳入重点监管名单，</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限制高成本融资。</w:t>
      </w:r>
      <w:r>
        <w:rPr>
          <w:rFonts w:hint="eastAsia"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对</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D级企业进行严格监管，帮助提升信用水平。</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〔责任主</w:t>
      </w:r>
      <w:r>
        <w:rPr>
          <w:rFonts w:hint="default" w:ascii="Times New Roman" w:hAnsi="Times New Roman" w:eastAsia="楷体_GB2312" w:cs="Times New Roman"/>
          <w:b w:val="0"/>
          <w:bCs w:val="0"/>
          <w:color w:val="000000" w:themeColor="text1"/>
          <w:sz w:val="32"/>
          <w:szCs w:val="32"/>
          <w:lang w:val="en-US" w:eastAsia="zh-CN"/>
          <w14:textFill>
            <w14:solidFill>
              <w14:schemeClr w14:val="tx1"/>
            </w14:solidFill>
          </w14:textFill>
        </w:rPr>
        <w:t>体：省大数据中心、省发展改革委，省级相关部门。完成时间：</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2025年</w:t>
      </w:r>
      <w:r>
        <w:rPr>
          <w:rFonts w:hint="eastAsia"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12</w:t>
      </w:r>
      <w:r>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t>月底前〕</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黑体" w:cs="Times New Roman"/>
          <w:b w:val="0"/>
          <w:bCs w:val="0"/>
          <w:color w:val="000000" w:themeColor="text1"/>
          <w:sz w:val="32"/>
          <w:szCs w:val="32"/>
          <w:lang w:val="en-US" w:eastAsia="zh-CN"/>
          <w14:textFill>
            <w14:solidFill>
              <w14:schemeClr w14:val="tx1"/>
            </w14:solidFill>
          </w14:textFill>
        </w:rPr>
        <w:t>四、保障措施</w:t>
      </w:r>
    </w:p>
    <w:p>
      <w:pPr>
        <w:keepNext w:val="0"/>
        <w:keepLines w:val="0"/>
        <w:pageBreakBefore w:val="0"/>
        <w:widowControl w:val="0"/>
        <w:kinsoku/>
        <w:wordWrap/>
        <w:overflowPunct/>
        <w:topLinePunct w:val="0"/>
        <w:autoSpaceDE/>
        <w:autoSpaceDN/>
        <w:bidi w:val="0"/>
        <w:adjustRightInd/>
        <w:snapToGrid/>
        <w:spacing w:line="580" w:lineRule="exact"/>
        <w:ind w:right="0" w:rightChars="0" w:firstLine="642" w:firstLineChars="200"/>
        <w:jc w:val="both"/>
        <w:textAlignment w:val="auto"/>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（一）强化统筹协调。</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建立常态化工作协调机制，定期或不定期召开专题会议，听取相关部门、市（州）和企业意见建议，做出工作安排部署；省发展改革委负责统筹协调、跟踪督导和信息汇总等工作，确保各项工作有序推进；相关行业主管部门负责协调解决所在行业、领域在工作推进中存在的困难和问题，形成工作合力。</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2" w:firstLineChars="200"/>
        <w:jc w:val="both"/>
        <w:textAlignment w:val="auto"/>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（二）严格评估督导。</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加强对增信体系建设效能评估，将制度标准建设、平台优化升级、数据归集治理、惠民便企政策直达快享</w:t>
      </w:r>
      <w:r>
        <w:rPr>
          <w:rFonts w:hint="eastAsia" w:ascii="Times New Roman" w:hAnsi="Times New Roman" w:eastAsia="仿宋_GB2312" w:cs="Times New Roman"/>
          <w:b w:val="0"/>
          <w:bCs w:val="0"/>
          <w:color w:val="000000" w:themeColor="text1"/>
          <w:sz w:val="32"/>
          <w:szCs w:val="32"/>
          <w:lang w:val="en-US" w:eastAsia="zh-CN"/>
          <w14:textFill>
            <w14:solidFill>
              <w14:schemeClr w14:val="tx1"/>
            </w14:solidFill>
          </w14:textFill>
        </w:rPr>
        <w:t>等</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情况纳入评估范围。建立科学合理的评估指标体系，明确评估标准和方法，委托第三方机构对企业增信情况进行评估和监测，强化结果运用，促进效能提升。</w:t>
      </w:r>
    </w:p>
    <w:p>
      <w:pPr>
        <w:keepNext w:val="0"/>
        <w:keepLines w:val="0"/>
        <w:pageBreakBefore w:val="0"/>
        <w:widowControl w:val="0"/>
        <w:suppressLineNumbers w:val="0"/>
        <w:kinsoku/>
        <w:wordWrap/>
        <w:overflowPunct/>
        <w:topLinePunct w:val="0"/>
        <w:autoSpaceDE/>
        <w:autoSpaceDN/>
        <w:bidi w:val="0"/>
        <w:adjustRightInd/>
        <w:snapToGrid/>
        <w:spacing w:line="580" w:lineRule="exact"/>
        <w:ind w:firstLine="642" w:firstLineChars="200"/>
        <w:jc w:val="both"/>
        <w:textAlignment w:val="auto"/>
        <w:rPr>
          <w:rFonts w:hint="default" w:ascii="Times New Roman" w:hAnsi="Times New Roman" w:eastAsia="楷体_GB2312" w:cs="Times New Roman"/>
          <w:b w:val="0"/>
          <w:bCs w:val="0"/>
          <w:color w:val="000000" w:themeColor="text1"/>
          <w:sz w:val="32"/>
          <w:szCs w:val="32"/>
          <w:highlight w:val="none"/>
          <w:lang w:val="en-US" w:eastAsia="zh-CN"/>
          <w14:textFill>
            <w14:solidFill>
              <w14:schemeClr w14:val="tx1"/>
            </w14:solidFill>
          </w14:textFill>
        </w:rPr>
      </w:pPr>
      <w:r>
        <w:rPr>
          <w:rFonts w:hint="default" w:ascii="Times New Roman" w:hAnsi="Times New Roman" w:eastAsia="楷体_GB2312" w:cs="Times New Roman"/>
          <w:b/>
          <w:bCs/>
          <w:color w:val="000000" w:themeColor="text1"/>
          <w:sz w:val="32"/>
          <w:szCs w:val="32"/>
          <w:highlight w:val="none"/>
          <w:lang w:val="en-US" w:eastAsia="zh-CN"/>
          <w14:textFill>
            <w14:solidFill>
              <w14:schemeClr w14:val="tx1"/>
            </w14:solidFill>
          </w14:textFill>
        </w:rPr>
        <w:t>（三）保障信息安全。</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建立健全信息安全管理制度，保护企业和个人的合法权益。</w:t>
      </w:r>
      <w:r>
        <w:rPr>
          <w:rFonts w:hint="default" w:ascii="Times New Roman" w:hAnsi="Times New Roman" w:eastAsia="仿宋_GB2312" w:cs="Times New Roman"/>
          <w:color w:val="000000"/>
          <w:kern w:val="0"/>
          <w:sz w:val="32"/>
          <w:szCs w:val="32"/>
          <w:highlight w:val="none"/>
          <w:lang w:val="en-US" w:eastAsia="zh-CN"/>
        </w:rPr>
        <w:t>加强数据在产生、存储、计算、应用、销毁等各环节管理</w:t>
      </w:r>
      <w:r>
        <w:rPr>
          <w:rFonts w:hint="default" w:ascii="Times New Roman" w:hAnsi="Times New Roman" w:eastAsia="仿宋_GB2312" w:cs="Times New Roman"/>
          <w:b w:val="0"/>
          <w:bCs w:val="0"/>
          <w:color w:val="000000" w:themeColor="text1"/>
          <w:sz w:val="32"/>
          <w:szCs w:val="32"/>
          <w:highlight w:val="none"/>
          <w:lang w:val="en-US" w:eastAsia="zh-CN"/>
          <w14:textFill>
            <w14:solidFill>
              <w14:schemeClr w14:val="tx1"/>
            </w14:solidFill>
          </w14:textFill>
        </w:rPr>
        <w:t>，设置管控点和操作规程，确保数据安全合规。通过隐私计算、区块链等技术开展联合建模，确保数据共享“可用不可见”，为数据全生命周期提供保护，严防信息泄露。</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80" w:lineRule="exact"/>
        <w:ind w:left="0" w:right="0" w:firstLine="642" w:firstLineChars="200"/>
        <w:textAlignment w:val="auto"/>
        <w:rPr>
          <w:rFonts w:hint="default" w:ascii="Times New Roman" w:hAnsi="Times New Roman" w:eastAsia="仿宋_GB2312" w:cs="Times New Roman"/>
          <w:b w:val="0"/>
          <w:bCs w:val="0"/>
          <w:color w:val="000000" w:themeColor="text1"/>
          <w:kern w:val="2"/>
          <w:sz w:val="32"/>
          <w:szCs w:val="32"/>
          <w:lang w:val="en-US" w:eastAsia="zh-CN" w:bidi="ar-SA"/>
          <w14:textFill>
            <w14:solidFill>
              <w14:schemeClr w14:val="tx1"/>
            </w14:solidFill>
          </w14:textFill>
        </w:rPr>
      </w:pPr>
      <w:r>
        <w:rPr>
          <w:rFonts w:hint="default" w:ascii="Times New Roman" w:hAnsi="Times New Roman" w:eastAsia="楷体_GB2312" w:cs="Times New Roman"/>
          <w:b/>
          <w:bCs/>
          <w:color w:val="000000" w:themeColor="text1"/>
          <w:sz w:val="32"/>
          <w:szCs w:val="32"/>
          <w:lang w:val="en-US" w:eastAsia="zh-CN"/>
          <w14:textFill>
            <w14:solidFill>
              <w14:schemeClr w14:val="tx1"/>
            </w14:solidFill>
          </w14:textFill>
        </w:rPr>
        <w:t>（四）加强宣传推广。</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多渠道、多层次开展政策解读，大力宣传增信体系建设工作成效、创新举措和典型案例，增强企业对增信政策的理解，</w:t>
      </w:r>
      <w:r>
        <w:rPr>
          <w:rFonts w:hint="eastAsia" w:ascii="Times New Roman" w:hAnsi="Times New Roman" w:eastAsia="仿宋_GB2312" w:cs="Times New Roman"/>
          <w:b w:val="0"/>
          <w:bCs w:val="0"/>
          <w:color w:val="000000" w:themeColor="text1"/>
          <w:sz w:val="32"/>
          <w:szCs w:val="32"/>
          <w:lang w:val="en-US" w:eastAsia="zh-CN"/>
          <w14:textFill>
            <w14:solidFill>
              <w14:schemeClr w14:val="tx1"/>
            </w14:solidFill>
          </w14:textFill>
        </w:rPr>
        <w:t>提升企业融资可得性，</w:t>
      </w:r>
      <w:r>
        <w:rPr>
          <w:rFonts w:hint="default" w:ascii="Times New Roman" w:hAnsi="Times New Roman" w:eastAsia="仿宋_GB2312" w:cs="Times New Roman"/>
          <w:b w:val="0"/>
          <w:bCs w:val="0"/>
          <w:color w:val="000000" w:themeColor="text1"/>
          <w:sz w:val="32"/>
          <w:szCs w:val="32"/>
          <w:lang w:val="en-US" w:eastAsia="zh-CN"/>
          <w14:textFill>
            <w14:solidFill>
              <w14:schemeClr w14:val="tx1"/>
            </w14:solidFill>
          </w14:textFill>
        </w:rPr>
        <w:t>着力营造“知信、守信、用信、增信”良好社会氛围。</w:t>
      </w:r>
    </w:p>
    <w:p/>
    <w:sectPr>
      <w:footerReference r:id="rId3"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roma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汉仪细圆B5">
    <w:panose1 w:val="02010600000101010101"/>
    <w:charset w:val="88"/>
    <w:family w:val="auto"/>
    <w:pitch w:val="default"/>
    <w:sig w:usb0="00000001" w:usb1="080E0800" w:usb2="00000002"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76IwHQIAACkEAAAOAAAAZHJz&#10;L2Uyb0RvYy54bWytU82O0zAQviPxDpbvNGkrVl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mr/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PXvojAdAgAAKQQAAA4AAAAAAAAAAQAgAAAANQ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07EFC388"/>
    <w:rsid w:val="1DFF8D40"/>
    <w:rsid w:val="37BFAA57"/>
    <w:rsid w:val="4A1947CF"/>
    <w:rsid w:val="5FBBDB7F"/>
    <w:rsid w:val="7F37EF77"/>
    <w:rsid w:val="BDFEA941"/>
    <w:rsid w:val="EEF918F3"/>
    <w:rsid w:val="F7FD481E"/>
    <w:rsid w:val="FBF67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0"/>
    <w:pPr>
      <w:spacing w:after="120" w:line="278" w:lineRule="auto"/>
      <w:ind w:left="200" w:leftChars="200" w:firstLine="0" w:firstLineChars="0"/>
    </w:pPr>
    <w:rPr>
      <w:rFonts w:ascii="Calibri" w:hAnsi="Calibri" w:eastAsia="宋体" w:cs="Times New Roman"/>
      <w:sz w:val="21"/>
      <w:szCs w:val="24"/>
    </w:rPr>
  </w:style>
  <w:style w:type="paragraph" w:styleId="3">
    <w:name w:val="Body Text Indent"/>
    <w:basedOn w:val="1"/>
    <w:next w:val="1"/>
    <w:qFormat/>
    <w:uiPriority w:val="0"/>
    <w:pPr>
      <w:spacing w:line="540" w:lineRule="exact"/>
      <w:ind w:firstLine="624" w:firstLineChars="200"/>
    </w:pPr>
  </w:style>
  <w:style w:type="paragraph" w:styleId="4">
    <w:name w:val="index 5"/>
    <w:basedOn w:val="1"/>
    <w:next w:val="1"/>
    <w:semiHidden/>
    <w:qFormat/>
    <w:uiPriority w:val="0"/>
    <w:pPr>
      <w:spacing w:line="300" w:lineRule="exact"/>
    </w:pPr>
    <w:rPr>
      <w:rFonts w:ascii="黑体" w:hAnsi="Times New Roman" w:eastAsia="黑体" w:cs="仿宋_GB2312"/>
      <w:sz w:val="32"/>
      <w:szCs w:val="32"/>
    </w:rPr>
  </w:style>
  <w:style w:type="paragraph" w:styleId="5">
    <w:name w:val="Body Text"/>
    <w:basedOn w:val="1"/>
    <w:next w:val="6"/>
    <w:qFormat/>
    <w:uiPriority w:val="0"/>
    <w:pPr>
      <w:spacing w:after="120"/>
    </w:pPr>
    <w:rPr>
      <w:rFonts w:ascii="Calibri" w:hAnsi="Calibri"/>
    </w:rPr>
  </w:style>
  <w:style w:type="paragraph" w:styleId="6">
    <w:name w:val="Title"/>
    <w:next w:val="1"/>
    <w:qFormat/>
    <w:uiPriority w:val="0"/>
    <w:pPr>
      <w:widowControl w:val="0"/>
      <w:suppressAutoHyphens/>
      <w:bidi w:val="0"/>
      <w:spacing w:before="240" w:after="60"/>
      <w:jc w:val="center"/>
      <w:outlineLvl w:val="0"/>
    </w:pPr>
    <w:rPr>
      <w:rFonts w:ascii="Arial" w:hAnsi="Arial" w:eastAsia="宋体" w:cs="Times New Roman"/>
      <w:b/>
      <w:color w:val="auto"/>
      <w:kern w:val="2"/>
      <w:sz w:val="21"/>
      <w:szCs w:val="24"/>
      <w:lang w:val="en-US" w:eastAsia="zh-CN" w:bidi="ar-SA"/>
    </w:rPr>
  </w:style>
  <w:style w:type="paragraph" w:styleId="7">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2018-07-12T07:11:00Z</dcterms:created>
  <dc:creator>d</dc:creator>
  <cp:lastModifiedBy>HUAWEI</cp:lastModifiedBy>
  <dcterms:modified xsi:type="dcterms:W3CDTF">2025-03-24T19:06:31Z</dcterms:modified>
  <dc:title>四川省中小微企业增信体系建设实施方案</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43C4591FE32584475A05E1677117B0A6</vt:lpwstr>
  </property>
</Properties>
</file>