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97D6B">
      <w:pPr>
        <w:jc w:val="center"/>
        <w:rPr>
          <w:rFonts w:ascii="微软雅黑" w:hAnsi="微软雅黑" w:eastAsia="微软雅黑"/>
          <w:sz w:val="36"/>
          <w:szCs w:val="36"/>
        </w:rPr>
      </w:pPr>
      <w:r>
        <w:rPr>
          <w:rFonts w:hint="eastAsia" w:ascii="微软雅黑" w:hAnsi="微软雅黑" w:eastAsia="微软雅黑"/>
          <w:sz w:val="36"/>
          <w:szCs w:val="36"/>
        </w:rPr>
        <w:t>《智慧化工园区的建设与管理规范》</w:t>
      </w:r>
    </w:p>
    <w:p w14:paraId="64EA97A7">
      <w:pPr>
        <w:jc w:val="center"/>
        <w:rPr>
          <w:rFonts w:ascii="微软雅黑" w:hAnsi="微软雅黑" w:eastAsia="微软雅黑"/>
          <w:sz w:val="36"/>
          <w:szCs w:val="36"/>
        </w:rPr>
      </w:pPr>
      <w:r>
        <w:rPr>
          <w:rFonts w:hint="eastAsia" w:ascii="微软雅黑" w:hAnsi="微软雅黑" w:eastAsia="微软雅黑"/>
          <w:sz w:val="36"/>
          <w:szCs w:val="36"/>
        </w:rPr>
        <w:t>地方标准编制说明</w:t>
      </w:r>
    </w:p>
    <w:p w14:paraId="01B1C2F6">
      <w:pPr>
        <w:spacing w:before="156" w:beforeLines="50"/>
        <w:ind w:firstLine="560" w:firstLineChars="200"/>
        <w:outlineLvl w:val="0"/>
        <w:rPr>
          <w:rFonts w:ascii="仿宋" w:hAnsi="仿宋" w:eastAsia="仿宋" w:cs="仿宋"/>
          <w:kern w:val="0"/>
          <w:sz w:val="28"/>
          <w:szCs w:val="28"/>
        </w:rPr>
      </w:pPr>
      <w:r>
        <w:rPr>
          <w:rFonts w:hint="eastAsia" w:ascii="黑体" w:hAnsi="黑体" w:eastAsia="黑体" w:cs="仿宋"/>
          <w:kern w:val="0"/>
          <w:sz w:val="28"/>
          <w:szCs w:val="28"/>
        </w:rPr>
        <w:t>一、任务来源</w:t>
      </w:r>
    </w:p>
    <w:p w14:paraId="227C7D49">
      <w:pPr>
        <w:ind w:left="-2" w:firstLine="688" w:firstLineChars="246"/>
        <w:jc w:val="left"/>
        <w:rPr>
          <w:rFonts w:ascii="仿宋" w:hAnsi="仿宋" w:eastAsia="仿宋"/>
          <w:sz w:val="28"/>
          <w:szCs w:val="28"/>
        </w:rPr>
      </w:pPr>
      <w:r>
        <w:rPr>
          <w:rFonts w:hint="eastAsia" w:ascii="仿宋" w:hAnsi="仿宋" w:eastAsia="仿宋"/>
          <w:sz w:val="28"/>
          <w:szCs w:val="28"/>
        </w:rPr>
        <w:t>化工园区是危险化学品生产、经营、使用、存储、运输和废弃等各个环节的集中区域，安全风险集中度高，一旦发生事故，极易造成人员、财产的重大损失。智慧化工园区建设受到国家高度重视，中办国办发布《关于全面加强危险化学品安全生产工作的意见》、《危险化学品安全专项整治三年行动实施方案》，工业和信息化部、应急管理部联合发布《“工业互联网+安全生产”行动计划（2021-2023年）》都强调从化工园区治理体系和治理能力智能化的高度出发，提升化工园区的治理体系和治理能力。智能化工园区是以信息与通信技术为支撑，围绕安全生产、各类管理体系、公共服务和保障体系等领域，通过数据整合和信息化平台建设实现智慧化管理与高效运营，对提升化工园区安全性和实现化工行业高质量发展具有重要意义。但目前，我国化工园区建设过程中还存在数据共享较难、建设成本大等问题。</w:t>
      </w:r>
    </w:p>
    <w:p w14:paraId="56FB156D">
      <w:pPr>
        <w:ind w:firstLine="560" w:firstLineChars="200"/>
        <w:rPr>
          <w:rFonts w:ascii="仿宋" w:hAnsi="仿宋" w:eastAsia="仿宋"/>
          <w:sz w:val="28"/>
          <w:szCs w:val="28"/>
        </w:rPr>
      </w:pPr>
      <w:r>
        <w:rPr>
          <w:rFonts w:hint="eastAsia" w:ascii="仿宋" w:hAnsi="仿宋" w:eastAsia="仿宋"/>
          <w:sz w:val="28"/>
          <w:szCs w:val="28"/>
        </w:rPr>
        <w:t>从化工园区治理体系和治理能力现代化的高度出发，利用5G、云计算、大数据和人工智能等新一代信息技术，以工业互联网平台为底座，构建“感知监测网络、基础支撑、数据支撑、应用支撑、业务应用、园区运营指挥中心”六大核心服务体系，提升化工园区运营状态可视、业务分析预警、辅助决策执行等能力，《智慧化工园区建设与管理规范》的建立，可以更好的指导行业企业依据此规范来更好的打造智慧园区，实现化工园区的可视、可管和可控，提升化工园区的治理体系和治理能力的现代化，完整、准确、全面贯彻大型园区的新发展理念，推动园区向数字化、智能化、安全化转型，全面提升化工园区的管理体系和治理能力。智慧化工园区建设已经成为推动化工园区绿色、低碳、循环和高质量发展的常态工作。</w:t>
      </w:r>
    </w:p>
    <w:p w14:paraId="02FA5B29">
      <w:pPr>
        <w:pStyle w:val="9"/>
        <w:widowControl/>
        <w:shd w:val="clear" w:color="auto" w:fill="FFFFFF"/>
        <w:spacing w:beforeAutospacing="0" w:afterAutospacing="0" w:line="450" w:lineRule="atLeast"/>
        <w:ind w:firstLine="560" w:firstLineChars="200"/>
        <w:rPr>
          <w:rFonts w:ascii="仿宋" w:hAnsi="仿宋" w:eastAsia="仿宋" w:cs="黑体"/>
          <w:sz w:val="28"/>
          <w:szCs w:val="28"/>
        </w:rPr>
      </w:pPr>
      <w:r>
        <w:rPr>
          <w:rFonts w:hint="eastAsia" w:ascii="仿宋" w:hAnsi="仿宋" w:eastAsia="仿宋" w:cs="黑体"/>
          <w:sz w:val="28"/>
          <w:szCs w:val="28"/>
        </w:rPr>
        <w:t>2023年2月8日，陕西山利科技发展有限责任公司向陕西省工业和信息化厅申请地方标准的立项，20</w:t>
      </w:r>
      <w:r>
        <w:rPr>
          <w:rFonts w:ascii="仿宋" w:hAnsi="仿宋" w:eastAsia="仿宋" w:cs="黑体"/>
          <w:sz w:val="28"/>
          <w:szCs w:val="28"/>
        </w:rPr>
        <w:t>2</w:t>
      </w:r>
      <w:r>
        <w:rPr>
          <w:rFonts w:hint="eastAsia" w:ascii="仿宋" w:hAnsi="仿宋" w:eastAsia="仿宋" w:cs="黑体"/>
          <w:sz w:val="28"/>
          <w:szCs w:val="28"/>
        </w:rPr>
        <w:t>3年5月11日，陕西省市场监督管理局《关于下达2023年度陕西省地方标准制修订项目计划的通知》【陕市监函〔2023〕】410号，批准《智慧化工园区建设与管理规范》（以下简称《规范》）列入地方标准制定项目计划，项目编号为</w:t>
      </w:r>
      <w:r>
        <w:rPr>
          <w:rFonts w:hint="eastAsia" w:ascii="仿宋" w:hAnsi="仿宋" w:eastAsia="仿宋" w:cs="黑体"/>
          <w:sz w:val="28"/>
          <w:szCs w:val="28"/>
          <w:highlight w:val="none"/>
        </w:rPr>
        <w:t>SDBXM012-202</w:t>
      </w:r>
      <w:r>
        <w:rPr>
          <w:rFonts w:ascii="仿宋" w:hAnsi="仿宋" w:eastAsia="仿宋" w:cs="黑体"/>
          <w:sz w:val="28"/>
          <w:szCs w:val="28"/>
          <w:highlight w:val="none"/>
        </w:rPr>
        <w:t>3</w:t>
      </w:r>
      <w:r>
        <w:rPr>
          <w:rFonts w:hint="eastAsia" w:ascii="仿宋" w:hAnsi="仿宋" w:eastAsia="仿宋" w:cs="黑体"/>
          <w:sz w:val="28"/>
          <w:szCs w:val="28"/>
          <w:highlight w:val="none"/>
        </w:rPr>
        <w:t>。</w:t>
      </w:r>
    </w:p>
    <w:p w14:paraId="1BA87DF3">
      <w:pPr>
        <w:spacing w:before="156" w:beforeLines="50"/>
        <w:ind w:firstLine="560" w:firstLineChars="200"/>
        <w:outlineLvl w:val="0"/>
        <w:rPr>
          <w:rFonts w:ascii="仿宋" w:hAnsi="仿宋" w:eastAsia="仿宋" w:cs="仿宋"/>
          <w:kern w:val="0"/>
          <w:sz w:val="28"/>
          <w:szCs w:val="28"/>
        </w:rPr>
      </w:pPr>
      <w:r>
        <w:rPr>
          <w:rFonts w:hint="eastAsia" w:ascii="黑体" w:hAnsi="黑体" w:eastAsia="黑体" w:cs="仿宋"/>
          <w:kern w:val="0"/>
          <w:sz w:val="28"/>
          <w:szCs w:val="28"/>
        </w:rPr>
        <w:t>二、主要工作过程</w:t>
      </w:r>
    </w:p>
    <w:p w14:paraId="294B99A7">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本标准依据陕西山利科技发展有限责任公司自主研发的智慧化工园区综合管控系统（以下简称《系统》）科技成果为依据，由陕西山利科技发展有限责任公司、华陆工程科技有限责任公司、西北大学、彬州市工业园区管理委员会、陕西省企业技术创新促进会联合完成编制任务。</w:t>
      </w:r>
    </w:p>
    <w:p w14:paraId="6BFAB8F5">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主要工作过程如下：</w:t>
      </w:r>
    </w:p>
    <w:p w14:paraId="1EF06878">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（1）20</w:t>
      </w:r>
      <w:r>
        <w:rPr>
          <w:rFonts w:ascii="仿宋" w:hAnsi="仿宋" w:eastAsia="仿宋" w:cs="仿宋"/>
          <w:sz w:val="28"/>
          <w:szCs w:val="28"/>
        </w:rPr>
        <w:t>2</w:t>
      </w:r>
      <w:r>
        <w:rPr>
          <w:rFonts w:hint="eastAsia" w:ascii="仿宋" w:hAnsi="仿宋" w:eastAsia="仿宋" w:cs="仿宋"/>
          <w:sz w:val="28"/>
          <w:szCs w:val="28"/>
        </w:rPr>
        <w:t>3年5月公司成立地方标准起草小组。项目立项计划下达后，项目主导单位陕西山利科技发展有限责任公司高度重视，经过与科技成果协作单位沟通，及时组织相关人员成立《规范》标准起草工作组。起草组通过讨论和研究，确定了标准制定工作计划，包括技术路线及工作方法、时间进度及工作内容安排、起草组人员组成及职责分工等。</w:t>
      </w:r>
    </w:p>
    <w:p w14:paraId="0FAE6F92">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（2）20</w:t>
      </w:r>
      <w:r>
        <w:rPr>
          <w:rFonts w:ascii="仿宋" w:hAnsi="仿宋" w:eastAsia="仿宋" w:cs="仿宋"/>
          <w:sz w:val="28"/>
          <w:szCs w:val="28"/>
        </w:rPr>
        <w:t>2</w:t>
      </w:r>
      <w:r>
        <w:rPr>
          <w:rFonts w:hint="eastAsia" w:ascii="仿宋" w:hAnsi="仿宋" w:eastAsia="仿宋" w:cs="仿宋"/>
          <w:sz w:val="28"/>
          <w:szCs w:val="28"/>
        </w:rPr>
        <w:t>3年6～7月完成标准制定方案论证工作。起草组通过走访业务指导单位、科研人员、标准化人员、行业专家、使用部门人员，并和同行业交流，广泛收集了《规范》地方标准制定的意见和建议，确定了标准编制的总体思路和框架搭建，为标准编制奠定了理论与实践基础。</w:t>
      </w:r>
    </w:p>
    <w:p w14:paraId="1DE6D4FA">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首先，《系统》地方标准制定应该执行《智慧化工园区建设指南》（GB/T 39218-2020）的相关要求，参考《危险化学品企业安全风险智能化管控平台建设指南（试行）》《化工园区安全风险智能化管控平台建设指南（试行）》和《智慧化工园区综合管控系统》企业产品，确定了地方标准的总体结构为范围、规范性引用文件、术语和定义、缩略语、总则、智慧化工园区建设要求、智慧化工园区管理要求、保障管理要求八个部分组成。</w:t>
      </w:r>
    </w:p>
    <w:p w14:paraId="31023A7F">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其次，在该《规范》的标准设计上通过的智慧化工园区综合管控系统的功能要求，来确保智慧化工园区建设满足《规范》的功能要求，同时管理规范主要关注的是化工园区管理机构对智慧化工园区的管理要求。使用单位比较关心的需求主要有：1）安防控制系统中对于无人机的防控有必要的技术手段；2）大数据平台能对海量数据进行挖掘、清洗、识别及智能统计分析；3）安全生产监管能对园区的化工企业的重大危险源进行实时监测并具备预报警功能；4）双重预防系统信息化建设并能与企业进行互联互通；5）能对化工园区内的环境质量进行实时在线监测并进行实时预警；6）化工园区封闭化和危化车辆管理实时轨迹进行管理和监测。</w:t>
      </w:r>
    </w:p>
    <w:p w14:paraId="4BECA284">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（3）20</w:t>
      </w:r>
      <w:r>
        <w:rPr>
          <w:rFonts w:ascii="仿宋" w:hAnsi="仿宋" w:eastAsia="仿宋" w:cs="仿宋"/>
          <w:sz w:val="28"/>
          <w:szCs w:val="28"/>
        </w:rPr>
        <w:t>2</w:t>
      </w:r>
      <w:r>
        <w:rPr>
          <w:rFonts w:hint="eastAsia" w:ascii="仿宋" w:hAnsi="仿宋" w:eastAsia="仿宋" w:cs="仿宋"/>
          <w:sz w:val="28"/>
          <w:szCs w:val="28"/>
        </w:rPr>
        <w:t>3年8～</w:t>
      </w:r>
      <w:r>
        <w:rPr>
          <w:rFonts w:ascii="仿宋" w:hAnsi="仿宋" w:eastAsia="仿宋" w:cs="仿宋"/>
          <w:sz w:val="28"/>
          <w:szCs w:val="28"/>
        </w:rPr>
        <w:t>1</w:t>
      </w:r>
      <w:r>
        <w:rPr>
          <w:rFonts w:hint="eastAsia" w:ascii="仿宋" w:hAnsi="仿宋" w:eastAsia="仿宋" w:cs="仿宋"/>
          <w:sz w:val="28"/>
          <w:szCs w:val="28"/>
        </w:rPr>
        <w:t>0月完成标准草案编制工作。在借鉴国家标准、同行业标准、专家评审、吸纳用户实践经验、凝练科技成果的基础上，研究编制《规范》标准草案初稿。召开起草组讨论会、专家研讨会，修改完善标准草案初稿，形成《规范》地方标准</w:t>
      </w:r>
      <w:r>
        <w:rPr>
          <w:rFonts w:ascii="仿宋" w:hAnsi="仿宋" w:eastAsia="仿宋" w:cs="仿宋"/>
          <w:sz w:val="28"/>
          <w:szCs w:val="28"/>
        </w:rPr>
        <w:t>1</w:t>
      </w:r>
      <w:r>
        <w:rPr>
          <w:rFonts w:hint="eastAsia" w:ascii="仿宋" w:hAnsi="仿宋" w:eastAsia="仿宋" w:cs="仿宋"/>
          <w:sz w:val="28"/>
          <w:szCs w:val="28"/>
        </w:rPr>
        <w:t>.0版本。</w:t>
      </w:r>
    </w:p>
    <w:p w14:paraId="485BE3D8">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（4）20</w:t>
      </w:r>
      <w:r>
        <w:rPr>
          <w:rFonts w:ascii="仿宋" w:hAnsi="仿宋" w:eastAsia="仿宋" w:cs="仿宋"/>
          <w:sz w:val="28"/>
          <w:szCs w:val="28"/>
        </w:rPr>
        <w:t>2</w:t>
      </w:r>
      <w:r>
        <w:rPr>
          <w:rFonts w:hint="eastAsia" w:ascii="仿宋" w:hAnsi="仿宋" w:eastAsia="仿宋" w:cs="仿宋"/>
          <w:sz w:val="28"/>
          <w:szCs w:val="28"/>
        </w:rPr>
        <w:t>3年</w:t>
      </w:r>
      <w:r>
        <w:rPr>
          <w:rFonts w:ascii="仿宋" w:hAnsi="仿宋" w:eastAsia="仿宋" w:cs="仿宋"/>
          <w:sz w:val="28"/>
          <w:szCs w:val="28"/>
        </w:rPr>
        <w:t>1</w:t>
      </w:r>
      <w:r>
        <w:rPr>
          <w:rFonts w:hint="eastAsia" w:ascii="仿宋" w:hAnsi="仿宋" w:eastAsia="仿宋" w:cs="仿宋"/>
          <w:sz w:val="28"/>
          <w:szCs w:val="28"/>
        </w:rPr>
        <w:t>1月</w:t>
      </w:r>
      <w:r>
        <w:rPr>
          <w:rFonts w:hint="eastAsia" w:ascii="微软雅黑" w:hAnsi="微软雅黑" w:eastAsia="微软雅黑" w:cs="仿宋"/>
          <w:sz w:val="28"/>
          <w:szCs w:val="28"/>
        </w:rPr>
        <w:t>～</w:t>
      </w:r>
      <w:r>
        <w:rPr>
          <w:rFonts w:ascii="仿宋" w:hAnsi="仿宋" w:eastAsia="仿宋" w:cs="仿宋"/>
          <w:sz w:val="28"/>
          <w:szCs w:val="28"/>
        </w:rPr>
        <w:t>202</w:t>
      </w:r>
      <w:r>
        <w:rPr>
          <w:rFonts w:hint="eastAsia" w:ascii="仿宋" w:hAnsi="仿宋" w:eastAsia="仿宋" w:cs="仿宋"/>
          <w:sz w:val="28"/>
          <w:szCs w:val="28"/>
        </w:rPr>
        <w:t>4年1月完成标准草案的验证工作。为了进一步完善规范标准的重要系统功能和规范要求，确保标准中相关的技术内容或指标科学合理、符合实际，顺利通过专家评审，完成陕西省地方标准的发布，为《规范》提供合理有效的建设规范和全面的功能要求，标准起草工作组经过多次方案讨论会，制定详细的测试方案，在长武工业园区管委会的配合下，对由山利科技提供的智慧化工园区建设规范中的系统功能要求，进行全面的数据测试。</w:t>
      </w:r>
    </w:p>
    <w:p w14:paraId="0C467775">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（5）2024年2月</w:t>
      </w:r>
      <w:r>
        <w:rPr>
          <w:rFonts w:hint="eastAsia" w:ascii="微软雅黑" w:hAnsi="微软雅黑" w:eastAsia="微软雅黑" w:cs="仿宋"/>
          <w:sz w:val="28"/>
          <w:szCs w:val="28"/>
        </w:rPr>
        <w:t>～</w:t>
      </w:r>
      <w:r>
        <w:rPr>
          <w:rFonts w:hint="eastAsia" w:ascii="仿宋" w:hAnsi="仿宋" w:eastAsia="仿宋" w:cs="仿宋"/>
          <w:sz w:val="28"/>
          <w:szCs w:val="28"/>
        </w:rPr>
        <w:t>2024年3月完成标准修改工作</w:t>
      </w:r>
    </w:p>
    <w:p w14:paraId="226049DD">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与标准合作制定的三个单位开展相关标准的修改完善工作，利用全面的数据测试结果，参考全国同行厂家先进产品和技术经验，修订完成《规范》地方标准2.0版本。</w:t>
      </w:r>
    </w:p>
    <w:p w14:paraId="05AA0959">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6</w:t>
      </w:r>
      <w:r>
        <w:rPr>
          <w:rFonts w:hint="eastAsia" w:ascii="仿宋" w:hAnsi="仿宋" w:eastAsia="仿宋" w:cs="仿宋"/>
          <w:sz w:val="28"/>
          <w:szCs w:val="28"/>
        </w:rPr>
        <w:t>）2024年4月完成业内意见征求。</w:t>
      </w:r>
    </w:p>
    <w:p w14:paraId="42209800">
      <w:pPr>
        <w:widowControl/>
        <w:tabs>
          <w:tab w:val="center" w:pos="4201"/>
          <w:tab w:val="right" w:leader="dot" w:pos="9298"/>
        </w:tabs>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在向行业内多家化工园区征集意见，对业内反映出的问题和意见建议，逐条研究，根据意见和建议的程度采取采用、修改采用、不采用的处理方式，完成业内意见征求后修改，形成《规范》地方标准</w:t>
      </w:r>
      <w:r>
        <w:rPr>
          <w:rFonts w:ascii="仿宋" w:hAnsi="仿宋" w:eastAsia="仿宋" w:cs="仿宋"/>
          <w:sz w:val="28"/>
          <w:szCs w:val="28"/>
        </w:rPr>
        <w:t>3</w:t>
      </w:r>
      <w:r>
        <w:rPr>
          <w:rFonts w:hint="eastAsia" w:ascii="仿宋" w:hAnsi="仿宋" w:eastAsia="仿宋" w:cs="仿宋"/>
          <w:sz w:val="28"/>
          <w:szCs w:val="28"/>
        </w:rPr>
        <w:t>.0版本。</w:t>
      </w:r>
    </w:p>
    <w:p w14:paraId="057415CB">
      <w:pPr>
        <w:spacing w:before="156" w:beforeLines="50"/>
        <w:ind w:firstLine="560" w:firstLineChars="200"/>
        <w:outlineLvl w:val="0"/>
        <w:rPr>
          <w:rFonts w:ascii="黑体" w:hAnsi="黑体" w:eastAsia="黑体" w:cs="仿宋"/>
          <w:kern w:val="0"/>
          <w:sz w:val="28"/>
          <w:szCs w:val="28"/>
        </w:rPr>
      </w:pPr>
      <w:r>
        <w:rPr>
          <w:rFonts w:hint="eastAsia" w:ascii="黑体" w:hAnsi="黑体" w:eastAsia="黑体" w:cs="仿宋"/>
          <w:kern w:val="0"/>
          <w:sz w:val="28"/>
          <w:szCs w:val="28"/>
        </w:rPr>
        <w:t xml:space="preserve"> 三、起草组成员任务分工</w:t>
      </w:r>
    </w:p>
    <w:p w14:paraId="7F5B1753"/>
    <w:tbl>
      <w:tblPr>
        <w:tblStyle w:val="10"/>
        <w:tblW w:w="808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850"/>
        <w:gridCol w:w="2982"/>
        <w:gridCol w:w="2978"/>
      </w:tblGrid>
      <w:tr w14:paraId="20C8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Align w:val="center"/>
          </w:tcPr>
          <w:p w14:paraId="11592CD1">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 名</w:t>
            </w:r>
          </w:p>
        </w:tc>
        <w:tc>
          <w:tcPr>
            <w:tcW w:w="850" w:type="dxa"/>
            <w:vAlign w:val="center"/>
          </w:tcPr>
          <w:p w14:paraId="6BAD24A4">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性别</w:t>
            </w:r>
          </w:p>
        </w:tc>
        <w:tc>
          <w:tcPr>
            <w:tcW w:w="2982" w:type="dxa"/>
            <w:vAlign w:val="center"/>
          </w:tcPr>
          <w:p w14:paraId="1310993D">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职务/职称</w:t>
            </w:r>
          </w:p>
        </w:tc>
        <w:tc>
          <w:tcPr>
            <w:tcW w:w="2978" w:type="dxa"/>
            <w:vAlign w:val="center"/>
          </w:tcPr>
          <w:p w14:paraId="325EFE87">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任务分工</w:t>
            </w:r>
          </w:p>
        </w:tc>
      </w:tr>
      <w:tr w14:paraId="5DB6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shd w:val="clear"/>
            <w:vAlign w:val="center"/>
          </w:tcPr>
          <w:p w14:paraId="38FDF710">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张日明</w:t>
            </w:r>
          </w:p>
        </w:tc>
        <w:tc>
          <w:tcPr>
            <w:tcW w:w="850" w:type="dxa"/>
            <w:shd w:val="clear"/>
            <w:vAlign w:val="center"/>
          </w:tcPr>
          <w:p w14:paraId="16E786AD">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男</w:t>
            </w:r>
          </w:p>
        </w:tc>
        <w:tc>
          <w:tcPr>
            <w:tcW w:w="2982" w:type="dxa"/>
            <w:shd w:val="clear"/>
            <w:vAlign w:val="center"/>
          </w:tcPr>
          <w:p w14:paraId="34A8D242">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公司副总经理/高级工程师</w:t>
            </w:r>
          </w:p>
        </w:tc>
        <w:tc>
          <w:tcPr>
            <w:tcW w:w="2978" w:type="dxa"/>
            <w:shd w:val="clear"/>
            <w:vAlign w:val="center"/>
          </w:tcPr>
          <w:p w14:paraId="4A08E1BA">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项目负责人</w:t>
            </w:r>
          </w:p>
        </w:tc>
      </w:tr>
      <w:tr w14:paraId="77A40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Align w:val="center"/>
          </w:tcPr>
          <w:p w14:paraId="73E79116">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张勇敢</w:t>
            </w:r>
          </w:p>
        </w:tc>
        <w:tc>
          <w:tcPr>
            <w:tcW w:w="850" w:type="dxa"/>
            <w:vAlign w:val="center"/>
          </w:tcPr>
          <w:p w14:paraId="7B21ED1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男</w:t>
            </w:r>
          </w:p>
        </w:tc>
        <w:tc>
          <w:tcPr>
            <w:tcW w:w="2982" w:type="dxa"/>
            <w:vAlign w:val="center"/>
          </w:tcPr>
          <w:p w14:paraId="4B24E33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公司总经理/高级工程师</w:t>
            </w:r>
          </w:p>
        </w:tc>
        <w:tc>
          <w:tcPr>
            <w:tcW w:w="2978" w:type="dxa"/>
            <w:vAlign w:val="center"/>
          </w:tcPr>
          <w:p w14:paraId="0991F131">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项目总协调/总负责人</w:t>
            </w:r>
          </w:p>
        </w:tc>
      </w:tr>
      <w:tr w14:paraId="5A2E1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shd w:val="clear" w:color="auto" w:fill="auto"/>
            <w:vAlign w:val="center"/>
          </w:tcPr>
          <w:p w14:paraId="2525C9F0">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许柯</w:t>
            </w:r>
          </w:p>
        </w:tc>
        <w:tc>
          <w:tcPr>
            <w:tcW w:w="850" w:type="dxa"/>
            <w:shd w:val="clear" w:color="auto" w:fill="auto"/>
            <w:vAlign w:val="center"/>
          </w:tcPr>
          <w:p w14:paraId="2BD8A8D7">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男</w:t>
            </w:r>
          </w:p>
        </w:tc>
        <w:tc>
          <w:tcPr>
            <w:tcW w:w="2982" w:type="dxa"/>
            <w:shd w:val="clear" w:color="auto" w:fill="auto"/>
            <w:vAlign w:val="center"/>
          </w:tcPr>
          <w:p w14:paraId="6A4B338B">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二级教授/高级工程师</w:t>
            </w:r>
          </w:p>
        </w:tc>
        <w:tc>
          <w:tcPr>
            <w:tcW w:w="2978" w:type="dxa"/>
            <w:shd w:val="clear" w:color="auto" w:fill="auto"/>
            <w:vAlign w:val="center"/>
          </w:tcPr>
          <w:p w14:paraId="1E97DBD7">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标准审核</w:t>
            </w:r>
          </w:p>
        </w:tc>
      </w:tr>
      <w:tr w14:paraId="171B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shd w:val="clear" w:color="auto" w:fill="auto"/>
            <w:vAlign w:val="center"/>
          </w:tcPr>
          <w:p w14:paraId="054934AE">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李冬</w:t>
            </w:r>
          </w:p>
        </w:tc>
        <w:tc>
          <w:tcPr>
            <w:tcW w:w="850" w:type="dxa"/>
            <w:shd w:val="clear" w:color="auto" w:fill="auto"/>
            <w:vAlign w:val="center"/>
          </w:tcPr>
          <w:p w14:paraId="67D106BC">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男</w:t>
            </w:r>
          </w:p>
        </w:tc>
        <w:tc>
          <w:tcPr>
            <w:tcW w:w="2982" w:type="dxa"/>
            <w:shd w:val="clear" w:color="auto" w:fill="auto"/>
            <w:vAlign w:val="center"/>
          </w:tcPr>
          <w:p w14:paraId="6E7628AC">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教授</w:t>
            </w:r>
          </w:p>
        </w:tc>
        <w:tc>
          <w:tcPr>
            <w:tcW w:w="2978" w:type="dxa"/>
            <w:shd w:val="clear" w:color="auto" w:fill="auto"/>
            <w:vAlign w:val="center"/>
          </w:tcPr>
          <w:p w14:paraId="405E16CE">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标准审核</w:t>
            </w:r>
          </w:p>
        </w:tc>
      </w:tr>
      <w:tr w14:paraId="3805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Align w:val="center"/>
          </w:tcPr>
          <w:p w14:paraId="736A69C6">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王治国</w:t>
            </w:r>
          </w:p>
        </w:tc>
        <w:tc>
          <w:tcPr>
            <w:tcW w:w="850" w:type="dxa"/>
            <w:vAlign w:val="center"/>
          </w:tcPr>
          <w:p w14:paraId="56E775C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男</w:t>
            </w:r>
          </w:p>
        </w:tc>
        <w:tc>
          <w:tcPr>
            <w:tcW w:w="2982" w:type="dxa"/>
            <w:vAlign w:val="center"/>
          </w:tcPr>
          <w:p w14:paraId="0A334D74">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公司事业部经理/工程师</w:t>
            </w:r>
          </w:p>
        </w:tc>
        <w:tc>
          <w:tcPr>
            <w:tcW w:w="2978" w:type="dxa"/>
            <w:vAlign w:val="center"/>
          </w:tcPr>
          <w:p w14:paraId="16A81396">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标准编写</w:t>
            </w:r>
          </w:p>
        </w:tc>
      </w:tr>
      <w:tr w14:paraId="13114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shd w:val="clear" w:color="auto" w:fill="auto"/>
            <w:vAlign w:val="center"/>
          </w:tcPr>
          <w:p w14:paraId="0DE34F3A">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豆坤坤</w:t>
            </w:r>
          </w:p>
        </w:tc>
        <w:tc>
          <w:tcPr>
            <w:tcW w:w="850" w:type="dxa"/>
            <w:shd w:val="clear" w:color="auto" w:fill="auto"/>
            <w:vAlign w:val="center"/>
          </w:tcPr>
          <w:p w14:paraId="38FAF846">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男</w:t>
            </w:r>
          </w:p>
        </w:tc>
        <w:tc>
          <w:tcPr>
            <w:tcW w:w="2982" w:type="dxa"/>
            <w:shd w:val="clear" w:color="auto" w:fill="auto"/>
            <w:vAlign w:val="center"/>
          </w:tcPr>
          <w:p w14:paraId="1211276B">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招商局局长</w:t>
            </w:r>
          </w:p>
        </w:tc>
        <w:tc>
          <w:tcPr>
            <w:tcW w:w="2978" w:type="dxa"/>
            <w:shd w:val="clear" w:color="auto" w:fill="auto"/>
            <w:vAlign w:val="center"/>
          </w:tcPr>
          <w:p w14:paraId="72E4ED78">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标准参编及测试</w:t>
            </w:r>
          </w:p>
        </w:tc>
      </w:tr>
      <w:tr w14:paraId="14E0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Align w:val="center"/>
          </w:tcPr>
          <w:p w14:paraId="17CDC58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闫文娟</w:t>
            </w:r>
          </w:p>
        </w:tc>
        <w:tc>
          <w:tcPr>
            <w:tcW w:w="850" w:type="dxa"/>
            <w:vAlign w:val="center"/>
          </w:tcPr>
          <w:p w14:paraId="4B489B3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女</w:t>
            </w:r>
          </w:p>
        </w:tc>
        <w:tc>
          <w:tcPr>
            <w:tcW w:w="2982" w:type="dxa"/>
            <w:vAlign w:val="center"/>
          </w:tcPr>
          <w:p w14:paraId="11F826FF">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工程师</w:t>
            </w:r>
          </w:p>
        </w:tc>
        <w:tc>
          <w:tcPr>
            <w:tcW w:w="2978" w:type="dxa"/>
            <w:vAlign w:val="center"/>
          </w:tcPr>
          <w:p w14:paraId="5BDD4BF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标准编写</w:t>
            </w:r>
          </w:p>
        </w:tc>
      </w:tr>
      <w:tr w14:paraId="116B1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Align w:val="center"/>
          </w:tcPr>
          <w:p w14:paraId="3679617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杨慧霞</w:t>
            </w:r>
          </w:p>
        </w:tc>
        <w:tc>
          <w:tcPr>
            <w:tcW w:w="850" w:type="dxa"/>
            <w:vAlign w:val="center"/>
          </w:tcPr>
          <w:p w14:paraId="7602906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女</w:t>
            </w:r>
          </w:p>
        </w:tc>
        <w:tc>
          <w:tcPr>
            <w:tcW w:w="2982" w:type="dxa"/>
            <w:vAlign w:val="center"/>
          </w:tcPr>
          <w:p w14:paraId="610F385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公司副总经理/高级工程师</w:t>
            </w:r>
          </w:p>
        </w:tc>
        <w:tc>
          <w:tcPr>
            <w:tcW w:w="2978" w:type="dxa"/>
            <w:vAlign w:val="center"/>
          </w:tcPr>
          <w:p w14:paraId="2BE9B36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标准校队</w:t>
            </w:r>
          </w:p>
        </w:tc>
      </w:tr>
      <w:tr w14:paraId="037FC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shd w:val="clear" w:color="auto" w:fill="auto"/>
            <w:vAlign w:val="center"/>
          </w:tcPr>
          <w:p w14:paraId="3FB4BE31">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李艳丽</w:t>
            </w:r>
          </w:p>
        </w:tc>
        <w:tc>
          <w:tcPr>
            <w:tcW w:w="850" w:type="dxa"/>
            <w:shd w:val="clear" w:color="auto" w:fill="auto"/>
            <w:vAlign w:val="center"/>
          </w:tcPr>
          <w:p w14:paraId="2A3B1C92">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女</w:t>
            </w:r>
          </w:p>
        </w:tc>
        <w:tc>
          <w:tcPr>
            <w:tcW w:w="2982" w:type="dxa"/>
            <w:shd w:val="clear" w:color="auto" w:fill="auto"/>
            <w:vAlign w:val="center"/>
          </w:tcPr>
          <w:p w14:paraId="1CAE22E9">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技术部长/工程师</w:t>
            </w:r>
          </w:p>
        </w:tc>
        <w:tc>
          <w:tcPr>
            <w:tcW w:w="2978" w:type="dxa"/>
            <w:shd w:val="clear" w:color="auto" w:fill="auto"/>
            <w:vAlign w:val="center"/>
          </w:tcPr>
          <w:p w14:paraId="5FE82047">
            <w:pPr>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标准编写</w:t>
            </w:r>
          </w:p>
        </w:tc>
      </w:tr>
      <w:tr w14:paraId="1DE9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Align w:val="center"/>
          </w:tcPr>
          <w:p w14:paraId="2E4A3FC8">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杨亮</w:t>
            </w:r>
          </w:p>
        </w:tc>
        <w:tc>
          <w:tcPr>
            <w:tcW w:w="850" w:type="dxa"/>
            <w:vAlign w:val="center"/>
          </w:tcPr>
          <w:p w14:paraId="6E5E3BD1">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男</w:t>
            </w:r>
          </w:p>
        </w:tc>
        <w:tc>
          <w:tcPr>
            <w:tcW w:w="2982" w:type="dxa"/>
            <w:vAlign w:val="center"/>
          </w:tcPr>
          <w:p w14:paraId="0E99AB0F">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工程师</w:t>
            </w:r>
          </w:p>
        </w:tc>
        <w:tc>
          <w:tcPr>
            <w:tcW w:w="2978" w:type="dxa"/>
            <w:vAlign w:val="center"/>
          </w:tcPr>
          <w:p w14:paraId="0614A6AD">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标准编写</w:t>
            </w:r>
          </w:p>
        </w:tc>
      </w:tr>
    </w:tbl>
    <w:p w14:paraId="404B85C0">
      <w:pPr>
        <w:spacing w:before="156" w:beforeLines="50"/>
        <w:ind w:firstLine="560" w:firstLineChars="200"/>
        <w:outlineLvl w:val="0"/>
        <w:rPr>
          <w:rFonts w:ascii="黑体" w:hAnsi="黑体" w:eastAsia="黑体" w:cs="仿宋"/>
          <w:kern w:val="0"/>
          <w:sz w:val="28"/>
          <w:szCs w:val="28"/>
        </w:rPr>
      </w:pPr>
      <w:r>
        <w:rPr>
          <w:rFonts w:hint="eastAsia" w:ascii="黑体" w:hAnsi="黑体" w:eastAsia="黑体" w:cs="仿宋"/>
          <w:kern w:val="0"/>
          <w:sz w:val="28"/>
          <w:szCs w:val="28"/>
        </w:rPr>
        <w:t>四、标准编制原则和确定标准主要内容</w:t>
      </w:r>
    </w:p>
    <w:p w14:paraId="6550BC36">
      <w:pPr>
        <w:ind w:firstLine="281" w:firstLineChars="100"/>
        <w:rPr>
          <w:rFonts w:ascii="宋体" w:hAnsi="宋体" w:cs="仿宋"/>
          <w:b/>
          <w:sz w:val="28"/>
          <w:szCs w:val="28"/>
        </w:rPr>
      </w:pPr>
      <w:r>
        <w:rPr>
          <w:rFonts w:hint="eastAsia" w:ascii="宋体" w:hAnsi="宋体"/>
          <w:b/>
          <w:sz w:val="28"/>
          <w:szCs w:val="28"/>
        </w:rPr>
        <w:t>（</w:t>
      </w:r>
      <w:r>
        <w:rPr>
          <w:rFonts w:hint="eastAsia" w:ascii="宋体" w:hAnsi="宋体" w:cs="仿宋"/>
          <w:b/>
          <w:sz w:val="28"/>
          <w:szCs w:val="28"/>
        </w:rPr>
        <w:t>一）制定标准的必要性和意义</w:t>
      </w:r>
    </w:p>
    <w:p w14:paraId="61E3C638">
      <w:pPr>
        <w:ind w:firstLine="560" w:firstLineChars="200"/>
        <w:rPr>
          <w:rFonts w:ascii="仿宋" w:hAnsi="仿宋" w:eastAsia="仿宋" w:cs="仿宋"/>
          <w:sz w:val="28"/>
          <w:szCs w:val="28"/>
        </w:rPr>
      </w:pPr>
      <w:r>
        <w:rPr>
          <w:rFonts w:hint="eastAsia" w:ascii="仿宋" w:hAnsi="仿宋" w:eastAsia="仿宋" w:cs="仿宋"/>
          <w:sz w:val="28"/>
          <w:szCs w:val="28"/>
        </w:rPr>
        <w:t>当前，工业园区已成为我国工业发展的主要形态，在国民经济中扮演着重要角色。由于各地区工业园区建设情况不一，排放基数大、风险高，环境问题复杂，已成为制约生态环境改善的突出短板。因此，建设智慧化工园区是化工园区高质量发展的必由之路。多年的实践证明，智慧化工园区的建设有效提升了对园区内外关键信息资源的整合能力，在提升园区本质安全与环境保障水平、加强应急处置和循环经济建设、促进能源管理和高效物流服务，以及园区公共服务平台建设等方面均显示出较强的推动作用。</w:t>
      </w:r>
    </w:p>
    <w:p w14:paraId="0242452A">
      <w:pPr>
        <w:ind w:firstLine="560" w:firstLineChars="200"/>
        <w:rPr>
          <w:rFonts w:ascii="仿宋" w:hAnsi="仿宋" w:eastAsia="仿宋" w:cs="仿宋"/>
          <w:sz w:val="28"/>
          <w:szCs w:val="28"/>
        </w:rPr>
      </w:pPr>
      <w:r>
        <w:rPr>
          <w:rFonts w:hint="eastAsia" w:ascii="仿宋" w:hAnsi="仿宋" w:eastAsia="仿宋" w:cs="仿宋"/>
          <w:sz w:val="28"/>
          <w:szCs w:val="28"/>
        </w:rPr>
        <w:t>我国智慧化工园区最早在2015年提出，工业和信息化部印发《关于促进化工园区规范发展的指导意见》，其中提出，鼓励有条件的园区全面整合园区信息化资源，以提升园区本质安全和环境保护水平为目的建设智慧园区。2020年，《智慧化工园区建设指南》国家标准正式发布，于2021年5月起正式施行，该标准明确了智慧化工园区的定义，即以信息与通信技术为支撑，围绕安全生产、环境管理、应急管理、封闭化管理、运输管理、能源管理、办公管理、公共服务和保障体系等领域，通过数据整合与信息平台建设实现智慧化管理与高效运行的化工园区。</w:t>
      </w:r>
    </w:p>
    <w:p w14:paraId="53AEF9C0">
      <w:pPr>
        <w:ind w:firstLine="560" w:firstLineChars="200"/>
        <w:rPr>
          <w:rFonts w:ascii="仿宋" w:hAnsi="仿宋" w:eastAsia="仿宋" w:cs="仿宋"/>
          <w:sz w:val="28"/>
          <w:szCs w:val="28"/>
        </w:rPr>
      </w:pPr>
      <w:r>
        <w:rPr>
          <w:rFonts w:hint="eastAsia" w:ascii="仿宋" w:hAnsi="仿宋" w:eastAsia="仿宋" w:cs="仿宋"/>
          <w:sz w:val="28"/>
          <w:szCs w:val="28"/>
        </w:rPr>
        <w:t>根据《化工园区“十四五”规划指南及2035中长期发展展望》，到2035年，我国全部化工园区建成智慧化工园区和绿色化工园区，成为石化产业高质量发展和石化强国的重要支撑。从中长期目标规划来看，智慧化建设将会成为我国化工园区未来发展的方向。</w:t>
      </w:r>
    </w:p>
    <w:p w14:paraId="19EE8646">
      <w:pPr>
        <w:ind w:firstLine="560" w:firstLineChars="200"/>
        <w:rPr>
          <w:rFonts w:ascii="仿宋" w:hAnsi="仿宋" w:eastAsia="仿宋" w:cs="仿宋"/>
          <w:sz w:val="28"/>
          <w:szCs w:val="28"/>
        </w:rPr>
      </w:pPr>
      <w:r>
        <w:rPr>
          <w:rFonts w:ascii="仿宋" w:hAnsi="仿宋" w:eastAsia="仿宋" w:cs="仿宋"/>
          <w:sz w:val="28"/>
          <w:szCs w:val="28"/>
        </w:rPr>
        <w:t>本</w:t>
      </w:r>
      <w:r>
        <w:rPr>
          <w:rFonts w:hint="eastAsia" w:ascii="仿宋" w:hAnsi="仿宋" w:eastAsia="仿宋" w:cs="仿宋"/>
          <w:sz w:val="28"/>
          <w:szCs w:val="28"/>
        </w:rPr>
        <w:t>《标准》</w:t>
      </w:r>
      <w:r>
        <w:rPr>
          <w:rFonts w:ascii="仿宋" w:hAnsi="仿宋" w:eastAsia="仿宋" w:cs="仿宋"/>
          <w:sz w:val="28"/>
          <w:szCs w:val="28"/>
        </w:rPr>
        <w:t>的制定</w:t>
      </w:r>
      <w:r>
        <w:rPr>
          <w:rFonts w:hint="eastAsia" w:ascii="仿宋" w:hAnsi="仿宋" w:eastAsia="仿宋" w:cs="仿宋"/>
          <w:sz w:val="28"/>
          <w:szCs w:val="28"/>
        </w:rPr>
        <w:t>不仅参考了部分国家标准并根据化工园区的实际，并根据陕西省化工园区的实际情况进行了有针对性的编制，是非常有必要的。主要体现在以下几点：</w:t>
      </w:r>
    </w:p>
    <w:p w14:paraId="7BB2606A">
      <w:pPr>
        <w:ind w:firstLine="560" w:firstLineChars="200"/>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赋能安全生产管理工作</w:t>
      </w:r>
    </w:p>
    <w:p w14:paraId="0AF36875">
      <w:pPr>
        <w:ind w:firstLine="560" w:firstLineChars="200"/>
        <w:rPr>
          <w:rFonts w:ascii="仿宋" w:hAnsi="仿宋" w:eastAsia="仿宋" w:cs="仿宋"/>
          <w:sz w:val="28"/>
          <w:szCs w:val="28"/>
        </w:rPr>
      </w:pPr>
      <w:r>
        <w:rPr>
          <w:rFonts w:hint="eastAsia" w:ascii="仿宋" w:hAnsi="仿宋" w:eastAsia="仿宋" w:cs="仿宋"/>
          <w:sz w:val="28"/>
          <w:szCs w:val="28"/>
        </w:rPr>
        <w:t>陕西省化工园区包括石油化工、煤化工、精细化工、新材料等主导产业，原材料或者半成品均属于危化品，且园区内大型装置众多，一旦发生爆炸、火灾、有毒有害化学品泄漏等事故，将是连锁反应，持续时间长、危害极大。与此同时，化工园区内人员密集，一旦发生事故，将会造成重大人员伤亡。因此，化工园区对安全生产领域的智慧化建设需求显得尤为迫切。化工园区的安全生产涉及每个企业、每个环节，做好安全生产的智慧化建设，建设安全生产管理“一张网”，实现动态监控、瞬时报告、及时处置。利于事前危险事故防范，降低危险事故发生概率；便于事中掌握事故整体情况，开展组织救援；便于事后事故复盘，找出问题，为之后的安全生产打下基础。</w:t>
      </w:r>
    </w:p>
    <w:p w14:paraId="750DC856">
      <w:pPr>
        <w:ind w:firstLine="560" w:firstLineChars="200"/>
        <w:rPr>
          <w:rFonts w:ascii="仿宋" w:hAnsi="仿宋" w:eastAsia="仿宋" w:cs="仿宋"/>
          <w:sz w:val="28"/>
          <w:szCs w:val="28"/>
        </w:rPr>
      </w:pPr>
      <w:r>
        <w:rPr>
          <w:rFonts w:hint="eastAsia" w:ascii="仿宋" w:hAnsi="仿宋" w:eastAsia="仿宋" w:cs="仿宋"/>
          <w:sz w:val="28"/>
          <w:szCs w:val="28"/>
        </w:rPr>
        <w:t>（2）</w:t>
      </w:r>
      <w:r>
        <w:rPr>
          <w:rFonts w:ascii="仿宋" w:hAnsi="仿宋" w:eastAsia="仿宋" w:cs="仿宋"/>
          <w:sz w:val="28"/>
          <w:szCs w:val="28"/>
        </w:rPr>
        <w:t>提高园区整体生产效率</w:t>
      </w:r>
    </w:p>
    <w:p w14:paraId="1AEE6F0C">
      <w:pPr>
        <w:ind w:firstLine="560" w:firstLineChars="200"/>
        <w:rPr>
          <w:rFonts w:ascii="仿宋" w:hAnsi="仿宋" w:eastAsia="仿宋" w:cs="仿宋"/>
          <w:sz w:val="28"/>
          <w:szCs w:val="28"/>
        </w:rPr>
      </w:pPr>
      <w:r>
        <w:rPr>
          <w:rFonts w:ascii="仿宋" w:hAnsi="仿宋" w:eastAsia="仿宋" w:cs="仿宋"/>
          <w:sz w:val="28"/>
          <w:szCs w:val="28"/>
        </w:rPr>
        <w:t>从园区运营管理方来说，通过信息化数据的支撑，建设智慧园区信息化服务管理平台，在运营、安防、物业管理、能耗等方面进行数据监测，实现信息共享、远程操控，可以提高工作效率，降低人工成本，并提高对区内各种事务把握的准确性和精准度。从区内企业来说，园区内大部分为化工企业，往往是同一产业链上下游企业，即一家企业的产品是另一家企业的原材料，智慧园区平台可以使企业全面了解其他区内企业的产品与业务，加强双方合作，以此降低运输和生产成本，提高生产效率。同时，智慧化建设也加强了园区运营管理方和区内企业的沟通互联，实现园区资源互通互享，提高园区资源利用率。</w:t>
      </w:r>
    </w:p>
    <w:p w14:paraId="5BF12C38">
      <w:pPr>
        <w:ind w:firstLine="560" w:firstLineChars="200"/>
        <w:rPr>
          <w:rFonts w:ascii="仿宋" w:hAnsi="仿宋" w:eastAsia="仿宋" w:cs="仿宋"/>
          <w:sz w:val="28"/>
          <w:szCs w:val="28"/>
        </w:rPr>
      </w:pPr>
      <w:r>
        <w:rPr>
          <w:rFonts w:hint="eastAsia" w:ascii="仿宋" w:hAnsi="仿宋" w:eastAsia="仿宋" w:cs="仿宋"/>
          <w:sz w:val="28"/>
          <w:szCs w:val="28"/>
        </w:rPr>
        <w:t>（3）</w:t>
      </w:r>
      <w:r>
        <w:rPr>
          <w:rFonts w:ascii="仿宋" w:hAnsi="仿宋" w:eastAsia="仿宋" w:cs="仿宋"/>
          <w:sz w:val="28"/>
          <w:szCs w:val="28"/>
        </w:rPr>
        <w:t>推动化工园区整体转型升级</w:t>
      </w:r>
    </w:p>
    <w:p w14:paraId="0204D508">
      <w:pPr>
        <w:ind w:firstLine="560" w:firstLineChars="200"/>
        <w:rPr>
          <w:rFonts w:ascii="仿宋" w:hAnsi="仿宋" w:eastAsia="仿宋" w:cs="仿宋"/>
          <w:sz w:val="28"/>
          <w:szCs w:val="28"/>
        </w:rPr>
      </w:pPr>
      <w:r>
        <w:rPr>
          <w:rFonts w:ascii="仿宋" w:hAnsi="仿宋" w:eastAsia="仿宋" w:cs="仿宋"/>
          <w:sz w:val="28"/>
          <w:szCs w:val="28"/>
        </w:rPr>
        <w:t>从园区整体来讲，化工园区智慧化建设要整合信息化资源，对园区管理、基础设施、资源配置、企业生产、安全生产管控、能源管控等领域进行智能化改造，加强园区硬件设施与软件服务的有机结合与智慧化管理，推动园区整体升级改造。从区内企业来讲，建设智慧化工园区有助于淘汰传统落后产能，敦促企业引进先进技术与制造工艺，推动工厂、车间、设备等的智能化改造，进而推动企业整体的升级改造。同时建设智慧化工园区，也将进一步吸引高质量化工企业入园区，有助于化工产业的集聚，推动园区整体转型升级与高质量发展。</w:t>
      </w:r>
    </w:p>
    <w:p w14:paraId="66BEA52B">
      <w:pPr>
        <w:ind w:firstLine="281" w:firstLineChars="100"/>
        <w:rPr>
          <w:rFonts w:ascii="宋体" w:hAnsi="宋体"/>
          <w:b/>
          <w:sz w:val="28"/>
          <w:szCs w:val="28"/>
        </w:rPr>
      </w:pPr>
      <w:r>
        <w:rPr>
          <w:rFonts w:hint="eastAsia" w:ascii="宋体" w:hAnsi="宋体"/>
          <w:b/>
          <w:sz w:val="28"/>
          <w:szCs w:val="28"/>
        </w:rPr>
        <w:t>（二）制定地方标准的原则</w:t>
      </w:r>
    </w:p>
    <w:p w14:paraId="59D3F6B3">
      <w:pPr>
        <w:ind w:firstLine="560" w:firstLineChars="200"/>
        <w:rPr>
          <w:rFonts w:ascii="仿宋" w:hAnsi="仿宋" w:eastAsia="仿宋" w:cs="仿宋"/>
          <w:sz w:val="28"/>
          <w:szCs w:val="28"/>
        </w:rPr>
      </w:pPr>
      <w:r>
        <w:rPr>
          <w:rFonts w:hint="eastAsia" w:ascii="仿宋" w:hAnsi="仿宋" w:eastAsia="仿宋" w:cs="仿宋"/>
          <w:sz w:val="28"/>
          <w:szCs w:val="28"/>
        </w:rPr>
        <w:t>首先，要考虑智慧化工园区的建设与管理的实用性原则，符合化工园区的实际需求，智慧化工园区的设计应遵循开放性、准确性、扩展性、管理性等原则。</w:t>
      </w:r>
    </w:p>
    <w:p w14:paraId="6D3A1D01">
      <w:pPr>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）设计应符合《智慧化工园区建设指南》GB/T 39218-2020中的相关要求。</w:t>
      </w:r>
    </w:p>
    <w:p w14:paraId="1916F4D9">
      <w:pPr>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）采集数据应准确、实时性高，延迟小。</w:t>
      </w:r>
    </w:p>
    <w:p w14:paraId="126ECD7D">
      <w:pPr>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）智慧化工园区管理应不限于《规范》中的要求，有条件的园区可根据自身情况进行扩展，管理要科学有效。</w:t>
      </w:r>
    </w:p>
    <w:p w14:paraId="470DE7FE">
      <w:pPr>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）智慧化工园区设计应具有可扩展性，应预留接口，方便后续系统接入和数据采集。</w:t>
      </w:r>
    </w:p>
    <w:p w14:paraId="33DF7FA5">
      <w:pPr>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5</w:t>
      </w:r>
      <w:r>
        <w:rPr>
          <w:rFonts w:hint="eastAsia" w:ascii="仿宋" w:hAnsi="仿宋" w:eastAsia="仿宋" w:cs="仿宋"/>
          <w:sz w:val="28"/>
          <w:szCs w:val="28"/>
        </w:rPr>
        <w:t>）智慧化工园区应建设统一平台、统一数据标准、统一数据接入细则。</w:t>
      </w:r>
    </w:p>
    <w:p w14:paraId="40DDF9BB">
      <w:pPr>
        <w:ind w:firstLine="560" w:firstLineChars="200"/>
        <w:rPr>
          <w:rFonts w:ascii="仿宋" w:hAnsi="仿宋" w:eastAsia="仿宋" w:cs="仿宋"/>
          <w:sz w:val="28"/>
          <w:szCs w:val="28"/>
        </w:rPr>
      </w:pPr>
      <w:r>
        <w:rPr>
          <w:rFonts w:hint="eastAsia" w:ascii="仿宋" w:hAnsi="仿宋" w:eastAsia="仿宋" w:cs="仿宋"/>
          <w:sz w:val="28"/>
          <w:szCs w:val="28"/>
        </w:rPr>
        <w:t>其次，编制的标准应该遵循适用性、规范性、先进性、协调性原则。</w:t>
      </w:r>
    </w:p>
    <w:p w14:paraId="06AE7B21">
      <w:pPr>
        <w:ind w:firstLine="281" w:firstLineChars="100"/>
        <w:rPr>
          <w:rFonts w:ascii="宋体" w:hAnsi="宋体"/>
          <w:b/>
          <w:sz w:val="28"/>
          <w:szCs w:val="28"/>
        </w:rPr>
      </w:pPr>
      <w:r>
        <w:rPr>
          <w:rFonts w:hint="eastAsia" w:ascii="宋体" w:hAnsi="宋体"/>
          <w:b/>
          <w:sz w:val="28"/>
          <w:szCs w:val="28"/>
        </w:rPr>
        <w:t>（三）制定地方标准的依据</w:t>
      </w:r>
    </w:p>
    <w:p w14:paraId="741A2C76">
      <w:pPr>
        <w:ind w:firstLine="560" w:firstLineChars="200"/>
        <w:rPr>
          <w:rFonts w:ascii="仿宋" w:hAnsi="仿宋" w:eastAsia="仿宋" w:cs="仿宋"/>
          <w:sz w:val="28"/>
          <w:szCs w:val="28"/>
        </w:rPr>
      </w:pPr>
      <w:r>
        <w:rPr>
          <w:rFonts w:hint="eastAsia" w:ascii="仿宋" w:hAnsi="仿宋" w:eastAsia="仿宋" w:cs="仿宋"/>
          <w:sz w:val="28"/>
          <w:szCs w:val="28"/>
        </w:rPr>
        <w:t>本标准的制定主要参考了以下相关行业标准文件：</w:t>
      </w:r>
    </w:p>
    <w:p w14:paraId="629AC981">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中国智慧园区标准化白皮书</w:t>
      </w:r>
    </w:p>
    <w:p w14:paraId="2050CD2F">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22239</w:t>
      </w:r>
      <w:r>
        <w:rPr>
          <w:rFonts w:ascii="仿宋" w:hAnsi="仿宋" w:eastAsia="仿宋" w:cs="仿宋"/>
          <w:sz w:val="28"/>
          <w:szCs w:val="28"/>
        </w:rPr>
        <w:t xml:space="preserve"> </w:t>
      </w:r>
      <w:r>
        <w:rPr>
          <w:rFonts w:hint="eastAsia" w:ascii="仿宋" w:hAnsi="仿宋" w:eastAsia="仿宋" w:cs="仿宋"/>
          <w:sz w:val="28"/>
          <w:szCs w:val="28"/>
        </w:rPr>
        <w:t>信息安全技术网络安全等级保护基本要求</w:t>
      </w:r>
    </w:p>
    <w:p w14:paraId="6D9D19F5">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33905.2</w:t>
      </w:r>
      <w:r>
        <w:rPr>
          <w:rFonts w:ascii="仿宋" w:hAnsi="仿宋" w:eastAsia="仿宋" w:cs="仿宋"/>
          <w:sz w:val="28"/>
          <w:szCs w:val="28"/>
        </w:rPr>
        <w:t xml:space="preserve"> </w:t>
      </w:r>
      <w:r>
        <w:rPr>
          <w:rFonts w:hint="eastAsia" w:ascii="仿宋" w:hAnsi="仿宋" w:eastAsia="仿宋" w:cs="仿宋"/>
          <w:sz w:val="28"/>
          <w:szCs w:val="28"/>
        </w:rPr>
        <w:t>智能传感器第2部分：物联网应用行规</w:t>
      </w:r>
    </w:p>
    <w:p w14:paraId="3D31174E">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34068</w:t>
      </w:r>
      <w:r>
        <w:rPr>
          <w:rFonts w:ascii="仿宋" w:hAnsi="仿宋" w:eastAsia="仿宋" w:cs="仿宋"/>
          <w:sz w:val="28"/>
          <w:szCs w:val="28"/>
        </w:rPr>
        <w:t xml:space="preserve"> </w:t>
      </w:r>
      <w:r>
        <w:rPr>
          <w:rFonts w:hint="eastAsia" w:ascii="仿宋" w:hAnsi="仿宋" w:eastAsia="仿宋" w:cs="仿宋"/>
          <w:sz w:val="28"/>
          <w:szCs w:val="28"/>
        </w:rPr>
        <w:t>物联网总体技术智能传感器接口规范</w:t>
      </w:r>
    </w:p>
    <w:p w14:paraId="32857F98">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AQ 3035 危险化学品重大危险源安全监控通用技术规范</w:t>
      </w:r>
    </w:p>
    <w:p w14:paraId="7A2F63FD">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34069</w:t>
      </w:r>
      <w:r>
        <w:rPr>
          <w:rFonts w:ascii="仿宋" w:hAnsi="仿宋" w:eastAsia="仿宋" w:cs="仿宋"/>
          <w:sz w:val="28"/>
          <w:szCs w:val="28"/>
        </w:rPr>
        <w:t xml:space="preserve"> </w:t>
      </w:r>
      <w:r>
        <w:rPr>
          <w:rFonts w:hint="eastAsia" w:ascii="仿宋" w:hAnsi="仿宋" w:eastAsia="仿宋" w:cs="仿宋"/>
          <w:sz w:val="28"/>
          <w:szCs w:val="28"/>
        </w:rPr>
        <w:t>物联网总体技术智能传感器特性与分类</w:t>
      </w:r>
    </w:p>
    <w:p w14:paraId="65699FFF">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34071 物联网总体技术 智能传感器可靠性设计方法与评审</w:t>
      </w:r>
    </w:p>
    <w:p w14:paraId="43AAA947">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 50174 数据中心设计规范</w:t>
      </w:r>
    </w:p>
    <w:p w14:paraId="29DBCE6F">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 50311 综合布线系统工程设计与规范</w:t>
      </w:r>
    </w:p>
    <w:p w14:paraId="4D027ECD">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 50314 智能建筑设计标准</w:t>
      </w:r>
    </w:p>
    <w:p w14:paraId="4E42A5D1">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J08-1105</w:t>
      </w:r>
      <w:r>
        <w:rPr>
          <w:rFonts w:ascii="仿宋" w:hAnsi="仿宋" w:eastAsia="仿宋" w:cs="仿宋"/>
          <w:sz w:val="28"/>
          <w:szCs w:val="28"/>
        </w:rPr>
        <w:t xml:space="preserve"> </w:t>
      </w:r>
      <w:r>
        <w:rPr>
          <w:rFonts w:hint="eastAsia" w:ascii="仿宋" w:hAnsi="仿宋" w:eastAsia="仿宋" w:cs="仿宋"/>
          <w:sz w:val="28"/>
          <w:szCs w:val="28"/>
        </w:rPr>
        <w:t>公用移动通信室内信号覆盖系统设计与验收标准</w:t>
      </w:r>
    </w:p>
    <w:p w14:paraId="2B9779E4">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39218 智慧化工园区建设指南</w:t>
      </w:r>
    </w:p>
    <w:p w14:paraId="46D4808D">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《危险化学品企业安全风险智能化管控平台建设指南（试行）》</w:t>
      </w:r>
    </w:p>
    <w:p w14:paraId="045E8C90">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《化工园区安全风险智能化管控平台建设指南（试行）》</w:t>
      </w:r>
    </w:p>
    <w:p w14:paraId="415F98A9">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GB/T 39217 《化学工业园区综合评价导则》</w:t>
      </w:r>
    </w:p>
    <w:p w14:paraId="600B2066">
      <w:pPr>
        <w:widowControl/>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《化工园区建设标准与认定管理办法（试行）》</w:t>
      </w:r>
    </w:p>
    <w:p w14:paraId="4B04CD3C">
      <w:pPr>
        <w:ind w:firstLine="281" w:firstLineChars="100"/>
        <w:rPr>
          <w:rFonts w:ascii="宋体" w:hAnsi="宋体"/>
          <w:b/>
          <w:sz w:val="28"/>
          <w:szCs w:val="28"/>
        </w:rPr>
      </w:pPr>
      <w:r>
        <w:rPr>
          <w:rFonts w:hint="eastAsia" w:ascii="宋体" w:hAnsi="宋体"/>
          <w:b/>
          <w:sz w:val="28"/>
          <w:szCs w:val="28"/>
        </w:rPr>
        <w:t>（四）标准的主要内容</w:t>
      </w:r>
    </w:p>
    <w:p w14:paraId="12744FE1">
      <w:pPr>
        <w:ind w:firstLine="560" w:firstLineChars="200"/>
        <w:rPr>
          <w:rFonts w:ascii="仿宋" w:hAnsi="仿宋" w:eastAsia="仿宋" w:cs="仿宋"/>
          <w:sz w:val="28"/>
          <w:szCs w:val="28"/>
        </w:rPr>
      </w:pPr>
      <w:r>
        <w:rPr>
          <w:rFonts w:hint="eastAsia" w:ascii="仿宋" w:hAnsi="仿宋" w:eastAsia="仿宋" w:cs="仿宋"/>
          <w:sz w:val="28"/>
          <w:szCs w:val="28"/>
        </w:rPr>
        <w:t>本标准的主要内容包括以下</w:t>
      </w:r>
      <w:r>
        <w:rPr>
          <w:rFonts w:ascii="仿宋" w:hAnsi="仿宋" w:eastAsia="仿宋" w:cs="仿宋"/>
          <w:sz w:val="28"/>
          <w:szCs w:val="28"/>
        </w:rPr>
        <w:t>7</w:t>
      </w:r>
      <w:r>
        <w:rPr>
          <w:rFonts w:hint="eastAsia" w:ascii="仿宋" w:hAnsi="仿宋" w:eastAsia="仿宋" w:cs="仿宋"/>
          <w:sz w:val="28"/>
          <w:szCs w:val="28"/>
        </w:rPr>
        <w:t>个方面：</w:t>
      </w:r>
    </w:p>
    <w:p w14:paraId="0EA571D5">
      <w:pPr>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、范围</w:t>
      </w:r>
    </w:p>
    <w:p w14:paraId="404AA5F9">
      <w:pPr>
        <w:ind w:firstLine="560" w:firstLineChars="200"/>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、规范性引用文件</w:t>
      </w:r>
    </w:p>
    <w:p w14:paraId="71ED454D">
      <w:pPr>
        <w:ind w:firstLine="560" w:firstLineChars="200"/>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、术语和定义</w:t>
      </w:r>
    </w:p>
    <w:p w14:paraId="163B3F55">
      <w:pPr>
        <w:ind w:firstLine="560" w:firstLineChars="200"/>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、总则</w:t>
      </w:r>
    </w:p>
    <w:p w14:paraId="2ADB8FF2">
      <w:pPr>
        <w:ind w:firstLine="560" w:firstLineChars="200"/>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、智慧化工园区建设要求</w:t>
      </w:r>
    </w:p>
    <w:p w14:paraId="43BB9E22">
      <w:pPr>
        <w:ind w:firstLine="560" w:firstLineChars="200"/>
        <w:rPr>
          <w:rFonts w:ascii="仿宋" w:hAnsi="仿宋" w:eastAsia="仿宋" w:cs="仿宋"/>
          <w:sz w:val="28"/>
          <w:szCs w:val="28"/>
        </w:rPr>
      </w:pPr>
      <w:r>
        <w:rPr>
          <w:rFonts w:ascii="仿宋" w:hAnsi="仿宋" w:eastAsia="仿宋" w:cs="仿宋"/>
          <w:sz w:val="28"/>
          <w:szCs w:val="28"/>
        </w:rPr>
        <w:t>6</w:t>
      </w:r>
      <w:r>
        <w:rPr>
          <w:rFonts w:hint="eastAsia" w:ascii="仿宋" w:hAnsi="仿宋" w:eastAsia="仿宋" w:cs="仿宋"/>
          <w:sz w:val="28"/>
          <w:szCs w:val="28"/>
        </w:rPr>
        <w:t>、智慧化工园区管理要求</w:t>
      </w:r>
    </w:p>
    <w:p w14:paraId="41018600">
      <w:pPr>
        <w:ind w:firstLine="560" w:firstLineChars="200"/>
        <w:rPr>
          <w:rFonts w:ascii="仿宋" w:hAnsi="仿宋" w:eastAsia="仿宋" w:cs="仿宋"/>
          <w:sz w:val="28"/>
          <w:szCs w:val="28"/>
        </w:rPr>
      </w:pPr>
      <w:r>
        <w:rPr>
          <w:rFonts w:ascii="仿宋" w:hAnsi="仿宋" w:eastAsia="仿宋" w:cs="仿宋"/>
          <w:sz w:val="28"/>
          <w:szCs w:val="28"/>
        </w:rPr>
        <w:t>7</w:t>
      </w:r>
      <w:r>
        <w:rPr>
          <w:rFonts w:hint="eastAsia" w:ascii="仿宋" w:hAnsi="仿宋" w:eastAsia="仿宋" w:cs="仿宋"/>
          <w:sz w:val="28"/>
          <w:szCs w:val="28"/>
        </w:rPr>
        <w:t>、保障管理要求</w:t>
      </w:r>
    </w:p>
    <w:p w14:paraId="09DCC65A">
      <w:pPr>
        <w:ind w:firstLine="281" w:firstLineChars="100"/>
        <w:rPr>
          <w:rFonts w:ascii="宋体" w:hAnsi="宋体"/>
          <w:b/>
          <w:sz w:val="28"/>
          <w:szCs w:val="28"/>
        </w:rPr>
      </w:pPr>
      <w:r>
        <w:rPr>
          <w:rFonts w:hint="eastAsia" w:ascii="宋体" w:hAnsi="宋体"/>
          <w:b/>
          <w:sz w:val="28"/>
          <w:szCs w:val="28"/>
        </w:rPr>
        <w:t>三、试验验证</w:t>
      </w:r>
    </w:p>
    <w:p w14:paraId="3F8DE4D7">
      <w:pPr>
        <w:ind w:firstLine="560" w:firstLineChars="200"/>
        <w:rPr>
          <w:rFonts w:ascii="仿宋" w:hAnsi="仿宋" w:eastAsia="仿宋" w:cs="仿宋"/>
          <w:sz w:val="28"/>
          <w:szCs w:val="28"/>
        </w:rPr>
      </w:pPr>
      <w:r>
        <w:rPr>
          <w:rFonts w:hint="eastAsia" w:ascii="仿宋" w:hAnsi="仿宋" w:eastAsia="仿宋" w:cs="仿宋"/>
          <w:sz w:val="28"/>
          <w:szCs w:val="28"/>
        </w:rPr>
        <w:t>1、对园区安全进行了整体数据分析，形成可视化对比（报警、隐患、排查、风险统计、危化品统计、人员车辆入园统计等）；</w:t>
      </w:r>
    </w:p>
    <w:p w14:paraId="4D3646D3">
      <w:pPr>
        <w:ind w:firstLine="560" w:firstLineChars="200"/>
        <w:rPr>
          <w:rFonts w:ascii="仿宋" w:hAnsi="仿宋" w:eastAsia="仿宋" w:cs="仿宋"/>
          <w:sz w:val="28"/>
          <w:szCs w:val="28"/>
        </w:rPr>
      </w:pPr>
      <w:r>
        <w:rPr>
          <w:rFonts w:hint="eastAsia" w:ascii="仿宋" w:hAnsi="仿宋" w:eastAsia="仿宋" w:cs="仿宋"/>
          <w:sz w:val="28"/>
          <w:szCs w:val="28"/>
        </w:rPr>
        <w:t>2、对进出园区的人员、车辆、物品进行管控，为园区管理者提供了可视化监管、远程调度、流程优化等辅助手段，最终辅助园区提升生产安全；</w:t>
      </w:r>
    </w:p>
    <w:p w14:paraId="7262C6DE">
      <w:pPr>
        <w:ind w:firstLine="560" w:firstLineChars="200"/>
        <w:rPr>
          <w:rFonts w:ascii="仿宋" w:hAnsi="仿宋" w:eastAsia="仿宋" w:cs="仿宋"/>
          <w:sz w:val="28"/>
          <w:szCs w:val="28"/>
        </w:rPr>
      </w:pPr>
      <w:r>
        <w:rPr>
          <w:rFonts w:hint="eastAsia" w:ascii="仿宋" w:hAnsi="仿宋" w:eastAsia="仿宋" w:cs="仿宋"/>
          <w:sz w:val="28"/>
          <w:szCs w:val="28"/>
        </w:rPr>
        <w:t>3、建立了隐患排查系统和风险管控系统；</w:t>
      </w:r>
    </w:p>
    <w:p w14:paraId="7CC1A10B">
      <w:pPr>
        <w:ind w:firstLine="560" w:firstLineChars="200"/>
        <w:rPr>
          <w:rFonts w:ascii="仿宋" w:hAnsi="仿宋" w:eastAsia="仿宋" w:cs="仿宋"/>
          <w:sz w:val="28"/>
          <w:szCs w:val="28"/>
        </w:rPr>
      </w:pPr>
      <w:r>
        <w:rPr>
          <w:rFonts w:ascii="仿宋" w:hAnsi="仿宋" w:eastAsia="仿宋" w:cs="仿宋"/>
          <w:sz w:val="28"/>
          <w:szCs w:val="28"/>
        </w:rPr>
        <w:t>4</w:t>
      </w:r>
      <w:r>
        <w:rPr>
          <w:rFonts w:hint="eastAsia" w:ascii="仿宋" w:hAnsi="仿宋" w:eastAsia="仿宋" w:cs="仿宋"/>
          <w:sz w:val="28"/>
          <w:szCs w:val="28"/>
        </w:rPr>
        <w:t>、实现了对重大危险源、救援力量区域分布等情况的地图标注（点、线、面），对企业、重大危险源、应急资源进行查询和地图定位；</w:t>
      </w:r>
    </w:p>
    <w:p w14:paraId="6C0BE7E4">
      <w:pPr>
        <w:ind w:firstLine="560" w:firstLineChars="200"/>
        <w:rPr>
          <w:rFonts w:ascii="仿宋" w:hAnsi="仿宋" w:eastAsia="仿宋" w:cs="仿宋"/>
          <w:sz w:val="28"/>
          <w:szCs w:val="28"/>
        </w:rPr>
      </w:pPr>
      <w:r>
        <w:rPr>
          <w:rFonts w:ascii="仿宋" w:hAnsi="仿宋" w:eastAsia="仿宋" w:cs="仿宋"/>
          <w:sz w:val="28"/>
          <w:szCs w:val="28"/>
        </w:rPr>
        <w:t>5</w:t>
      </w:r>
      <w:r>
        <w:rPr>
          <w:rFonts w:hint="eastAsia" w:ascii="仿宋" w:hAnsi="仿宋" w:eastAsia="仿宋" w:cs="仿宋"/>
          <w:sz w:val="28"/>
          <w:szCs w:val="28"/>
        </w:rPr>
        <w:t>、对重大危险源进行了辨识、登记、评估、管理、监控、监测与应急管理；</w:t>
      </w:r>
    </w:p>
    <w:p w14:paraId="5FC2C394">
      <w:pPr>
        <w:ind w:firstLine="560" w:firstLineChars="200"/>
        <w:rPr>
          <w:rFonts w:ascii="仿宋" w:hAnsi="仿宋" w:eastAsia="仿宋" w:cs="仿宋"/>
          <w:sz w:val="28"/>
          <w:szCs w:val="28"/>
        </w:rPr>
      </w:pPr>
      <w:r>
        <w:rPr>
          <w:rFonts w:hint="eastAsia" w:ascii="仿宋" w:hAnsi="仿宋" w:eastAsia="仿宋" w:cs="仿宋"/>
          <w:sz w:val="28"/>
          <w:szCs w:val="28"/>
        </w:rPr>
        <w:t>6、平战结合，掌握了各类应急资源的储备情况及分布情况，突发事故时可及时处置决策和应急指挥。</w:t>
      </w:r>
    </w:p>
    <w:p w14:paraId="3508DB31">
      <w:pPr>
        <w:ind w:firstLine="560" w:firstLineChars="200"/>
        <w:rPr>
          <w:rFonts w:ascii="微软雅黑" w:hAnsi="微软雅黑" w:eastAsia="微软雅黑"/>
          <w:sz w:val="28"/>
          <w:szCs w:val="28"/>
        </w:rPr>
      </w:pPr>
      <w:r>
        <w:rPr>
          <w:rFonts w:hint="eastAsia" w:ascii="微软雅黑" w:hAnsi="微软雅黑" w:eastAsia="微软雅黑"/>
          <w:sz w:val="28"/>
          <w:szCs w:val="28"/>
        </w:rPr>
        <w:t>四、知识产权说明</w:t>
      </w:r>
    </w:p>
    <w:p w14:paraId="3DCED7EB">
      <w:pPr>
        <w:ind w:firstLine="560" w:firstLineChars="200"/>
        <w:rPr>
          <w:rFonts w:ascii="仿宋" w:hAnsi="仿宋" w:eastAsia="仿宋" w:cs="仿宋"/>
          <w:sz w:val="28"/>
          <w:szCs w:val="28"/>
        </w:rPr>
      </w:pPr>
      <w:r>
        <w:rPr>
          <w:rFonts w:hint="eastAsia" w:ascii="仿宋" w:hAnsi="仿宋" w:eastAsia="仿宋" w:cs="仿宋"/>
          <w:sz w:val="28"/>
          <w:szCs w:val="28"/>
        </w:rPr>
        <w:t>本文件作为管理性地方标准，在编制时仅仅提出了要达到的功能和管理要求，对于技术和功能如何实现，有多种技术手段和路径，本标准并没有规定唯一的技术路径，因此本标准不涉及相关知识产权问题。</w:t>
      </w:r>
    </w:p>
    <w:p w14:paraId="7D0AB6C9">
      <w:pPr>
        <w:ind w:firstLine="560" w:firstLineChars="200"/>
        <w:rPr>
          <w:rFonts w:ascii="仿宋" w:hAnsi="仿宋" w:eastAsia="仿宋" w:cs="仿宋"/>
          <w:sz w:val="28"/>
          <w:szCs w:val="28"/>
        </w:rPr>
      </w:pPr>
      <w:r>
        <w:rPr>
          <w:rFonts w:hint="eastAsia" w:ascii="微软雅黑" w:hAnsi="微软雅黑" w:eastAsia="微软雅黑"/>
          <w:sz w:val="28"/>
          <w:szCs w:val="28"/>
        </w:rPr>
        <w:t>五、采标情况</w:t>
      </w:r>
    </w:p>
    <w:p w14:paraId="319A8C12">
      <w:pPr>
        <w:ind w:firstLine="560" w:firstLineChars="200"/>
        <w:rPr>
          <w:rFonts w:ascii="仿宋" w:hAnsi="仿宋" w:eastAsia="仿宋" w:cs="仿宋"/>
          <w:sz w:val="28"/>
          <w:szCs w:val="28"/>
        </w:rPr>
      </w:pPr>
      <w:r>
        <w:rPr>
          <w:rFonts w:hint="eastAsia" w:ascii="仿宋" w:hAnsi="仿宋" w:eastAsia="仿宋" w:cs="仿宋"/>
          <w:sz w:val="28"/>
          <w:szCs w:val="28"/>
        </w:rPr>
        <w:t>在智慧化工园区建设方面，目前国家制定了《智慧化工园区建设指南》</w:t>
      </w:r>
      <w:r>
        <w:rPr>
          <w:rFonts w:hint="eastAsia"/>
          <w:sz w:val="28"/>
        </w:rPr>
        <w:t>GB/T 39218-2020，</w:t>
      </w:r>
      <w:r>
        <w:rPr>
          <w:rFonts w:hint="eastAsia" w:ascii="仿宋" w:hAnsi="仿宋" w:eastAsia="仿宋" w:cs="仿宋"/>
          <w:sz w:val="28"/>
          <w:szCs w:val="28"/>
        </w:rPr>
        <w:t>各省针对化工园区的信息化、智能化建设几乎没有可参考的标准，大部分是针对各种园区的建设。同时国家制定的标准中，并无关于智慧化工园区的管理标准。本标准参考了部分国家标准并根据化工园区的实际，进行了有针对性的编制。</w:t>
      </w:r>
    </w:p>
    <w:p w14:paraId="2FAAD790">
      <w:pPr>
        <w:ind w:firstLine="560" w:firstLineChars="200"/>
        <w:rPr>
          <w:rFonts w:ascii="微软雅黑" w:hAnsi="微软雅黑" w:eastAsia="微软雅黑"/>
          <w:sz w:val="28"/>
          <w:szCs w:val="28"/>
        </w:rPr>
      </w:pPr>
      <w:r>
        <w:rPr>
          <w:rFonts w:hint="eastAsia" w:ascii="微软雅黑" w:hAnsi="微软雅黑" w:eastAsia="微软雅黑"/>
          <w:sz w:val="28"/>
          <w:szCs w:val="28"/>
        </w:rPr>
        <w:t>六、重大意见分歧的处理</w:t>
      </w:r>
    </w:p>
    <w:p w14:paraId="16B6451D">
      <w:pPr>
        <w:ind w:firstLine="560" w:firstLineChars="200"/>
        <w:rPr>
          <w:rFonts w:ascii="仿宋" w:hAnsi="仿宋" w:eastAsia="仿宋" w:cs="仿宋"/>
          <w:sz w:val="28"/>
          <w:szCs w:val="28"/>
        </w:rPr>
      </w:pPr>
      <w:r>
        <w:rPr>
          <w:rFonts w:hint="eastAsia" w:ascii="仿宋" w:hAnsi="仿宋" w:eastAsia="仿宋" w:cs="仿宋"/>
          <w:sz w:val="28"/>
          <w:szCs w:val="28"/>
        </w:rPr>
        <w:t>本标准在制定过程中集中了参编单位的集体智慧，同时征求了业内</w:t>
      </w:r>
      <w:r>
        <w:rPr>
          <w:rFonts w:ascii="仿宋" w:hAnsi="仿宋" w:eastAsia="仿宋" w:cs="仿宋"/>
          <w:sz w:val="28"/>
          <w:szCs w:val="28"/>
        </w:rPr>
        <w:t>5</w:t>
      </w:r>
      <w:r>
        <w:rPr>
          <w:rFonts w:hint="eastAsia" w:ascii="仿宋" w:hAnsi="仿宋" w:eastAsia="仿宋" w:cs="仿宋"/>
          <w:sz w:val="28"/>
          <w:szCs w:val="28"/>
        </w:rPr>
        <w:t>家行业企业意见，充分吸纳相关合理性建议，但未出现重大分歧意见。具体意见合理性建议处理结果见下表。</w:t>
      </w:r>
    </w:p>
    <w:tbl>
      <w:tblPr>
        <w:tblStyle w:val="10"/>
        <w:tblW w:w="9120" w:type="dxa"/>
        <w:tblInd w:w="-3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2139"/>
        <w:gridCol w:w="3314"/>
        <w:gridCol w:w="2827"/>
      </w:tblGrid>
      <w:tr w14:paraId="4750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0" w:type="dxa"/>
            <w:shd w:val="clear" w:color="auto" w:fill="auto"/>
            <w:vAlign w:val="center"/>
          </w:tcPr>
          <w:p w14:paraId="7317258B">
            <w:pPr>
              <w:rPr>
                <w:rFonts w:ascii="仿宋" w:hAnsi="仿宋" w:eastAsia="仿宋"/>
                <w:b/>
                <w:bCs/>
                <w:sz w:val="24"/>
                <w:szCs w:val="24"/>
              </w:rPr>
            </w:pPr>
            <w:r>
              <w:rPr>
                <w:rFonts w:hint="eastAsia" w:ascii="仿宋" w:hAnsi="仿宋" w:eastAsia="仿宋"/>
                <w:b/>
                <w:bCs/>
                <w:sz w:val="24"/>
                <w:szCs w:val="24"/>
              </w:rPr>
              <w:t>序号</w:t>
            </w:r>
          </w:p>
        </w:tc>
        <w:tc>
          <w:tcPr>
            <w:tcW w:w="2139" w:type="dxa"/>
            <w:shd w:val="clear" w:color="auto" w:fill="auto"/>
            <w:vAlign w:val="center"/>
          </w:tcPr>
          <w:p w14:paraId="0A1BD3A0">
            <w:pPr>
              <w:rPr>
                <w:rFonts w:ascii="仿宋" w:hAnsi="仿宋" w:eastAsia="仿宋"/>
                <w:b/>
                <w:bCs/>
                <w:sz w:val="24"/>
                <w:szCs w:val="24"/>
              </w:rPr>
            </w:pPr>
            <w:r>
              <w:rPr>
                <w:rFonts w:hint="eastAsia" w:ascii="仿宋" w:hAnsi="仿宋" w:eastAsia="仿宋"/>
                <w:b/>
                <w:bCs/>
                <w:sz w:val="24"/>
                <w:szCs w:val="24"/>
              </w:rPr>
              <w:t>企业名称</w:t>
            </w:r>
          </w:p>
        </w:tc>
        <w:tc>
          <w:tcPr>
            <w:tcW w:w="3314" w:type="dxa"/>
            <w:shd w:val="clear" w:color="auto" w:fill="auto"/>
            <w:vAlign w:val="center"/>
          </w:tcPr>
          <w:p w14:paraId="3538277B">
            <w:pPr>
              <w:rPr>
                <w:rFonts w:ascii="仿宋" w:hAnsi="仿宋" w:eastAsia="仿宋"/>
                <w:b/>
                <w:bCs/>
                <w:sz w:val="24"/>
                <w:szCs w:val="24"/>
              </w:rPr>
            </w:pPr>
            <w:r>
              <w:rPr>
                <w:rFonts w:hint="eastAsia" w:ascii="仿宋" w:hAnsi="仿宋" w:eastAsia="仿宋"/>
                <w:b/>
                <w:bCs/>
                <w:sz w:val="24"/>
                <w:szCs w:val="24"/>
              </w:rPr>
              <w:t>建议和意见</w:t>
            </w:r>
          </w:p>
        </w:tc>
        <w:tc>
          <w:tcPr>
            <w:tcW w:w="2827" w:type="dxa"/>
            <w:shd w:val="clear" w:color="auto" w:fill="auto"/>
            <w:vAlign w:val="center"/>
          </w:tcPr>
          <w:p w14:paraId="21A67DAC">
            <w:pPr>
              <w:rPr>
                <w:rFonts w:ascii="仿宋" w:hAnsi="仿宋" w:eastAsia="仿宋"/>
                <w:b/>
                <w:bCs/>
                <w:sz w:val="24"/>
                <w:szCs w:val="24"/>
              </w:rPr>
            </w:pPr>
            <w:r>
              <w:rPr>
                <w:rFonts w:hint="eastAsia" w:ascii="仿宋" w:hAnsi="仿宋" w:eastAsia="仿宋"/>
                <w:b/>
                <w:bCs/>
                <w:sz w:val="24"/>
                <w:szCs w:val="24"/>
              </w:rPr>
              <w:t>采纳情况</w:t>
            </w:r>
          </w:p>
        </w:tc>
      </w:tr>
      <w:tr w14:paraId="6FD6C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shd w:val="clear" w:color="auto" w:fill="auto"/>
            <w:vAlign w:val="center"/>
          </w:tcPr>
          <w:p w14:paraId="154F0F9C">
            <w:pPr>
              <w:rPr>
                <w:rFonts w:ascii="仿宋" w:hAnsi="仿宋" w:eastAsia="仿宋"/>
                <w:sz w:val="24"/>
                <w:szCs w:val="24"/>
              </w:rPr>
            </w:pPr>
            <w:r>
              <w:rPr>
                <w:rFonts w:hint="eastAsia" w:ascii="仿宋" w:hAnsi="仿宋" w:eastAsia="仿宋"/>
                <w:sz w:val="24"/>
                <w:szCs w:val="24"/>
              </w:rPr>
              <w:t>1</w:t>
            </w:r>
          </w:p>
        </w:tc>
        <w:tc>
          <w:tcPr>
            <w:tcW w:w="2139" w:type="dxa"/>
            <w:shd w:val="clear" w:color="auto" w:fill="auto"/>
            <w:vAlign w:val="center"/>
          </w:tcPr>
          <w:p w14:paraId="0683E5DA">
            <w:pPr>
              <w:rPr>
                <w:rFonts w:ascii="仿宋" w:hAnsi="仿宋" w:eastAsia="仿宋"/>
                <w:sz w:val="24"/>
                <w:szCs w:val="24"/>
              </w:rPr>
            </w:pPr>
            <w:r>
              <w:rPr>
                <w:rFonts w:hint="eastAsia" w:ascii="仿宋" w:hAnsi="仿宋" w:eastAsia="仿宋"/>
                <w:sz w:val="24"/>
                <w:szCs w:val="24"/>
              </w:rPr>
              <w:t>长武工业园区管理委员会</w:t>
            </w:r>
          </w:p>
        </w:tc>
        <w:tc>
          <w:tcPr>
            <w:tcW w:w="3314" w:type="dxa"/>
            <w:shd w:val="clear" w:color="auto" w:fill="auto"/>
            <w:vAlign w:val="center"/>
          </w:tcPr>
          <w:p w14:paraId="7F305347">
            <w:pPr>
              <w:rPr>
                <w:rFonts w:ascii="仿宋" w:hAnsi="仿宋" w:eastAsia="仿宋"/>
                <w:sz w:val="24"/>
                <w:szCs w:val="24"/>
              </w:rPr>
            </w:pPr>
            <w:r>
              <w:rPr>
                <w:rFonts w:hint="eastAsia" w:ascii="仿宋" w:hAnsi="仿宋" w:eastAsia="仿宋"/>
                <w:sz w:val="24"/>
                <w:szCs w:val="24"/>
              </w:rPr>
              <w:t>3.1化工园区的定义，应增加经省级人民政府或其授权机构认定公布；</w:t>
            </w:r>
          </w:p>
          <w:p w14:paraId="64EEA221">
            <w:pPr>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.1“以化工园区管理委员会或政府相关部门为主导，扩大社会合作”修改为“以化工园区管理机构为主导，扩大社会合作”</w:t>
            </w:r>
          </w:p>
        </w:tc>
        <w:tc>
          <w:tcPr>
            <w:tcW w:w="2827" w:type="dxa"/>
            <w:shd w:val="clear" w:color="auto" w:fill="auto"/>
            <w:vAlign w:val="center"/>
          </w:tcPr>
          <w:p w14:paraId="4B037E01">
            <w:pPr>
              <w:rPr>
                <w:rFonts w:ascii="仿宋" w:hAnsi="仿宋" w:eastAsia="仿宋"/>
                <w:sz w:val="24"/>
                <w:szCs w:val="24"/>
              </w:rPr>
            </w:pPr>
            <w:r>
              <w:rPr>
                <w:rFonts w:hint="eastAsia" w:ascii="仿宋" w:hAnsi="仿宋" w:eastAsia="仿宋"/>
                <w:sz w:val="24"/>
                <w:szCs w:val="24"/>
              </w:rPr>
              <w:t>采纳并修改</w:t>
            </w:r>
          </w:p>
        </w:tc>
      </w:tr>
      <w:tr w14:paraId="5AAA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40" w:type="dxa"/>
            <w:shd w:val="clear" w:color="auto" w:fill="auto"/>
            <w:vAlign w:val="center"/>
          </w:tcPr>
          <w:p w14:paraId="089B15BA">
            <w:pPr>
              <w:rPr>
                <w:rFonts w:ascii="仿宋" w:hAnsi="仿宋" w:eastAsia="仿宋"/>
                <w:sz w:val="24"/>
                <w:szCs w:val="24"/>
              </w:rPr>
            </w:pPr>
            <w:r>
              <w:rPr>
                <w:rFonts w:hint="eastAsia" w:ascii="仿宋" w:hAnsi="仿宋" w:eastAsia="仿宋"/>
                <w:sz w:val="24"/>
                <w:szCs w:val="24"/>
              </w:rPr>
              <w:t>2</w:t>
            </w:r>
          </w:p>
        </w:tc>
        <w:tc>
          <w:tcPr>
            <w:tcW w:w="2139" w:type="dxa"/>
            <w:shd w:val="clear" w:color="auto" w:fill="auto"/>
            <w:vAlign w:val="center"/>
          </w:tcPr>
          <w:p w14:paraId="70DC283A">
            <w:pPr>
              <w:rPr>
                <w:rFonts w:ascii="仿宋" w:hAnsi="仿宋" w:eastAsia="仿宋"/>
                <w:sz w:val="24"/>
                <w:szCs w:val="24"/>
              </w:rPr>
            </w:pPr>
            <w:r>
              <w:rPr>
                <w:rFonts w:hint="eastAsia" w:ascii="仿宋" w:hAnsi="仿宋" w:eastAsia="仿宋"/>
                <w:sz w:val="24"/>
                <w:szCs w:val="24"/>
              </w:rPr>
              <w:t>西北大学化工学院</w:t>
            </w:r>
          </w:p>
        </w:tc>
        <w:tc>
          <w:tcPr>
            <w:tcW w:w="3314" w:type="dxa"/>
            <w:shd w:val="clear" w:color="auto" w:fill="auto"/>
            <w:vAlign w:val="center"/>
          </w:tcPr>
          <w:p w14:paraId="684CB624">
            <w:pPr>
              <w:rPr>
                <w:rFonts w:ascii="仿宋" w:hAnsi="仿宋" w:eastAsia="仿宋"/>
                <w:sz w:val="24"/>
                <w:szCs w:val="24"/>
              </w:rPr>
            </w:pPr>
            <w:r>
              <w:rPr>
                <w:rFonts w:hint="eastAsia" w:ascii="仿宋" w:hAnsi="仿宋" w:eastAsia="仿宋"/>
                <w:sz w:val="24"/>
                <w:szCs w:val="24"/>
              </w:rPr>
              <w:t>文本编辑性修改建议</w:t>
            </w:r>
          </w:p>
        </w:tc>
        <w:tc>
          <w:tcPr>
            <w:tcW w:w="2827" w:type="dxa"/>
            <w:shd w:val="clear" w:color="auto" w:fill="auto"/>
            <w:vAlign w:val="center"/>
          </w:tcPr>
          <w:p w14:paraId="3A164BC3">
            <w:pPr>
              <w:rPr>
                <w:rFonts w:ascii="仿宋" w:hAnsi="仿宋" w:eastAsia="仿宋"/>
                <w:sz w:val="24"/>
                <w:szCs w:val="24"/>
              </w:rPr>
            </w:pPr>
            <w:r>
              <w:rPr>
                <w:rFonts w:hint="eastAsia" w:ascii="仿宋" w:hAnsi="仿宋" w:eastAsia="仿宋"/>
                <w:sz w:val="24"/>
                <w:szCs w:val="24"/>
              </w:rPr>
              <w:t>修改采纳</w:t>
            </w:r>
          </w:p>
        </w:tc>
      </w:tr>
      <w:tr w14:paraId="39604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shd w:val="clear" w:color="auto" w:fill="auto"/>
            <w:vAlign w:val="center"/>
          </w:tcPr>
          <w:p w14:paraId="18A40FB7">
            <w:pPr>
              <w:rPr>
                <w:rFonts w:ascii="仿宋" w:hAnsi="仿宋" w:eastAsia="仿宋"/>
                <w:sz w:val="24"/>
                <w:szCs w:val="24"/>
              </w:rPr>
            </w:pPr>
            <w:r>
              <w:rPr>
                <w:rFonts w:hint="eastAsia" w:ascii="仿宋" w:hAnsi="仿宋" w:eastAsia="仿宋"/>
                <w:sz w:val="24"/>
                <w:szCs w:val="24"/>
              </w:rPr>
              <w:t>3</w:t>
            </w:r>
          </w:p>
        </w:tc>
        <w:tc>
          <w:tcPr>
            <w:tcW w:w="2139" w:type="dxa"/>
            <w:shd w:val="clear" w:color="auto" w:fill="auto"/>
            <w:vAlign w:val="center"/>
          </w:tcPr>
          <w:p w14:paraId="16B4B026">
            <w:pPr>
              <w:rPr>
                <w:rFonts w:ascii="仿宋" w:hAnsi="仿宋" w:eastAsia="仿宋"/>
                <w:sz w:val="24"/>
                <w:szCs w:val="24"/>
              </w:rPr>
            </w:pPr>
            <w:r>
              <w:rPr>
                <w:rFonts w:hint="eastAsia" w:ascii="仿宋" w:hAnsi="仿宋" w:eastAsia="仿宋"/>
                <w:sz w:val="24"/>
                <w:szCs w:val="24"/>
              </w:rPr>
              <w:t>中国启源工程设计研究院有限公司</w:t>
            </w:r>
          </w:p>
        </w:tc>
        <w:tc>
          <w:tcPr>
            <w:tcW w:w="3314" w:type="dxa"/>
            <w:shd w:val="clear" w:color="auto" w:fill="auto"/>
            <w:vAlign w:val="center"/>
          </w:tcPr>
          <w:p w14:paraId="7FE0FB33">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5</w:t>
            </w:r>
            <w:r>
              <w:rPr>
                <w:rFonts w:hint="eastAsia" w:ascii="仿宋" w:hAnsi="仿宋" w:eastAsia="仿宋"/>
                <w:sz w:val="24"/>
                <w:szCs w:val="24"/>
              </w:rPr>
              <w:t>.1.2应为园区的配套设施（超市、餐厅、宿舍等）预留数据端口。建议将“超市、餐厅、宿舍”等提法删除”以上设施均为人员密集场所，原则上化工园区内部不应设置。</w:t>
            </w:r>
          </w:p>
          <w:p w14:paraId="6B26C467">
            <w:pPr>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5</w:t>
            </w:r>
            <w:r>
              <w:rPr>
                <w:rFonts w:hint="eastAsia" w:ascii="仿宋" w:hAnsi="仿宋" w:eastAsia="仿宋"/>
                <w:sz w:val="24"/>
                <w:szCs w:val="24"/>
              </w:rPr>
              <w:t>.2.1在化工园区内安装环境感知设备，实现对废水、废气、碳排放、扬尘、PM2.5、PM10、噪声、挥发性有机物等环境参数的实时监测，提高对化工园区环境污染监测能力。”</w:t>
            </w:r>
          </w:p>
          <w:p w14:paraId="70D73563">
            <w:pPr>
              <w:rPr>
                <w:rFonts w:ascii="仿宋" w:hAnsi="仿宋" w:eastAsia="仿宋"/>
                <w:sz w:val="24"/>
                <w:szCs w:val="24"/>
              </w:rPr>
            </w:pPr>
            <w:r>
              <w:rPr>
                <w:rFonts w:hint="eastAsia" w:ascii="仿宋" w:hAnsi="仿宋" w:eastAsia="仿宋"/>
                <w:sz w:val="24"/>
                <w:szCs w:val="24"/>
              </w:rPr>
              <w:t>建议该项增加对挥发性有机物的监测管控要求。</w:t>
            </w:r>
          </w:p>
        </w:tc>
        <w:tc>
          <w:tcPr>
            <w:tcW w:w="2827" w:type="dxa"/>
            <w:shd w:val="clear" w:color="auto" w:fill="auto"/>
            <w:vAlign w:val="center"/>
          </w:tcPr>
          <w:p w14:paraId="358FD0D5">
            <w:pPr>
              <w:rPr>
                <w:rFonts w:ascii="仿宋" w:hAnsi="仿宋" w:eastAsia="仿宋"/>
                <w:sz w:val="24"/>
                <w:szCs w:val="24"/>
              </w:rPr>
            </w:pPr>
            <w:r>
              <w:rPr>
                <w:rFonts w:hint="eastAsia" w:ascii="仿宋" w:hAnsi="仿宋" w:eastAsia="仿宋"/>
                <w:sz w:val="24"/>
                <w:szCs w:val="24"/>
              </w:rPr>
              <w:t>采纳并修改</w:t>
            </w:r>
          </w:p>
          <w:p w14:paraId="140E5EBC">
            <w:pPr>
              <w:rPr>
                <w:rFonts w:ascii="仿宋" w:hAnsi="仿宋" w:eastAsia="仿宋"/>
                <w:sz w:val="24"/>
                <w:szCs w:val="24"/>
              </w:rPr>
            </w:pPr>
            <w:r>
              <w:rPr>
                <w:rFonts w:hint="eastAsia" w:ascii="仿宋" w:hAnsi="仿宋" w:eastAsia="仿宋"/>
                <w:sz w:val="24"/>
                <w:szCs w:val="24"/>
              </w:rPr>
              <w:t>采纳并修改，根据国家六部委关于化工园区建设标准的相关要求，增加了对挥发性有机物的监测管控要求。</w:t>
            </w:r>
          </w:p>
        </w:tc>
      </w:tr>
      <w:tr w14:paraId="352AD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shd w:val="clear" w:color="auto" w:fill="auto"/>
            <w:vAlign w:val="center"/>
          </w:tcPr>
          <w:p w14:paraId="3C04A7A9">
            <w:pPr>
              <w:rPr>
                <w:rFonts w:ascii="仿宋" w:hAnsi="仿宋" w:eastAsia="仿宋"/>
                <w:sz w:val="24"/>
                <w:szCs w:val="24"/>
              </w:rPr>
            </w:pPr>
            <w:r>
              <w:rPr>
                <w:rFonts w:hint="eastAsia" w:ascii="仿宋" w:hAnsi="仿宋" w:eastAsia="仿宋"/>
                <w:sz w:val="24"/>
                <w:szCs w:val="24"/>
              </w:rPr>
              <w:t>4</w:t>
            </w:r>
          </w:p>
        </w:tc>
        <w:tc>
          <w:tcPr>
            <w:tcW w:w="2139" w:type="dxa"/>
            <w:shd w:val="clear" w:color="auto" w:fill="auto"/>
            <w:vAlign w:val="center"/>
          </w:tcPr>
          <w:p w14:paraId="5FE052D7">
            <w:pPr>
              <w:rPr>
                <w:rFonts w:ascii="仿宋" w:hAnsi="仿宋" w:eastAsia="仿宋"/>
                <w:sz w:val="24"/>
                <w:szCs w:val="24"/>
              </w:rPr>
            </w:pPr>
            <w:r>
              <w:rPr>
                <w:rFonts w:hint="eastAsia" w:ascii="仿宋" w:hAnsi="仿宋" w:eastAsia="仿宋"/>
                <w:sz w:val="24"/>
                <w:szCs w:val="24"/>
              </w:rPr>
              <w:t>陕西延长中煤榆林能源化工有限公司</w:t>
            </w:r>
          </w:p>
        </w:tc>
        <w:tc>
          <w:tcPr>
            <w:tcW w:w="3314" w:type="dxa"/>
            <w:shd w:val="clear" w:color="auto" w:fill="auto"/>
            <w:vAlign w:val="center"/>
          </w:tcPr>
          <w:p w14:paraId="30301044">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5</w:t>
            </w:r>
            <w:r>
              <w:rPr>
                <w:rFonts w:hint="eastAsia" w:ascii="仿宋" w:hAnsi="仿宋" w:eastAsia="仿宋"/>
                <w:sz w:val="24"/>
                <w:szCs w:val="24"/>
              </w:rPr>
              <w:t>.2.5安防控制系统建议增加”增加无人机反制系统“</w:t>
            </w:r>
          </w:p>
        </w:tc>
        <w:tc>
          <w:tcPr>
            <w:tcW w:w="2827" w:type="dxa"/>
            <w:shd w:val="clear" w:color="auto" w:fill="auto"/>
            <w:vAlign w:val="center"/>
          </w:tcPr>
          <w:p w14:paraId="7ED583B7">
            <w:pPr>
              <w:jc w:val="left"/>
              <w:rPr>
                <w:rFonts w:ascii="仿宋" w:hAnsi="仿宋" w:eastAsia="仿宋"/>
                <w:sz w:val="24"/>
                <w:szCs w:val="24"/>
              </w:rPr>
            </w:pPr>
            <w:r>
              <w:rPr>
                <w:rFonts w:hint="eastAsia" w:ascii="仿宋" w:hAnsi="仿宋" w:eastAsia="仿宋"/>
                <w:sz w:val="24"/>
                <w:szCs w:val="24"/>
              </w:rPr>
              <w:t>1、采纳。根据公安部 GA 1551-2019“石油石化系统治安反恐防范要求”行业标准第1部分、第2部分、第3部分的规定，增加”公安管理部门列为反恐防范重点目标的化工园区，应设置无人机侦测与反制系统“</w:t>
            </w:r>
          </w:p>
        </w:tc>
      </w:tr>
      <w:tr w14:paraId="330D1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shd w:val="clear" w:color="auto" w:fill="auto"/>
            <w:vAlign w:val="center"/>
          </w:tcPr>
          <w:p w14:paraId="237B6A83">
            <w:pPr>
              <w:rPr>
                <w:rFonts w:ascii="仿宋" w:hAnsi="仿宋" w:eastAsia="仿宋"/>
                <w:sz w:val="24"/>
                <w:szCs w:val="24"/>
              </w:rPr>
            </w:pPr>
            <w:r>
              <w:rPr>
                <w:rFonts w:hint="eastAsia" w:ascii="仿宋" w:hAnsi="仿宋" w:eastAsia="仿宋"/>
                <w:sz w:val="24"/>
                <w:szCs w:val="24"/>
              </w:rPr>
              <w:t>5</w:t>
            </w:r>
          </w:p>
        </w:tc>
        <w:tc>
          <w:tcPr>
            <w:tcW w:w="2139" w:type="dxa"/>
            <w:shd w:val="clear" w:color="auto" w:fill="auto"/>
            <w:vAlign w:val="center"/>
          </w:tcPr>
          <w:p w14:paraId="56739ECF">
            <w:pPr>
              <w:rPr>
                <w:rFonts w:ascii="仿宋" w:hAnsi="仿宋" w:eastAsia="仿宋"/>
                <w:sz w:val="24"/>
                <w:szCs w:val="24"/>
              </w:rPr>
            </w:pPr>
            <w:r>
              <w:rPr>
                <w:rFonts w:hint="eastAsia" w:ascii="仿宋" w:hAnsi="仿宋" w:eastAsia="仿宋"/>
                <w:sz w:val="24"/>
                <w:szCs w:val="24"/>
              </w:rPr>
              <w:t>延长工业园区管理委员会</w:t>
            </w:r>
          </w:p>
        </w:tc>
        <w:tc>
          <w:tcPr>
            <w:tcW w:w="3314" w:type="dxa"/>
            <w:shd w:val="clear" w:color="auto" w:fill="auto"/>
            <w:vAlign w:val="center"/>
          </w:tcPr>
          <w:p w14:paraId="32688195">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5</w:t>
            </w:r>
            <w:r>
              <w:rPr>
                <w:rFonts w:hint="eastAsia" w:ascii="仿宋" w:hAnsi="仿宋" w:eastAsia="仿宋"/>
                <w:sz w:val="24"/>
                <w:szCs w:val="24"/>
              </w:rPr>
              <w:t>.4.2隐患排查治理系统中，建议统一建设该系统，由园区各企业进行应用</w:t>
            </w:r>
          </w:p>
        </w:tc>
        <w:tc>
          <w:tcPr>
            <w:tcW w:w="2827" w:type="dxa"/>
            <w:shd w:val="clear" w:color="auto" w:fill="auto"/>
            <w:vAlign w:val="center"/>
          </w:tcPr>
          <w:p w14:paraId="00740A0F">
            <w:pPr>
              <w:jc w:val="left"/>
              <w:rPr>
                <w:rFonts w:ascii="仿宋" w:hAnsi="仿宋" w:eastAsia="仿宋"/>
                <w:sz w:val="24"/>
                <w:szCs w:val="24"/>
              </w:rPr>
            </w:pPr>
            <w:r>
              <w:rPr>
                <w:rFonts w:hint="eastAsia" w:ascii="仿宋" w:hAnsi="仿宋" w:eastAsia="仿宋"/>
                <w:sz w:val="24"/>
                <w:szCs w:val="24"/>
              </w:rPr>
              <w:t>1、不采纳。化工园区内各企业的重大危险源、隐患类型不同，无法进行标准化实施，同时该标准是针对化工园区管理机构建设的智慧化工园区。企业安全风险智能化管控平台国家已经有标准，各企业可参照该标准进行自行建设。化工园区的隐患排查治理系统可与企业进行联网，获取数据。</w:t>
            </w:r>
          </w:p>
        </w:tc>
      </w:tr>
    </w:tbl>
    <w:p w14:paraId="67575D0B">
      <w:pPr>
        <w:rPr>
          <w:rFonts w:ascii="微软雅黑" w:hAnsi="微软雅黑" w:eastAsia="微软雅黑"/>
          <w:sz w:val="28"/>
          <w:szCs w:val="28"/>
        </w:rPr>
      </w:pPr>
      <w:r>
        <w:rPr>
          <w:rFonts w:hint="eastAsia" w:ascii="微软雅黑" w:hAnsi="微软雅黑" w:eastAsia="微软雅黑"/>
          <w:sz w:val="28"/>
          <w:szCs w:val="28"/>
        </w:rPr>
        <w:t>七、标准的建议说明</w:t>
      </w:r>
    </w:p>
    <w:p w14:paraId="448CA721">
      <w:pPr>
        <w:ind w:firstLine="560" w:firstLineChars="200"/>
        <w:rPr>
          <w:rFonts w:ascii="仿宋" w:hAnsi="仿宋" w:eastAsia="仿宋" w:cs="仿宋"/>
          <w:sz w:val="28"/>
          <w:szCs w:val="28"/>
        </w:rPr>
      </w:pPr>
      <w:r>
        <w:rPr>
          <w:rFonts w:hint="eastAsia" w:ascii="仿宋" w:hAnsi="仿宋" w:eastAsia="仿宋" w:cs="仿宋"/>
          <w:sz w:val="28"/>
          <w:szCs w:val="28"/>
        </w:rPr>
        <w:t>化工园区生产安全事关人民群众的生命财产安全，事关社会稳定大局，智慧化工园区综合管控系统也是政府提高化工园区安全监管水平、创新安全监管手段的重要支撑，建设智慧化工园区是政府亟需、市场急求的产品，希望《智慧化工园区建设与管理规范》早日通过专家评审，早日发布实施，造福社会。</w:t>
      </w:r>
    </w:p>
    <w:p w14:paraId="0883A4C7">
      <w:pPr>
        <w:rPr>
          <w:rFonts w:ascii="微软雅黑" w:hAnsi="微软雅黑" w:eastAsia="微软雅黑"/>
          <w:sz w:val="28"/>
          <w:szCs w:val="28"/>
        </w:rPr>
      </w:pPr>
      <w:r>
        <w:rPr>
          <w:rFonts w:hint="eastAsia" w:ascii="微软雅黑" w:hAnsi="微软雅黑" w:eastAsia="微软雅黑"/>
          <w:sz w:val="28"/>
          <w:szCs w:val="28"/>
        </w:rPr>
        <w:t>八、其他应予说明的事项</w:t>
      </w:r>
    </w:p>
    <w:p w14:paraId="3EBD7560">
      <w:pPr>
        <w:ind w:firstLine="560" w:firstLineChars="200"/>
        <w:rPr>
          <w:rFonts w:ascii="仿宋" w:hAnsi="仿宋" w:eastAsia="仿宋"/>
          <w:sz w:val="28"/>
          <w:szCs w:val="28"/>
        </w:rPr>
      </w:pPr>
      <w:r>
        <w:rPr>
          <w:rFonts w:hint="eastAsia" w:ascii="仿宋" w:hAnsi="仿宋" w:eastAsia="仿宋"/>
          <w:sz w:val="28"/>
          <w:szCs w:val="28"/>
        </w:rPr>
        <w:t>无。</w:t>
      </w:r>
    </w:p>
    <w:p w14:paraId="1D2DED32">
      <w:pPr>
        <w:ind w:left="420" w:leftChars="200" w:firstLine="2520" w:firstLineChars="900"/>
        <w:rPr>
          <w:rFonts w:hint="eastAsia" w:ascii="仿宋" w:hAnsi="仿宋" w:eastAsia="仿宋"/>
          <w:sz w:val="28"/>
          <w:szCs w:val="28"/>
        </w:rPr>
      </w:pPr>
    </w:p>
    <w:p w14:paraId="52CAD09A">
      <w:pPr>
        <w:ind w:left="420" w:leftChars="200" w:firstLine="2520" w:firstLineChars="900"/>
        <w:rPr>
          <w:rFonts w:ascii="仿宋" w:hAnsi="仿宋" w:eastAsia="仿宋"/>
          <w:sz w:val="28"/>
          <w:szCs w:val="28"/>
        </w:rPr>
      </w:pPr>
      <w:r>
        <w:rPr>
          <w:rFonts w:hint="eastAsia" w:ascii="仿宋" w:hAnsi="仿宋" w:eastAsia="仿宋"/>
          <w:sz w:val="28"/>
          <w:szCs w:val="28"/>
        </w:rPr>
        <w:t>《智慧化工园区建设与管理规范》编制小组</w:t>
      </w:r>
    </w:p>
    <w:p w14:paraId="6887A42D">
      <w:pPr>
        <w:spacing w:before="156" w:beforeLines="50"/>
        <w:ind w:firstLine="560" w:firstLineChars="200"/>
        <w:rPr>
          <w:rFonts w:ascii="仿宋" w:hAnsi="仿宋" w:eastAsia="仿宋" w:cs="仿宋"/>
          <w:kern w:val="0"/>
          <w:sz w:val="28"/>
          <w:szCs w:val="28"/>
        </w:rPr>
      </w:pPr>
      <w:r>
        <w:rPr>
          <w:rFonts w:ascii="仿宋" w:hAnsi="仿宋" w:eastAsia="仿宋" w:cs="仿宋"/>
          <w:kern w:val="0"/>
          <w:sz w:val="28"/>
          <w:szCs w:val="28"/>
        </w:rPr>
        <w:t xml:space="preserve">                              202</w:t>
      </w:r>
      <w:r>
        <w:rPr>
          <w:rFonts w:hint="eastAsia" w:ascii="仿宋" w:hAnsi="仿宋" w:eastAsia="仿宋" w:cs="仿宋"/>
          <w:kern w:val="0"/>
          <w:sz w:val="28"/>
          <w:szCs w:val="28"/>
          <w:lang w:val="en-US" w:eastAsia="zh-CN"/>
        </w:rPr>
        <w:t>5</w:t>
      </w:r>
      <w:r>
        <w:rPr>
          <w:rFonts w:ascii="仿宋" w:hAnsi="仿宋" w:eastAsia="仿宋" w:cs="仿宋"/>
          <w:kern w:val="0"/>
          <w:sz w:val="28"/>
          <w:szCs w:val="28"/>
        </w:rPr>
        <w:t>年</w:t>
      </w:r>
      <w:r>
        <w:rPr>
          <w:rFonts w:hint="eastAsia" w:ascii="仿宋" w:hAnsi="仿宋" w:eastAsia="仿宋" w:cs="仿宋"/>
          <w:kern w:val="0"/>
          <w:sz w:val="28"/>
          <w:szCs w:val="28"/>
          <w:lang w:val="en-US" w:eastAsia="zh-CN"/>
        </w:rPr>
        <w:t>3</w:t>
      </w:r>
      <w:r>
        <w:rPr>
          <w:rFonts w:ascii="仿宋" w:hAnsi="仿宋" w:eastAsia="仿宋" w:cs="仿宋"/>
          <w:kern w:val="0"/>
          <w:sz w:val="28"/>
          <w:szCs w:val="28"/>
        </w:rPr>
        <w:t>月</w:t>
      </w:r>
      <w:r>
        <w:rPr>
          <w:rFonts w:hint="eastAsia" w:ascii="仿宋" w:hAnsi="仿宋" w:eastAsia="仿宋" w:cs="仿宋"/>
          <w:kern w:val="0"/>
          <w:sz w:val="28"/>
          <w:szCs w:val="28"/>
          <w:lang w:val="en-US" w:eastAsia="zh-CN"/>
        </w:rPr>
        <w:t>14</w:t>
      </w:r>
      <w:bookmarkStart w:id="0" w:name="_GoBack"/>
      <w:bookmarkEnd w:id="0"/>
      <w:r>
        <w:rPr>
          <w:rFonts w:ascii="仿宋" w:hAnsi="仿宋" w:eastAsia="仿宋" w:cs="仿宋"/>
          <w:kern w:val="0"/>
          <w:sz w:val="28"/>
          <w:szCs w:val="28"/>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2"/>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Univers Condensed">
    <w:altName w:val="Impact"/>
    <w:panose1 w:val="00000000000000000000"/>
    <w:charset w:val="00"/>
    <w:family w:val="swiss"/>
    <w:pitch w:val="default"/>
    <w:sig w:usb0="00000000" w:usb1="00000000" w:usb2="00000000" w:usb3="00000000" w:csb0="00000093" w:csb1="00000000"/>
  </w:font>
  <w:font w:name="Impact">
    <w:panose1 w:val="020B0806030902050204"/>
    <w:charset w:val="00"/>
    <w:family w:val="auto"/>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03ABA">
    <w:pPr>
      <w:pStyle w:val="7"/>
      <w:jc w:val="center"/>
    </w:pPr>
    <w:r>
      <w:fldChar w:fldCharType="begin"/>
    </w:r>
    <w:r>
      <w:instrText xml:space="preserve">PAGE   \* MERGEFORMAT</w:instrText>
    </w:r>
    <w:r>
      <w:fldChar w:fldCharType="separate"/>
    </w:r>
    <w:r>
      <w:rPr>
        <w:lang w:val="zh-CN"/>
      </w:rPr>
      <w:t>1</w:t>
    </w:r>
    <w:r>
      <w:fldChar w:fldCharType="end"/>
    </w:r>
  </w:p>
  <w:p w14:paraId="51286FB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546429"/>
    <w:multiLevelType w:val="multilevel"/>
    <w:tmpl w:val="63546429"/>
    <w:lvl w:ilvl="0" w:tentative="0">
      <w:start w:val="1"/>
      <w:numFmt w:val="decimal"/>
      <w:pStyle w:val="2"/>
      <w:lvlText w:val="%1"/>
      <w:lvlJc w:val="left"/>
      <w:pPr>
        <w:tabs>
          <w:tab w:val="left" w:pos="432"/>
        </w:tabs>
        <w:ind w:left="432" w:hanging="432"/>
      </w:pPr>
      <w:rPr>
        <w:rFonts w:hint="eastAsia" w:cs="Times New Roman"/>
      </w:rPr>
    </w:lvl>
    <w:lvl w:ilvl="1" w:tentative="0">
      <w:start w:val="1"/>
      <w:numFmt w:val="decimal"/>
      <w:pStyle w:val="3"/>
      <w:lvlText w:val="%1.%2"/>
      <w:lvlJc w:val="left"/>
      <w:pPr>
        <w:tabs>
          <w:tab w:val="left" w:pos="576"/>
        </w:tabs>
        <w:ind w:left="576" w:hanging="576"/>
      </w:pPr>
      <w:rPr>
        <w:rFonts w:hint="eastAsia" w:cs="Times New Roman"/>
      </w:rPr>
    </w:lvl>
    <w:lvl w:ilvl="2" w:tentative="0">
      <w:start w:val="1"/>
      <w:numFmt w:val="decimal"/>
      <w:pStyle w:val="4"/>
      <w:lvlText w:val="%1.%2.%3"/>
      <w:lvlJc w:val="left"/>
      <w:pPr>
        <w:tabs>
          <w:tab w:val="left" w:pos="720"/>
        </w:tabs>
        <w:ind w:left="720" w:hanging="720"/>
      </w:pPr>
      <w:rPr>
        <w:rFonts w:hint="default" w:ascii="Arial" w:hAnsi="Arial" w:cs="Arial"/>
      </w:rPr>
    </w:lvl>
    <w:lvl w:ilvl="3" w:tentative="0">
      <w:start w:val="1"/>
      <w:numFmt w:val="decimal"/>
      <w:lvlText w:val="%4."/>
      <w:lvlJc w:val="left"/>
      <w:pPr>
        <w:tabs>
          <w:tab w:val="left" w:pos="567"/>
        </w:tabs>
        <w:ind w:left="936" w:hanging="680"/>
      </w:pPr>
      <w:rPr>
        <w:rFonts w:hint="eastAsia" w:cs="Times New Roman"/>
      </w:rPr>
    </w:lvl>
    <w:lvl w:ilvl="4" w:tentative="0">
      <w:start w:val="1"/>
      <w:numFmt w:val="decimal"/>
      <w:lvlText w:val="%5）"/>
      <w:lvlJc w:val="left"/>
      <w:pPr>
        <w:tabs>
          <w:tab w:val="left" w:pos="567"/>
        </w:tabs>
        <w:ind w:left="936" w:hanging="680"/>
      </w:pPr>
      <w:rPr>
        <w:rFonts w:hint="eastAsia" w:cs="Times New Roman"/>
      </w:rPr>
    </w:lvl>
    <w:lvl w:ilvl="5" w:tentative="0">
      <w:start w:val="1"/>
      <w:numFmt w:val="lowerLetter"/>
      <w:lvlText w:val="%6）"/>
      <w:lvlJc w:val="left"/>
      <w:pPr>
        <w:tabs>
          <w:tab w:val="left" w:pos="567"/>
        </w:tabs>
        <w:ind w:left="936" w:hanging="680"/>
      </w:pPr>
      <w:rPr>
        <w:rFonts w:hint="eastAsia" w:cs="Times New Roman"/>
      </w:rPr>
    </w:lvl>
    <w:lvl w:ilvl="6" w:tentative="0">
      <w:start w:val="1"/>
      <w:numFmt w:val="lowerRoman"/>
      <w:lvlText w:val="%7"/>
      <w:lvlJc w:val="left"/>
      <w:pPr>
        <w:tabs>
          <w:tab w:val="left" w:pos="567"/>
        </w:tabs>
        <w:ind w:left="936" w:hanging="680"/>
      </w:pPr>
      <w:rPr>
        <w:rFonts w:hint="default"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MxNWYwMmRjZGMxYTkwNTVkNmVmZDRmODhmOWFkMjEifQ=="/>
  </w:docVars>
  <w:rsids>
    <w:rsidRoot w:val="00EE66B2"/>
    <w:rsid w:val="00000D4C"/>
    <w:rsid w:val="00000D87"/>
    <w:rsid w:val="00000E3F"/>
    <w:rsid w:val="00001E0D"/>
    <w:rsid w:val="0000272D"/>
    <w:rsid w:val="000041D2"/>
    <w:rsid w:val="00007A16"/>
    <w:rsid w:val="00007C5F"/>
    <w:rsid w:val="00011530"/>
    <w:rsid w:val="00014CA9"/>
    <w:rsid w:val="000373FC"/>
    <w:rsid w:val="00046B04"/>
    <w:rsid w:val="00053DBD"/>
    <w:rsid w:val="00054B69"/>
    <w:rsid w:val="000669D5"/>
    <w:rsid w:val="00071BA5"/>
    <w:rsid w:val="00073443"/>
    <w:rsid w:val="0007597D"/>
    <w:rsid w:val="0008483E"/>
    <w:rsid w:val="00093978"/>
    <w:rsid w:val="00096AEC"/>
    <w:rsid w:val="000A0426"/>
    <w:rsid w:val="000C066C"/>
    <w:rsid w:val="000F5831"/>
    <w:rsid w:val="000F7492"/>
    <w:rsid w:val="000F75F6"/>
    <w:rsid w:val="00104BE4"/>
    <w:rsid w:val="00115F7F"/>
    <w:rsid w:val="00117E6E"/>
    <w:rsid w:val="001343F1"/>
    <w:rsid w:val="0015480E"/>
    <w:rsid w:val="001559B0"/>
    <w:rsid w:val="00163F2A"/>
    <w:rsid w:val="00167C13"/>
    <w:rsid w:val="0017733E"/>
    <w:rsid w:val="00182099"/>
    <w:rsid w:val="001838B2"/>
    <w:rsid w:val="00186EDE"/>
    <w:rsid w:val="00192399"/>
    <w:rsid w:val="001945AB"/>
    <w:rsid w:val="00194DA1"/>
    <w:rsid w:val="001C13E8"/>
    <w:rsid w:val="001C2B99"/>
    <w:rsid w:val="001C3869"/>
    <w:rsid w:val="001D592B"/>
    <w:rsid w:val="001E081D"/>
    <w:rsid w:val="001E44C3"/>
    <w:rsid w:val="001E773D"/>
    <w:rsid w:val="001F4237"/>
    <w:rsid w:val="00204D8E"/>
    <w:rsid w:val="0020569D"/>
    <w:rsid w:val="002152AB"/>
    <w:rsid w:val="0021653D"/>
    <w:rsid w:val="00217593"/>
    <w:rsid w:val="00217EC5"/>
    <w:rsid w:val="00224453"/>
    <w:rsid w:val="00227F9A"/>
    <w:rsid w:val="00244F5C"/>
    <w:rsid w:val="00255558"/>
    <w:rsid w:val="002627CF"/>
    <w:rsid w:val="00271010"/>
    <w:rsid w:val="00283481"/>
    <w:rsid w:val="00295B69"/>
    <w:rsid w:val="002A07AE"/>
    <w:rsid w:val="002B0489"/>
    <w:rsid w:val="002B23A3"/>
    <w:rsid w:val="002B4DCD"/>
    <w:rsid w:val="002B77C9"/>
    <w:rsid w:val="002E1391"/>
    <w:rsid w:val="002E43DD"/>
    <w:rsid w:val="003020A1"/>
    <w:rsid w:val="00303994"/>
    <w:rsid w:val="003055C4"/>
    <w:rsid w:val="003055EF"/>
    <w:rsid w:val="00314386"/>
    <w:rsid w:val="00314924"/>
    <w:rsid w:val="003320DB"/>
    <w:rsid w:val="00333EA6"/>
    <w:rsid w:val="003350D4"/>
    <w:rsid w:val="00352A19"/>
    <w:rsid w:val="00352AB9"/>
    <w:rsid w:val="00362F50"/>
    <w:rsid w:val="003709EB"/>
    <w:rsid w:val="003719DB"/>
    <w:rsid w:val="003879A4"/>
    <w:rsid w:val="00397C47"/>
    <w:rsid w:val="003B2C97"/>
    <w:rsid w:val="003C5DD1"/>
    <w:rsid w:val="003C6DE2"/>
    <w:rsid w:val="003C6E2F"/>
    <w:rsid w:val="003C6F6F"/>
    <w:rsid w:val="003C79C2"/>
    <w:rsid w:val="003D0146"/>
    <w:rsid w:val="003D5931"/>
    <w:rsid w:val="003D78FB"/>
    <w:rsid w:val="003F2BAD"/>
    <w:rsid w:val="003F5ECE"/>
    <w:rsid w:val="00421FE8"/>
    <w:rsid w:val="00422B3C"/>
    <w:rsid w:val="00423CBF"/>
    <w:rsid w:val="0042520D"/>
    <w:rsid w:val="00430CC0"/>
    <w:rsid w:val="004326BD"/>
    <w:rsid w:val="00434DFB"/>
    <w:rsid w:val="004427EF"/>
    <w:rsid w:val="00455396"/>
    <w:rsid w:val="0047034E"/>
    <w:rsid w:val="004735BE"/>
    <w:rsid w:val="004912AD"/>
    <w:rsid w:val="004B1332"/>
    <w:rsid w:val="004B1905"/>
    <w:rsid w:val="004B377A"/>
    <w:rsid w:val="004B64D8"/>
    <w:rsid w:val="004C0428"/>
    <w:rsid w:val="004C2E9C"/>
    <w:rsid w:val="004D6EEA"/>
    <w:rsid w:val="004E0554"/>
    <w:rsid w:val="004F4F50"/>
    <w:rsid w:val="00500908"/>
    <w:rsid w:val="0050341D"/>
    <w:rsid w:val="005117AF"/>
    <w:rsid w:val="0053079F"/>
    <w:rsid w:val="00544608"/>
    <w:rsid w:val="00561763"/>
    <w:rsid w:val="00562F10"/>
    <w:rsid w:val="00576366"/>
    <w:rsid w:val="005839A2"/>
    <w:rsid w:val="0059217C"/>
    <w:rsid w:val="00592515"/>
    <w:rsid w:val="005A4E78"/>
    <w:rsid w:val="005A6BA9"/>
    <w:rsid w:val="005B0980"/>
    <w:rsid w:val="005B168A"/>
    <w:rsid w:val="005B1C8E"/>
    <w:rsid w:val="005B3C2F"/>
    <w:rsid w:val="005C44CC"/>
    <w:rsid w:val="005C60EC"/>
    <w:rsid w:val="005C64A3"/>
    <w:rsid w:val="005D1852"/>
    <w:rsid w:val="005D3C73"/>
    <w:rsid w:val="005D3D3F"/>
    <w:rsid w:val="005D77F0"/>
    <w:rsid w:val="005F15F4"/>
    <w:rsid w:val="005F7E31"/>
    <w:rsid w:val="006023DC"/>
    <w:rsid w:val="006039FC"/>
    <w:rsid w:val="00604150"/>
    <w:rsid w:val="006048DD"/>
    <w:rsid w:val="00604BF4"/>
    <w:rsid w:val="00610EFC"/>
    <w:rsid w:val="00616564"/>
    <w:rsid w:val="0062347F"/>
    <w:rsid w:val="00632ED5"/>
    <w:rsid w:val="00633404"/>
    <w:rsid w:val="00641B08"/>
    <w:rsid w:val="006525F4"/>
    <w:rsid w:val="0066029A"/>
    <w:rsid w:val="00672A5F"/>
    <w:rsid w:val="006767D6"/>
    <w:rsid w:val="0067771D"/>
    <w:rsid w:val="00682AD8"/>
    <w:rsid w:val="0068647F"/>
    <w:rsid w:val="00690D1A"/>
    <w:rsid w:val="006912FE"/>
    <w:rsid w:val="0069428F"/>
    <w:rsid w:val="00695964"/>
    <w:rsid w:val="00696195"/>
    <w:rsid w:val="006A043C"/>
    <w:rsid w:val="006A4C8A"/>
    <w:rsid w:val="006C0B9D"/>
    <w:rsid w:val="006D6704"/>
    <w:rsid w:val="006D6FA5"/>
    <w:rsid w:val="006E19AE"/>
    <w:rsid w:val="006F43B2"/>
    <w:rsid w:val="006F6E32"/>
    <w:rsid w:val="007132C7"/>
    <w:rsid w:val="00720BC6"/>
    <w:rsid w:val="00721B14"/>
    <w:rsid w:val="00724878"/>
    <w:rsid w:val="007264EC"/>
    <w:rsid w:val="00726F2C"/>
    <w:rsid w:val="007310D1"/>
    <w:rsid w:val="00732A19"/>
    <w:rsid w:val="00741673"/>
    <w:rsid w:val="00741C34"/>
    <w:rsid w:val="007431BE"/>
    <w:rsid w:val="00744799"/>
    <w:rsid w:val="00744892"/>
    <w:rsid w:val="00753338"/>
    <w:rsid w:val="00756FA1"/>
    <w:rsid w:val="00765A79"/>
    <w:rsid w:val="007832A3"/>
    <w:rsid w:val="00784E1E"/>
    <w:rsid w:val="0078625B"/>
    <w:rsid w:val="0079287D"/>
    <w:rsid w:val="007B1746"/>
    <w:rsid w:val="007C120F"/>
    <w:rsid w:val="007C2F3B"/>
    <w:rsid w:val="007D4AB3"/>
    <w:rsid w:val="007D78DE"/>
    <w:rsid w:val="007E26D6"/>
    <w:rsid w:val="007E3360"/>
    <w:rsid w:val="007F3005"/>
    <w:rsid w:val="007F5177"/>
    <w:rsid w:val="00800728"/>
    <w:rsid w:val="0080087C"/>
    <w:rsid w:val="0080669F"/>
    <w:rsid w:val="00806E9C"/>
    <w:rsid w:val="00812574"/>
    <w:rsid w:val="008160DD"/>
    <w:rsid w:val="00832904"/>
    <w:rsid w:val="00840366"/>
    <w:rsid w:val="00844940"/>
    <w:rsid w:val="00851145"/>
    <w:rsid w:val="00853E87"/>
    <w:rsid w:val="00854B72"/>
    <w:rsid w:val="00866215"/>
    <w:rsid w:val="0086797E"/>
    <w:rsid w:val="00867DF6"/>
    <w:rsid w:val="008800DE"/>
    <w:rsid w:val="00882197"/>
    <w:rsid w:val="00894172"/>
    <w:rsid w:val="00895D41"/>
    <w:rsid w:val="00897FBF"/>
    <w:rsid w:val="008A77E5"/>
    <w:rsid w:val="008B02D7"/>
    <w:rsid w:val="008B317D"/>
    <w:rsid w:val="008C1012"/>
    <w:rsid w:val="008C240A"/>
    <w:rsid w:val="008D46B8"/>
    <w:rsid w:val="008D7256"/>
    <w:rsid w:val="008F4458"/>
    <w:rsid w:val="008F46F5"/>
    <w:rsid w:val="00901B81"/>
    <w:rsid w:val="00904947"/>
    <w:rsid w:val="00906FED"/>
    <w:rsid w:val="00915744"/>
    <w:rsid w:val="00916701"/>
    <w:rsid w:val="00927967"/>
    <w:rsid w:val="00933E46"/>
    <w:rsid w:val="00935F06"/>
    <w:rsid w:val="00936A9D"/>
    <w:rsid w:val="009505A6"/>
    <w:rsid w:val="0095753B"/>
    <w:rsid w:val="009771DF"/>
    <w:rsid w:val="00977F5B"/>
    <w:rsid w:val="009804CF"/>
    <w:rsid w:val="0098295E"/>
    <w:rsid w:val="00994F7A"/>
    <w:rsid w:val="00997A4F"/>
    <w:rsid w:val="009A162E"/>
    <w:rsid w:val="009A4ADD"/>
    <w:rsid w:val="009A7D42"/>
    <w:rsid w:val="009B078D"/>
    <w:rsid w:val="009B186D"/>
    <w:rsid w:val="009B4EBF"/>
    <w:rsid w:val="009B73CE"/>
    <w:rsid w:val="009B75BC"/>
    <w:rsid w:val="009B7794"/>
    <w:rsid w:val="009D2E5A"/>
    <w:rsid w:val="009D3D6D"/>
    <w:rsid w:val="009D686A"/>
    <w:rsid w:val="009D6B88"/>
    <w:rsid w:val="009E41A8"/>
    <w:rsid w:val="009F15AD"/>
    <w:rsid w:val="009F3BE6"/>
    <w:rsid w:val="009F4C89"/>
    <w:rsid w:val="00A16F59"/>
    <w:rsid w:val="00A23241"/>
    <w:rsid w:val="00A24A4E"/>
    <w:rsid w:val="00A32F4F"/>
    <w:rsid w:val="00A33230"/>
    <w:rsid w:val="00A425D5"/>
    <w:rsid w:val="00A427DF"/>
    <w:rsid w:val="00A53751"/>
    <w:rsid w:val="00A53A9A"/>
    <w:rsid w:val="00A64BE6"/>
    <w:rsid w:val="00A76092"/>
    <w:rsid w:val="00A776E8"/>
    <w:rsid w:val="00A83BD2"/>
    <w:rsid w:val="00A847DF"/>
    <w:rsid w:val="00A866C8"/>
    <w:rsid w:val="00A90253"/>
    <w:rsid w:val="00A96F33"/>
    <w:rsid w:val="00A97B80"/>
    <w:rsid w:val="00AA0693"/>
    <w:rsid w:val="00AA11A0"/>
    <w:rsid w:val="00AB6B71"/>
    <w:rsid w:val="00AC3219"/>
    <w:rsid w:val="00AC5E35"/>
    <w:rsid w:val="00AD4EE7"/>
    <w:rsid w:val="00AD6191"/>
    <w:rsid w:val="00AD6E37"/>
    <w:rsid w:val="00AE015F"/>
    <w:rsid w:val="00AE11C3"/>
    <w:rsid w:val="00AE1634"/>
    <w:rsid w:val="00AE42D0"/>
    <w:rsid w:val="00B01310"/>
    <w:rsid w:val="00B027BF"/>
    <w:rsid w:val="00B0319F"/>
    <w:rsid w:val="00B032F7"/>
    <w:rsid w:val="00B103DC"/>
    <w:rsid w:val="00B14ECD"/>
    <w:rsid w:val="00B305F0"/>
    <w:rsid w:val="00B37DCE"/>
    <w:rsid w:val="00B4201D"/>
    <w:rsid w:val="00B42873"/>
    <w:rsid w:val="00B54C0E"/>
    <w:rsid w:val="00B73C10"/>
    <w:rsid w:val="00B91E4E"/>
    <w:rsid w:val="00BA0063"/>
    <w:rsid w:val="00BA6376"/>
    <w:rsid w:val="00BB2A48"/>
    <w:rsid w:val="00BB79B6"/>
    <w:rsid w:val="00BD7B2B"/>
    <w:rsid w:val="00BE0D39"/>
    <w:rsid w:val="00BE429B"/>
    <w:rsid w:val="00BE4902"/>
    <w:rsid w:val="00BE4FA2"/>
    <w:rsid w:val="00BF1A5E"/>
    <w:rsid w:val="00BF47AD"/>
    <w:rsid w:val="00C134A6"/>
    <w:rsid w:val="00C15E74"/>
    <w:rsid w:val="00C201A6"/>
    <w:rsid w:val="00C25F8A"/>
    <w:rsid w:val="00C33453"/>
    <w:rsid w:val="00C360C6"/>
    <w:rsid w:val="00C4235B"/>
    <w:rsid w:val="00C438CD"/>
    <w:rsid w:val="00C44272"/>
    <w:rsid w:val="00C47812"/>
    <w:rsid w:val="00C51BE0"/>
    <w:rsid w:val="00C52D6A"/>
    <w:rsid w:val="00C53B90"/>
    <w:rsid w:val="00C56009"/>
    <w:rsid w:val="00C662B4"/>
    <w:rsid w:val="00C77ABB"/>
    <w:rsid w:val="00C81605"/>
    <w:rsid w:val="00C82859"/>
    <w:rsid w:val="00C84C93"/>
    <w:rsid w:val="00C924AB"/>
    <w:rsid w:val="00C97B37"/>
    <w:rsid w:val="00CA4EE6"/>
    <w:rsid w:val="00CC1D11"/>
    <w:rsid w:val="00CC208D"/>
    <w:rsid w:val="00CC4692"/>
    <w:rsid w:val="00CC6656"/>
    <w:rsid w:val="00CD18FA"/>
    <w:rsid w:val="00D074EB"/>
    <w:rsid w:val="00D10BE8"/>
    <w:rsid w:val="00D12760"/>
    <w:rsid w:val="00D14427"/>
    <w:rsid w:val="00D15401"/>
    <w:rsid w:val="00D2242D"/>
    <w:rsid w:val="00D271B2"/>
    <w:rsid w:val="00D271B3"/>
    <w:rsid w:val="00D37335"/>
    <w:rsid w:val="00D43426"/>
    <w:rsid w:val="00D6049D"/>
    <w:rsid w:val="00D621E5"/>
    <w:rsid w:val="00D757AA"/>
    <w:rsid w:val="00D945DC"/>
    <w:rsid w:val="00DB1C26"/>
    <w:rsid w:val="00DB42D7"/>
    <w:rsid w:val="00DC24E2"/>
    <w:rsid w:val="00DD47ED"/>
    <w:rsid w:val="00DD7C8E"/>
    <w:rsid w:val="00DE0F9E"/>
    <w:rsid w:val="00E02AEA"/>
    <w:rsid w:val="00E10A4E"/>
    <w:rsid w:val="00E22A9E"/>
    <w:rsid w:val="00E23C8D"/>
    <w:rsid w:val="00E339C1"/>
    <w:rsid w:val="00E36317"/>
    <w:rsid w:val="00E406BA"/>
    <w:rsid w:val="00E5696C"/>
    <w:rsid w:val="00E77E04"/>
    <w:rsid w:val="00E8126E"/>
    <w:rsid w:val="00E864A7"/>
    <w:rsid w:val="00E873AD"/>
    <w:rsid w:val="00E917D9"/>
    <w:rsid w:val="00EA545B"/>
    <w:rsid w:val="00EB291C"/>
    <w:rsid w:val="00EB5EBB"/>
    <w:rsid w:val="00EC4B65"/>
    <w:rsid w:val="00EC659B"/>
    <w:rsid w:val="00ED3B20"/>
    <w:rsid w:val="00EE66B2"/>
    <w:rsid w:val="00EE74B6"/>
    <w:rsid w:val="00EF117A"/>
    <w:rsid w:val="00EF17FD"/>
    <w:rsid w:val="00EF26F6"/>
    <w:rsid w:val="00EF5AA5"/>
    <w:rsid w:val="00EF6520"/>
    <w:rsid w:val="00EF7BBE"/>
    <w:rsid w:val="00F03B49"/>
    <w:rsid w:val="00F106D4"/>
    <w:rsid w:val="00F200C1"/>
    <w:rsid w:val="00F20339"/>
    <w:rsid w:val="00F42FAC"/>
    <w:rsid w:val="00F438B7"/>
    <w:rsid w:val="00F469E2"/>
    <w:rsid w:val="00F46ED4"/>
    <w:rsid w:val="00F51717"/>
    <w:rsid w:val="00F52B38"/>
    <w:rsid w:val="00F54B45"/>
    <w:rsid w:val="00F72660"/>
    <w:rsid w:val="00F834D2"/>
    <w:rsid w:val="00F83754"/>
    <w:rsid w:val="00F83B30"/>
    <w:rsid w:val="00F85501"/>
    <w:rsid w:val="00F93D6F"/>
    <w:rsid w:val="00FA543E"/>
    <w:rsid w:val="00FA67D2"/>
    <w:rsid w:val="00FA7A4B"/>
    <w:rsid w:val="00FC3EA5"/>
    <w:rsid w:val="00FC4C7C"/>
    <w:rsid w:val="00FC6143"/>
    <w:rsid w:val="00FD0E56"/>
    <w:rsid w:val="00FD108C"/>
    <w:rsid w:val="00FD2752"/>
    <w:rsid w:val="00FD27C8"/>
    <w:rsid w:val="00FD52C0"/>
    <w:rsid w:val="00FF330E"/>
    <w:rsid w:val="02565122"/>
    <w:rsid w:val="04CA1ADF"/>
    <w:rsid w:val="05E36828"/>
    <w:rsid w:val="0A9B3379"/>
    <w:rsid w:val="116E51CD"/>
    <w:rsid w:val="160527ED"/>
    <w:rsid w:val="163A01D5"/>
    <w:rsid w:val="18E55E8E"/>
    <w:rsid w:val="19C67F70"/>
    <w:rsid w:val="1F794D7C"/>
    <w:rsid w:val="25181822"/>
    <w:rsid w:val="28AB6489"/>
    <w:rsid w:val="2E95660B"/>
    <w:rsid w:val="303934BF"/>
    <w:rsid w:val="32F578EC"/>
    <w:rsid w:val="3B5A4F38"/>
    <w:rsid w:val="48DF5676"/>
    <w:rsid w:val="501521B1"/>
    <w:rsid w:val="56395F7C"/>
    <w:rsid w:val="56426A70"/>
    <w:rsid w:val="56F530AD"/>
    <w:rsid w:val="5C3B0970"/>
    <w:rsid w:val="5D8A0CE9"/>
    <w:rsid w:val="61AC0701"/>
    <w:rsid w:val="62DA54DD"/>
    <w:rsid w:val="63824882"/>
    <w:rsid w:val="679F0794"/>
    <w:rsid w:val="68823148"/>
    <w:rsid w:val="69865469"/>
    <w:rsid w:val="6E856725"/>
    <w:rsid w:val="701628DA"/>
    <w:rsid w:val="7177552E"/>
    <w:rsid w:val="77C716FF"/>
    <w:rsid w:val="79620E53"/>
    <w:rsid w:val="7A1E3186"/>
    <w:rsid w:val="7C3866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3"/>
    <w:link w:val="15"/>
    <w:qFormat/>
    <w:uiPriority w:val="99"/>
    <w:pPr>
      <w:keepNext/>
      <w:widowControl/>
      <w:numPr>
        <w:ilvl w:val="0"/>
        <w:numId w:val="1"/>
      </w:numPr>
      <w:spacing w:before="240" w:after="240"/>
      <w:outlineLvl w:val="0"/>
    </w:pPr>
    <w:rPr>
      <w:rFonts w:ascii="Arial" w:hAnsi="Arial" w:eastAsia="黑体"/>
      <w:b/>
      <w:kern w:val="0"/>
      <w:sz w:val="32"/>
      <w:szCs w:val="32"/>
    </w:rPr>
  </w:style>
  <w:style w:type="paragraph" w:styleId="3">
    <w:name w:val="heading 2"/>
    <w:basedOn w:val="1"/>
    <w:next w:val="1"/>
    <w:link w:val="16"/>
    <w:qFormat/>
    <w:uiPriority w:val="99"/>
    <w:pPr>
      <w:keepNext/>
      <w:widowControl/>
      <w:numPr>
        <w:ilvl w:val="1"/>
        <w:numId w:val="1"/>
      </w:numPr>
      <w:tabs>
        <w:tab w:val="left" w:pos="432"/>
      </w:tabs>
      <w:spacing w:before="240" w:after="240"/>
      <w:outlineLvl w:val="1"/>
    </w:pPr>
    <w:rPr>
      <w:rFonts w:ascii="Arial" w:hAnsi="Arial" w:eastAsia="黑体"/>
      <w:kern w:val="0"/>
      <w:sz w:val="24"/>
      <w:szCs w:val="24"/>
    </w:rPr>
  </w:style>
  <w:style w:type="paragraph" w:styleId="4">
    <w:name w:val="heading 3"/>
    <w:basedOn w:val="1"/>
    <w:next w:val="1"/>
    <w:link w:val="17"/>
    <w:qFormat/>
    <w:uiPriority w:val="99"/>
    <w:pPr>
      <w:keepNext/>
      <w:keepLines/>
      <w:numPr>
        <w:ilvl w:val="2"/>
        <w:numId w:val="1"/>
      </w:numPr>
      <w:tabs>
        <w:tab w:val="left" w:pos="432"/>
      </w:tabs>
      <w:spacing w:before="260" w:after="260" w:line="416" w:lineRule="auto"/>
      <w:outlineLvl w:val="2"/>
    </w:pPr>
    <w:rPr>
      <w:rFonts w:ascii="Times New Roman" w:hAnsi="Times New Roman" w:eastAsia="黑体"/>
      <w:bCs/>
      <w:kern w:val="0"/>
      <w:sz w:val="32"/>
      <w:szCs w:val="32"/>
    </w:rPr>
  </w:style>
  <w:style w:type="paragraph" w:styleId="5">
    <w:name w:val="heading 4"/>
    <w:basedOn w:val="1"/>
    <w:next w:val="1"/>
    <w:link w:val="14"/>
    <w:qFormat/>
    <w:uiPriority w:val="99"/>
    <w:pPr>
      <w:keepNext/>
      <w:keepLines/>
      <w:spacing w:before="40" w:after="40" w:line="377" w:lineRule="auto"/>
      <w:outlineLvl w:val="3"/>
    </w:pPr>
    <w:rPr>
      <w:rFonts w:ascii="Cambria" w:hAnsi="Cambria"/>
      <w:b/>
      <w:bCs/>
      <w:kern w:val="0"/>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24"/>
    <w:semiHidden/>
    <w:qFormat/>
    <w:uiPriority w:val="99"/>
    <w:rPr>
      <w:kern w:val="0"/>
      <w:sz w:val="18"/>
      <w:szCs w:val="18"/>
    </w:rPr>
  </w:style>
  <w:style w:type="paragraph" w:styleId="7">
    <w:name w:val="footer"/>
    <w:basedOn w:val="1"/>
    <w:link w:val="23"/>
    <w:qFormat/>
    <w:uiPriority w:val="99"/>
    <w:pPr>
      <w:tabs>
        <w:tab w:val="center" w:pos="4153"/>
        <w:tab w:val="right" w:pos="8306"/>
      </w:tabs>
      <w:snapToGrid w:val="0"/>
      <w:jc w:val="left"/>
    </w:pPr>
    <w:rPr>
      <w:kern w:val="0"/>
      <w:sz w:val="18"/>
      <w:szCs w:val="18"/>
    </w:rPr>
  </w:style>
  <w:style w:type="paragraph" w:styleId="8">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semiHidden/>
    <w:unhideWhenUsed/>
    <w:qFormat/>
    <w:uiPriority w:val="99"/>
    <w:pPr>
      <w:spacing w:beforeAutospacing="1" w:afterAutospacing="1"/>
      <w:jc w:val="left"/>
    </w:pPr>
    <w:rPr>
      <w:kern w:val="0"/>
      <w:sz w:val="24"/>
    </w:rPr>
  </w:style>
  <w:style w:type="table" w:styleId="11">
    <w:name w:val="Table Grid"/>
    <w:basedOn w:val="10"/>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locked/>
    <w:uiPriority w:val="22"/>
    <w:rPr>
      <w:b/>
      <w:bCs/>
    </w:rPr>
  </w:style>
  <w:style w:type="character" w:customStyle="1" w:styleId="14">
    <w:name w:val="标题 4 Char"/>
    <w:link w:val="5"/>
    <w:autoRedefine/>
    <w:qFormat/>
    <w:locked/>
    <w:uiPriority w:val="99"/>
    <w:rPr>
      <w:rFonts w:ascii="Cambria" w:hAnsi="Cambria" w:eastAsia="宋体" w:cs="Times New Roman"/>
      <w:b/>
      <w:bCs/>
      <w:sz w:val="28"/>
      <w:szCs w:val="28"/>
    </w:rPr>
  </w:style>
  <w:style w:type="character" w:customStyle="1" w:styleId="15">
    <w:name w:val="标题 1 Char"/>
    <w:link w:val="2"/>
    <w:qFormat/>
    <w:locked/>
    <w:uiPriority w:val="99"/>
    <w:rPr>
      <w:rFonts w:ascii="Arial" w:hAnsi="Arial" w:eastAsia="黑体" w:cs="Times New Roman"/>
      <w:b/>
      <w:sz w:val="32"/>
      <w:szCs w:val="32"/>
      <w:lang w:val="en-US" w:eastAsia="zh-CN" w:bidi="ar-SA"/>
    </w:rPr>
  </w:style>
  <w:style w:type="character" w:customStyle="1" w:styleId="16">
    <w:name w:val="标题 2 Char"/>
    <w:link w:val="3"/>
    <w:autoRedefine/>
    <w:qFormat/>
    <w:locked/>
    <w:uiPriority w:val="99"/>
    <w:rPr>
      <w:rFonts w:ascii="Arial" w:hAnsi="Arial" w:eastAsia="黑体" w:cs="Times New Roman"/>
      <w:sz w:val="24"/>
      <w:szCs w:val="24"/>
      <w:lang w:val="en-US" w:eastAsia="zh-CN" w:bidi="ar-SA"/>
    </w:rPr>
  </w:style>
  <w:style w:type="character" w:customStyle="1" w:styleId="17">
    <w:name w:val="标题 3 Char"/>
    <w:link w:val="4"/>
    <w:qFormat/>
    <w:locked/>
    <w:uiPriority w:val="99"/>
    <w:rPr>
      <w:rFonts w:ascii="Times New Roman" w:hAnsi="Times New Roman" w:eastAsia="黑体" w:cs="Times New Roman"/>
      <w:bCs/>
      <w:sz w:val="32"/>
      <w:szCs w:val="32"/>
    </w:rPr>
  </w:style>
  <w:style w:type="paragraph" w:customStyle="1" w:styleId="18">
    <w:name w:val="样式3"/>
    <w:basedOn w:val="4"/>
    <w:autoRedefine/>
    <w:qFormat/>
    <w:uiPriority w:val="99"/>
    <w:rPr>
      <w:rFonts w:eastAsia="宋体"/>
      <w:b/>
      <w:sz w:val="28"/>
    </w:rPr>
  </w:style>
  <w:style w:type="paragraph" w:styleId="19">
    <w:name w:val="List Paragraph"/>
    <w:basedOn w:val="1"/>
    <w:autoRedefine/>
    <w:qFormat/>
    <w:uiPriority w:val="99"/>
    <w:pPr>
      <w:ind w:firstLine="420" w:firstLineChars="200"/>
    </w:pPr>
    <w:rPr>
      <w:rFonts w:ascii="Times New Roman" w:hAnsi="Times New Roman"/>
      <w:szCs w:val="20"/>
    </w:rPr>
  </w:style>
  <w:style w:type="paragraph" w:customStyle="1" w:styleId="20">
    <w:name w:val="Default"/>
    <w:autoRedefine/>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1">
    <w:name w:val="QB表内文字"/>
    <w:basedOn w:val="1"/>
    <w:qFormat/>
    <w:uiPriority w:val="99"/>
    <w:pPr>
      <w:autoSpaceDE w:val="0"/>
      <w:autoSpaceDN w:val="0"/>
    </w:pPr>
    <w:rPr>
      <w:rFonts w:ascii="宋体" w:hAnsi="Times New Roman"/>
      <w:kern w:val="0"/>
      <w:szCs w:val="20"/>
    </w:rPr>
  </w:style>
  <w:style w:type="character" w:customStyle="1" w:styleId="22">
    <w:name w:val="页眉 Char"/>
    <w:link w:val="8"/>
    <w:qFormat/>
    <w:locked/>
    <w:uiPriority w:val="99"/>
    <w:rPr>
      <w:rFonts w:cs="Times New Roman"/>
      <w:sz w:val="18"/>
      <w:szCs w:val="18"/>
    </w:rPr>
  </w:style>
  <w:style w:type="character" w:customStyle="1" w:styleId="23">
    <w:name w:val="页脚 Char"/>
    <w:link w:val="7"/>
    <w:autoRedefine/>
    <w:qFormat/>
    <w:locked/>
    <w:uiPriority w:val="99"/>
    <w:rPr>
      <w:rFonts w:cs="Times New Roman"/>
      <w:sz w:val="18"/>
      <w:szCs w:val="18"/>
    </w:rPr>
  </w:style>
  <w:style w:type="character" w:customStyle="1" w:styleId="24">
    <w:name w:val="批注框文本 Char"/>
    <w:link w:val="6"/>
    <w:semiHidden/>
    <w:qFormat/>
    <w:locked/>
    <w:uiPriority w:val="99"/>
    <w:rPr>
      <w:rFonts w:cs="Times New Roman"/>
      <w:sz w:val="18"/>
      <w:szCs w:val="18"/>
    </w:rPr>
  </w:style>
  <w:style w:type="paragraph" w:customStyle="1" w:styleId="25">
    <w:name w:val="段"/>
    <w:link w:val="2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段 Char"/>
    <w:link w:val="25"/>
    <w:autoRedefine/>
    <w:qFormat/>
    <w:uiPriority w:val="0"/>
    <w:rPr>
      <w:rFonts w:ascii="宋体" w:hAnsi="Times New Roman" w:cs="Times New Roman"/>
      <w:sz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2046</Words>
  <Characters>2113</Characters>
  <Lines>48</Lines>
  <Paragraphs>13</Paragraphs>
  <TotalTime>1</TotalTime>
  <ScaleCrop>false</ScaleCrop>
  <LinksUpToDate>false</LinksUpToDate>
  <CharactersWithSpaces>2114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2018-06-16T08:11:00Z</dcterms:created>
  <dc:creator>李莉</dc:creator>
  <cp:lastModifiedBy>张薇</cp:lastModifiedBy>
  <dcterms:modified xsi:type="dcterms:W3CDTF">2025-03-13T09:39:07Z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DCFE6C8C535A4D31BCD2A354EA2DF8CE_12</vt:lpwstr>
  </property>
  <property fmtid="{D5CDD505-2E9C-101B-9397-08002B2CF9AE}" pid="4" name="KSOTemplateDocerSaveRecord">
    <vt:lpwstr>eyJoZGlkIjoiMmI4MzliOTRkYWZkMTg1MWZjZWU0NzM5OTZiM2VhNWUiLCJ1c2VySWQiOiIzNDE0ODAwNzUifQ==</vt:lpwstr>
  </property>
</Properties>
</file>