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附件2</w:t>
      </w:r>
    </w:p>
    <w:p>
      <w:pPr>
        <w:jc w:val="center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44"/>
          <w:szCs w:val="44"/>
          <w:shd w:val="clear" w:fill="FFFFFF"/>
          <w:lang w:val="en-US" w:eastAsia="zh-CN"/>
        </w:rPr>
        <w:t>知识产权指标说明</w:t>
      </w:r>
    </w:p>
    <w:p>
      <w:pP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一、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所称“Ⅰ类知识产权”包括发明专利（含国防专利）、植物新品种、国家级农作物品种、国家新药、国家一级中药保护品种、集成电路布图设计专有权（均不包含转让未满1年的知识产权）。</w:t>
      </w: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二、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所称“Ⅰ类高价值知识产权”须符合以下条件之一：</w:t>
      </w: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1.在海外有同族专利权的发明专利或在海外取得收入的其他Ⅰ类知识产权，其中专利限G20成员、新加坡以及欧洲专利局经实质审查后获得授权的发明专利。</w:t>
      </w: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2.维持年限超过10年的Ⅰ类知识产权。</w:t>
      </w: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3.实现较高质押融资金额的Ⅰ类知识产权。</w:t>
      </w:r>
    </w:p>
    <w:p>
      <w:pPr>
        <w:ind w:firstLine="640" w:firstLineChars="200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4.获得国家科学技术奖或中国专利奖的Ⅰ类知识产权。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三、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所称“Ⅱ类知识产权”包括与主导产品相关的软件著作权（不含商标）、授权后维持超过2年的实用新型专利或外观设计专利（均不包含转让未满1年的知识产权）。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M0ZmJiMDM5MWYyOGMxZWE2ZjZlYmY1ZTRmYzMxMDMifQ=="/>
  </w:docVars>
  <w:rsids>
    <w:rsidRoot w:val="00000000"/>
    <w:rsid w:val="2BDE6BB1"/>
    <w:rsid w:val="32B36390"/>
    <w:rsid w:val="DA9B8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327</Words>
  <Characters>356</Characters>
  <Lines>0</Lines>
  <Paragraphs>0</Paragraphs>
  <TotalTime>2</TotalTime>
  <ScaleCrop>false</ScaleCrop>
  <LinksUpToDate>false</LinksUpToDate>
  <CharactersWithSpaces>356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2022-09-12T12:05:00Z</dcterms:created>
  <dc:creator>Daisy</dc:creator>
  <cp:lastModifiedBy>renxj</cp:lastModifiedBy>
  <dcterms:modified xsi:type="dcterms:W3CDTF">2025-03-24T14:37:34Z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3D3EBAFE1E874020870B9E40D0A5EB4D</vt:lpwstr>
  </property>
</Properties>
</file>