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C3D523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jc w:val="both"/>
        <w:textAlignment w:val="auto"/>
        <w:outlineLvl w:val="0"/>
        <w:rPr>
          <w:rFonts w:hint="default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 w14:paraId="530DB04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36"/>
          <w:szCs w:val="36"/>
          <w:highlight w:val="none"/>
          <w:lang w:val="en-US" w:eastAsia="zh-CN"/>
        </w:rPr>
      </w:pPr>
    </w:p>
    <w:p w14:paraId="6E524F2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highlight w:val="none"/>
          <w:lang w:val="en-US" w:eastAsia="zh-CN"/>
        </w:rPr>
        <w:t>深圳市瞪羚</w:t>
      </w:r>
      <w:r>
        <w:rPr>
          <w:rFonts w:hint="eastAsia" w:ascii="Times New Roman" w:hAnsi="Times New Roman" w:eastAsia="方正小标宋简体" w:cs="Times New Roman"/>
          <w:sz w:val="44"/>
          <w:szCs w:val="44"/>
          <w:highlight w:val="none"/>
          <w:lang w:val="en-US" w:eastAsia="zh-CN"/>
        </w:rPr>
        <w:t>企业</w:t>
      </w:r>
      <w:r>
        <w:rPr>
          <w:rFonts w:hint="default" w:ascii="Times New Roman" w:hAnsi="Times New Roman" w:eastAsia="方正小标宋简体" w:cs="Times New Roman"/>
          <w:sz w:val="44"/>
          <w:szCs w:val="44"/>
          <w:highlight w:val="none"/>
          <w:lang w:val="en-US" w:eastAsia="zh-CN"/>
        </w:rPr>
        <w:t>、</w:t>
      </w:r>
      <w:r>
        <w:rPr>
          <w:rFonts w:hint="default" w:ascii="Times New Roman" w:hAnsi="Times New Roman" w:eastAsia="方正小标宋简体" w:cs="Times New Roman"/>
          <w:sz w:val="44"/>
          <w:szCs w:val="44"/>
          <w:highlight w:val="none"/>
        </w:rPr>
        <w:t>独角兽</w:t>
      </w:r>
      <w:r>
        <w:rPr>
          <w:rFonts w:hint="default" w:ascii="Times New Roman" w:hAnsi="Times New Roman" w:eastAsia="方正小标宋简体" w:cs="Times New Roman"/>
          <w:sz w:val="44"/>
          <w:szCs w:val="44"/>
          <w:highlight w:val="none"/>
          <w:lang w:eastAsia="zh-CN"/>
        </w:rPr>
        <w:t>企</w:t>
      </w:r>
      <w:r>
        <w:rPr>
          <w:rFonts w:hint="default" w:ascii="Times New Roman" w:hAnsi="Times New Roman" w:eastAsia="方正小标宋简体" w:cs="Times New Roman"/>
          <w:sz w:val="44"/>
          <w:szCs w:val="44"/>
          <w:highlight w:val="none"/>
        </w:rPr>
        <w:t>业</w:t>
      </w:r>
      <w:r>
        <w:rPr>
          <w:rFonts w:hint="default" w:ascii="Times New Roman" w:hAnsi="Times New Roman" w:eastAsia="方正小标宋简体" w:cs="Times New Roman"/>
          <w:sz w:val="44"/>
          <w:szCs w:val="44"/>
          <w:highlight w:val="none"/>
          <w:lang w:val="en-US" w:eastAsia="zh-CN"/>
        </w:rPr>
        <w:t>梯度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遴选评价</w:t>
      </w:r>
    </w:p>
    <w:p w14:paraId="74F00C4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指标体系</w:t>
      </w:r>
    </w:p>
    <w:p w14:paraId="6A9585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2A9242E7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一、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企业定义</w:t>
      </w:r>
    </w:p>
    <w:p w14:paraId="55FA6B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“瞪羚”企业是指商业模式得到市场认可、收入或雇员人数达到一定规模，已成功跨越创业死亡谷并进入高速成长期的高成长企业。</w:t>
      </w:r>
    </w:p>
    <w:p w14:paraId="5EF284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“独角兽”企业是指成立10年以内，估值超过10亿美元（或70亿人民币）、获得过私募投资且尚未上市的企业。</w:t>
      </w:r>
    </w:p>
    <w:p w14:paraId="3CC8001A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二、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基本原则</w:t>
      </w:r>
    </w:p>
    <w:p w14:paraId="33597B6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（一）重点挖掘。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auto"/>
          <w:lang w:val="en-US" w:eastAsia="zh-CN"/>
        </w:rPr>
        <w:t>重点从创始团队、产品技术、市场前景、资本认可度等方面开展挖掘和发现工作，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精确锁定具有“硬核”科技、爆发式成长潜力的企业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和项目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auto"/>
          <w:lang w:val="en-US" w:eastAsia="zh-CN"/>
        </w:rPr>
        <w:t>。密切</w:t>
      </w:r>
      <w:r>
        <w:rPr>
          <w:rFonts w:hint="eastAsia" w:ascii="Times New Roman" w:hAnsi="Times New Roman" w:eastAsia="仿宋_GB2312"/>
          <w:color w:val="auto"/>
          <w:sz w:val="32"/>
          <w:szCs w:val="32"/>
          <w:highlight w:val="none"/>
          <w:shd w:val="clear" w:color="auto" w:fill="auto"/>
          <w:lang w:eastAsia="zh-CN"/>
        </w:rPr>
        <w:t>关注高校系和大厂系的创始团队和初创企业，广泛收集各类竞赛系和榜单系项目或企业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。</w:t>
      </w:r>
    </w:p>
    <w:p w14:paraId="1A26202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（二）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公平公正。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组建专家评价委员会，委员会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专家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参与遴选指标评估、遴选机制设计、遴选名单确定等环节，打造公平公正、权威专业的评价环境，树立评价体系的专业性和评价结果的权威性。</w:t>
      </w:r>
    </w:p>
    <w:p w14:paraId="294137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（三）梯度培育。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建立瞪羚企业、独角兽企业培育库。其中，瞪羚企业分为瞪羚、超级瞪羚两个梯度；独角兽企业分为种子独角兽、潜在独角兽、独角兽（含超级独角兽）三个梯度。</w:t>
      </w:r>
    </w:p>
    <w:p w14:paraId="3B640069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（四）动态管理。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每年开展瞪羚企业、独角兽企业遴选工作，持续发现和挖掘一批高成长创新型企业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对于不再符合认定条件的企业，建立退出机制。</w:t>
      </w:r>
    </w:p>
    <w:p w14:paraId="5897C903"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三、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行业要求</w:t>
      </w:r>
    </w:p>
    <w:p w14:paraId="4A1C2E5F"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40404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入库企业所属行业和细分领域符合深圳市“20+8”产业集群发展方向，具体如下：</w:t>
      </w:r>
    </w:p>
    <w:p w14:paraId="0431DE45"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highlight w:val="none"/>
          <w:shd w:val="clear" w:color="auto" w:fill="auto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（一）战略性新兴产业：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auto"/>
        </w:rPr>
        <w:t>半导体与集成电路、人工智能、低空经济与空天、新能源、智能网联汽车、生物医药、高端医疗器械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highlight w:val="none"/>
          <w:shd w:val="clear" w:color="auto" w:fill="auto"/>
          <w:lang w:eastAsia="zh-CN"/>
        </w:rPr>
        <w:t>、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auto"/>
        </w:rPr>
        <w:t>网络与通信、超高清视频显示、智能终端、软件与信息服务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highlight w:val="none"/>
          <w:shd w:val="clear" w:color="auto" w:fill="auto"/>
          <w:lang w:eastAsia="zh-CN"/>
        </w:rPr>
        <w:t>、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auto"/>
        </w:rPr>
        <w:t>智能传感器、高端装备与仪器、机器人、高性能材料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highlight w:val="none"/>
          <w:shd w:val="clear" w:color="auto" w:fill="auto"/>
          <w:lang w:eastAsia="zh-CN"/>
        </w:rPr>
        <w:t>、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auto"/>
        </w:rPr>
        <w:t>数字创意、现代时尚、安全节能环保、大健康、海洋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highlight w:val="none"/>
          <w:shd w:val="clear" w:color="auto" w:fill="auto"/>
          <w:lang w:eastAsia="zh-CN"/>
        </w:rPr>
        <w:t>。</w:t>
      </w:r>
    </w:p>
    <w:p w14:paraId="09013503"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>（二）未来产业：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auto"/>
        </w:rPr>
        <w:t>合成生物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auto"/>
          <w:lang w:eastAsia="zh-CN"/>
        </w:rPr>
        <w:t>、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auto"/>
          <w:lang w:val="en-US" w:eastAsia="zh-CN"/>
        </w:rPr>
        <w:t>光载信息、智能机器人、细胞与基因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auto"/>
          <w:lang w:val="en-US" w:eastAsia="zh-CN"/>
        </w:rPr>
        <w:t>、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color="auto" w:fill="auto"/>
          <w:lang w:val="en-US" w:eastAsia="zh-CN"/>
        </w:rPr>
        <w:t>脑科学与脑机工程、深地深海、量子信息、前沿新材料。</w:t>
      </w:r>
    </w:p>
    <w:p w14:paraId="394626E5">
      <w:pPr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四、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企业梯度培育体系</w:t>
      </w:r>
    </w:p>
    <w:p w14:paraId="2C82DBB3"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依据企业规模、成长速度、创新能力、融资金额、投后估值等指标，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将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瞪羚企业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划分为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瞪羚、超级瞪羚两个梯度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，将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独角兽企业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划分为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种子独角兽、潜在独角兽、独角兽（含超级独角兽）三个梯度。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其中，瞪羚企业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以企业规模、成长速度、创新能力等为核心指标，独角兽企业以融资金额、投后估值等为核心指标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。</w:t>
      </w:r>
    </w:p>
    <w:p w14:paraId="138D58A4"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03AA4D87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五、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基本条件</w:t>
      </w:r>
    </w:p>
    <w:p w14:paraId="4DDE5C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（一）申请主体位于深圳辖区内，具有健全的财务会计管理制度，经营纳税及信用情况良好，具有独立法人资格、实行独立核算的企业。</w:t>
      </w:r>
    </w:p>
    <w:p w14:paraId="015986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（二）申请主体所属行业和细分领域符合深圳市“20+8”产业集群发展方向。</w:t>
      </w:r>
    </w:p>
    <w:p w14:paraId="259448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（三）申请主体未列入经营异常名录和严重违法失信企业名单，且在申报年度的近三年内未发生重大安全、重大质量事故和严重环境违法、科研严重失信行为。</w:t>
      </w:r>
    </w:p>
    <w:p w14:paraId="7805C1B7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六、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评价指标</w:t>
      </w:r>
    </w:p>
    <w:p w14:paraId="3D01D4AE">
      <w:pPr>
        <w:pStyle w:val="2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firstLine="640"/>
        <w:jc w:val="both"/>
        <w:textAlignment w:val="auto"/>
        <w:rPr>
          <w:rFonts w:hint="default" w:ascii="Times New Roman" w:hAnsi="Times New Roman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cs="Times New Roman"/>
          <w:b w:val="0"/>
          <w:bCs/>
          <w:sz w:val="32"/>
          <w:szCs w:val="32"/>
          <w:lang w:val="en-US" w:eastAsia="zh-CN"/>
        </w:rPr>
        <w:t>（一）</w:t>
      </w:r>
      <w:r>
        <w:rPr>
          <w:rFonts w:hint="default" w:ascii="Times New Roman" w:hAnsi="Times New Roman" w:cs="Times New Roman"/>
          <w:b w:val="0"/>
          <w:bCs/>
          <w:sz w:val="32"/>
          <w:szCs w:val="32"/>
          <w:lang w:val="en-US" w:eastAsia="zh-CN"/>
        </w:rPr>
        <w:t>瞪羚企业</w:t>
      </w:r>
      <w:r>
        <w:rPr>
          <w:rFonts w:hint="eastAsia" w:cs="Times New Roman"/>
          <w:b w:val="0"/>
          <w:bCs/>
          <w:sz w:val="32"/>
          <w:szCs w:val="32"/>
          <w:lang w:val="en-US" w:eastAsia="zh-CN"/>
        </w:rPr>
        <w:t>。</w:t>
      </w:r>
    </w:p>
    <w:p w14:paraId="106BCCB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瞪羚企业分为瞪羚、超级瞪羚两个梯度，主要以企业规模、成长速度、创新能力作为遴选的基本指标。瞪羚企业、超级瞪羚企业需为高新技术企业、创新型中小企业或专精特新中小企业。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瞪羚企业入选需满足以下条件之一：</w:t>
      </w:r>
    </w:p>
    <w:p w14:paraId="2A1D15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1.企业成立时间距基期年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ootnoteReference w:id="0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不超过10年（不含基期年），基期年营业收入达到3000万元且三年复合增长率达到20%，且截止年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ootnoteReference w:id="1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正增长。</w:t>
      </w:r>
    </w:p>
    <w:p w14:paraId="6F311C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2.企业成立时间距基期年不超过10年（不含基期年），基期年雇员总数达到100人且三年复合增长率达到30%，且截止年正增长。</w:t>
      </w:r>
    </w:p>
    <w:p w14:paraId="757F6E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3.企业成立时间距截止年不超过5年（含截止年），截止年营业收入达到5亿元，且3年内营业收入无大幅下降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ootnoteReference w:id="2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 w14:paraId="0317A4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4.企业成立时间距截止年不超过10年（含截止年），截止年营业收入达到10亿元，且3年内营业收入无大幅下降。</w:t>
      </w:r>
    </w:p>
    <w:p w14:paraId="282D6B8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562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示例：若遴选2024年瞪羚企业，计算营收或雇员人数三年复合增长率需要2020年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—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2023年四年数据，则基期年为2020年，截止年为2023年，企业成立时间距基期年不超过10年是指成立时间不早于2010年，成立时间距截止年不超过5年是指成立时间不早于2019年，成立时间距截止年不超过10年是指成立时间不早于2014年。</w:t>
      </w:r>
    </w:p>
    <w:p w14:paraId="72732B0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firstLine="562" w:firstLineChars="200"/>
        <w:jc w:val="both"/>
        <w:textAlignment w:val="auto"/>
        <w:rPr>
          <w:rFonts w:hint="default" w:ascii="Times New Roman" w:hAnsi="Times New Roman" w:eastAsia="黑体" w:cs="Times New Roman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企业三年复合增长率=</w:t>
      </w:r>
      <w:r>
        <w:rPr>
          <w:rFonts w:hint="eastAsia" w:ascii="Times New Roman" w:hAnsi="Times New Roman" w:eastAsia="黑体" w:cs="Times New Roman"/>
          <w:position w:val="-28"/>
          <w:sz w:val="28"/>
          <w:szCs w:val="28"/>
          <w:lang w:val="en-US" w:eastAsia="zh-CN"/>
        </w:rPr>
        <w:object>
          <v:shape id="_x0000_i1025" o:spt="75" type="#_x0000_t75" style="height:42.8pt;width:242.8pt;" o:ole="t" filled="f" o:preferrelative="t" stroked="f" coordsize="21600,21600">
            <v:path/>
            <v:fill on="f" focussize="0,0"/>
            <v:stroke on="f"/>
            <v:imagedata r:id="rId7" o:title=""/>
            <o:lock v:ext="edit" aspectratio="t"/>
            <w10:wrap type="none"/>
            <w10:anchorlock/>
          </v:shape>
          <o:OLEObject Type="Embed" ProgID="Equation.KSEE3" ShapeID="_x0000_i1025" DrawAspect="Content" ObjectID="_1468075725" r:id="rId6">
            <o:LockedField>false</o:LockedField>
          </o:OLEObject>
        </w:object>
      </w:r>
    </w:p>
    <w:p w14:paraId="3AD10D94">
      <w:pPr>
        <w:pStyle w:val="2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firstLine="640"/>
        <w:jc w:val="both"/>
        <w:textAlignment w:val="auto"/>
        <w:rPr>
          <w:rFonts w:hint="default" w:ascii="Times New Roman" w:hAnsi="Times New Roman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cs="Times New Roman"/>
          <w:b w:val="0"/>
          <w:bCs/>
          <w:sz w:val="32"/>
          <w:szCs w:val="32"/>
          <w:lang w:val="en-US" w:eastAsia="zh-CN"/>
        </w:rPr>
        <w:t>（二）</w:t>
      </w:r>
      <w:r>
        <w:rPr>
          <w:rFonts w:hint="default" w:ascii="Times New Roman" w:hAnsi="Times New Roman" w:cs="Times New Roman"/>
          <w:b w:val="0"/>
          <w:bCs/>
          <w:sz w:val="32"/>
          <w:szCs w:val="32"/>
          <w:lang w:val="en-US" w:eastAsia="zh-CN"/>
        </w:rPr>
        <w:t>独角兽企业</w:t>
      </w:r>
      <w:r>
        <w:rPr>
          <w:rFonts w:hint="eastAsia" w:cs="Times New Roman"/>
          <w:b w:val="0"/>
          <w:bCs/>
          <w:sz w:val="32"/>
          <w:szCs w:val="32"/>
          <w:lang w:val="en-US" w:eastAsia="zh-CN"/>
        </w:rPr>
        <w:t>。</w:t>
      </w:r>
    </w:p>
    <w:p w14:paraId="37254D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独角兽企业分为种子独角兽、潜在独角兽、独角兽（含超级独角兽）三个梯度，主要以企业融资投后估值作为遴选的基本指标。</w:t>
      </w:r>
    </w:p>
    <w:p w14:paraId="1859D9A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1.独角兽企业入选需同时满足以下条件：</w:t>
      </w:r>
    </w:p>
    <w:p w14:paraId="29610D2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（1）成立时间不超过10年；</w:t>
      </w:r>
    </w:p>
    <w:p w14:paraId="53F5A3F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（2）获得过股权投资，且尚未上市（不含新三板挂牌）；</w:t>
      </w:r>
    </w:p>
    <w:p w14:paraId="50A559F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（3）最新一轮融资投后估值超过（含）70亿元人民币以上，且累计融资金额超过（含）3.5亿元人民币；</w:t>
      </w:r>
    </w:p>
    <w:p w14:paraId="42EF29A1"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（4）符合（1）（2）要求，且最新一轮融资投后估值超过（含）700亿元人民币以上，累计融资金额超过（含）3.5亿元人民币的企业为超级独角兽企业。</w:t>
      </w:r>
    </w:p>
    <w:p w14:paraId="186B311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2.潜在独角兽企业入选需满足以下条件之一：</w:t>
      </w:r>
    </w:p>
    <w:p w14:paraId="01C97E9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（1）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成立5年内，获得过股权投资，且尚未上市（不含新三板挂牌）；最新一轮融资投后估值超过（含）7亿元人民币以上，且累计融资金额超过（含）3500万元人民币。</w:t>
      </w:r>
    </w:p>
    <w:p w14:paraId="1669B36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（2）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成立5—9年，获得过股权投资，且尚未上市（不含新三板挂牌）；最新一轮融资投后估值超过（含）35亿元人民币以上，且累计融资金额超过（含）1.75亿元人民币。</w:t>
      </w:r>
    </w:p>
    <w:p w14:paraId="4EA5EBE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3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3.种子独角兽企业入选需同时满足以下条件：</w:t>
      </w:r>
    </w:p>
    <w:p w14:paraId="4B3D895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（1）成立时间不超过5年；</w:t>
      </w:r>
    </w:p>
    <w:p w14:paraId="15848F9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（2）获得过股权投资，且尚未上市（不含新三板挂牌）；</w:t>
      </w:r>
    </w:p>
    <w:p w14:paraId="4CFA725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（3）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最新一轮融资投后估值超过（含）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3亿元人民币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，且累计融资金额超过（含）1000万元人民币。</w:t>
      </w:r>
    </w:p>
    <w:p w14:paraId="0CE42F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</w:p>
    <w:p w14:paraId="1CD82E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kern w:val="2"/>
          <w:sz w:val="32"/>
          <w:szCs w:val="32"/>
          <w:highlight w:val="none"/>
          <w:shd w:val="clear" w:color="auto" w:fill="FFFFFF"/>
          <w:lang w:eastAsia="zh-CN" w:bidi="ar-SA"/>
        </w:rPr>
      </w:pPr>
    </w:p>
    <w:p w14:paraId="5E0DE8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u w:val="none"/>
          <w:lang w:val="en-US" w:eastAsia="zh-CN" w:bidi="ar-SA"/>
        </w:rPr>
      </w:pPr>
    </w:p>
    <w:p w14:paraId="08E0071E"/>
    <w:p w14:paraId="653B0799"/>
    <w:p w14:paraId="325ED73B">
      <w:bookmarkStart w:id="0" w:name="_GoBack"/>
      <w:bookmarkEnd w:id="0"/>
    </w:p>
    <w:sectPr>
      <w:footerReference r:id="rId4" w:type="default"/>
      <w:pgSz w:w="11906" w:h="16838"/>
      <w:pgMar w:top="2098" w:right="1474" w:bottom="1984" w:left="1587" w:header="851" w:footer="992" w:gutter="0"/>
      <w:pgNumType w:fmt="decimal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4BA497C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19E45260">
                          <w:pPr>
                            <w:pStyle w:val="3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M6pebnPAAAABQEAAA8AAAAAAAAAAQAgAAAAIgAAAGRycy9kb3ducmV2&#10;LnhtbFBLAQIUABQAAAAIAIdO4kAXSZTlzAEAAKcDAAAOAAAAAAAAAAEAIAAAAB4BAABkcnMvZTJv&#10;RG9jLnhtbFBLBQYAAAAABgAGAFkBAABc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19E45260">
                    <w:pPr>
                      <w:pStyle w:val="3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6">
    <w:p>
      <w:r>
        <w:separator/>
      </w:r>
    </w:p>
  </w:footnote>
  <w:footnote w:type="continuationSeparator" w:id="7">
    <w:p>
      <w:r>
        <w:continuationSeparator/>
      </w:r>
    </w:p>
  </w:footnote>
  <w:footnote w:id="0">
    <w:p w14:paraId="5F71FA92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 w:val="0"/>
        <w:spacing w:after="0" w:line="279" w:lineRule="auto"/>
        <w:jc w:val="both"/>
        <w:textAlignment w:val="auto"/>
        <w:rPr>
          <w:rFonts w:hint="eastAsia" w:ascii="宋体" w:hAnsi="宋体" w:cs="Times New Roman"/>
          <w:b w:val="0"/>
          <w:bCs w:val="0"/>
          <w:color w:val="auto"/>
          <w:lang w:val="en-US"/>
        </w:rPr>
      </w:pPr>
      <w:r>
        <w:rPr>
          <w:rFonts w:hint="eastAsia" w:ascii="宋体" w:hAnsi="宋体" w:cs="Times New Roman"/>
          <w:b w:val="0"/>
          <w:bCs w:val="0"/>
          <w:color w:val="auto"/>
          <w:lang w:val="en-US" w:eastAsia="zh-CN"/>
        </w:rPr>
        <w:t>1.</w:t>
      </w:r>
      <w:r>
        <w:rPr>
          <w:rFonts w:hint="eastAsia" w:ascii="宋体" w:hAnsi="宋体" w:cs="Times New Roman"/>
          <w:b w:val="0"/>
          <w:bCs w:val="0"/>
          <w:color w:val="auto"/>
        </w:rPr>
        <w:t>基期年</w:t>
      </w:r>
      <w:r>
        <w:rPr>
          <w:rFonts w:hint="eastAsia" w:ascii="宋体" w:hAnsi="宋体" w:cs="Times New Roman"/>
          <w:b w:val="0"/>
          <w:bCs w:val="0"/>
          <w:color w:val="auto"/>
          <w:lang w:val="en-US" w:eastAsia="zh-CN"/>
        </w:rPr>
        <w:t>是指分析某一特定时间段内的数据变化情况时，用作比较基准的年份。如分析2020-2023年企业营业收入变化情况，基期年是指2020年。</w:t>
      </w:r>
    </w:p>
  </w:footnote>
  <w:footnote w:id="1">
    <w:p w14:paraId="273304DB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 w:val="0"/>
        <w:spacing w:after="0" w:line="279" w:lineRule="auto"/>
        <w:jc w:val="both"/>
        <w:textAlignment w:val="auto"/>
        <w:rPr>
          <w:rFonts w:hint="eastAsia" w:ascii="宋体" w:hAnsi="宋体" w:cs="Times New Roman"/>
          <w:b w:val="0"/>
          <w:bCs w:val="0"/>
        </w:rPr>
      </w:pPr>
      <w:r>
        <w:rPr>
          <w:rFonts w:hint="eastAsia" w:ascii="宋体" w:hAnsi="宋体" w:cs="Times New Roman"/>
          <w:b w:val="0"/>
          <w:bCs w:val="0"/>
          <w:color w:val="auto"/>
          <w:lang w:val="en-US" w:eastAsia="zh-CN"/>
        </w:rPr>
        <w:t>2.</w:t>
      </w:r>
      <w:r>
        <w:rPr>
          <w:rFonts w:hint="eastAsia" w:ascii="宋体" w:hAnsi="宋体" w:cs="Times New Roman"/>
          <w:b w:val="0"/>
          <w:bCs w:val="0"/>
          <w:color w:val="auto"/>
        </w:rPr>
        <w:t>截止年与基期年相对应，截止年是指数据分析时间段的最后一年</w:t>
      </w:r>
      <w:r>
        <w:rPr>
          <w:rFonts w:hint="eastAsia" w:ascii="宋体" w:hAnsi="宋体" w:cs="Times New Roman"/>
          <w:b w:val="0"/>
          <w:bCs w:val="0"/>
          <w:color w:val="auto"/>
          <w:lang w:eastAsia="zh-CN"/>
        </w:rPr>
        <w:t>。</w:t>
      </w:r>
      <w:r>
        <w:rPr>
          <w:rFonts w:hint="eastAsia" w:ascii="宋体" w:hAnsi="宋体" w:cs="Times New Roman"/>
          <w:b w:val="0"/>
          <w:bCs w:val="0"/>
          <w:color w:val="auto"/>
          <w:lang w:val="en-US" w:eastAsia="zh-CN"/>
        </w:rPr>
        <w:t>如分析2020-2023年企业营业收入变化情况，截止年是指2023年。</w:t>
      </w:r>
    </w:p>
  </w:footnote>
  <w:footnote w:id="2">
    <w:p w14:paraId="5923141A">
      <w:pPr>
        <w:pStyle w:val="4"/>
        <w:snapToGrid w:val="0"/>
        <w:spacing w:after="0" w:line="279" w:lineRule="auto"/>
        <w:jc w:val="both"/>
        <w:rPr>
          <w:rFonts w:hint="eastAsia" w:ascii="宋体" w:hAnsi="宋体" w:cs="Times New Roman"/>
          <w:color w:val="auto"/>
        </w:rPr>
      </w:pPr>
      <w:r>
        <w:rPr>
          <w:rFonts w:hint="eastAsia" w:ascii="宋体" w:hAnsi="宋体" w:cs="Times New Roman"/>
          <w:color w:val="auto"/>
          <w:lang w:val="en-US" w:eastAsia="zh-CN"/>
        </w:rPr>
        <w:t>3.3年内营业收入无大幅下降是指3年内营业收入同比增长率均不低于-30%。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footnotePr>
    <w:footnote w:id="6"/>
    <w:footnote w:id="7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E45E58"/>
    <w:rsid w:val="06E45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50" w:beforeLines="50" w:beforeAutospacing="0" w:after="50" w:afterLines="50" w:afterAutospacing="0" w:line="560" w:lineRule="exact"/>
      <w:ind w:firstLine="880" w:firstLineChars="200"/>
      <w:outlineLvl w:val="1"/>
    </w:pPr>
    <w:rPr>
      <w:rFonts w:ascii="Times New Roman" w:hAnsi="Times New Roman" w:eastAsia="楷体_GB2312"/>
      <w:b/>
      <w:szCs w:val="24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footnote text"/>
    <w:basedOn w:val="1"/>
    <w:qFormat/>
    <w:uiPriority w:val="0"/>
    <w:pPr>
      <w:snapToGrid w:val="0"/>
      <w:jc w:val="left"/>
    </w:pPr>
    <w:rPr>
      <w:sz w:val="18"/>
    </w:rPr>
  </w:style>
  <w:style w:type="character" w:styleId="7">
    <w:name w:val="footnote reference"/>
    <w:basedOn w:val="6"/>
    <w:qFormat/>
    <w:uiPriority w:val="0"/>
    <w:rPr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1.wmf"/><Relationship Id="rId6" Type="http://schemas.openxmlformats.org/officeDocument/2006/relationships/oleObject" Target="embeddings/oleObject1.bin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2025-03-20T03:50:00Z</dcterms:created>
  <dc:creator>lin彤</dc:creator>
  <cp:lastModifiedBy>lin彤</cp:lastModifiedBy>
  <dcterms:modified xsi:type="dcterms:W3CDTF">2025-03-20T03:51:52Z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A3DD39D6FB014AE8A168F9E79DD1044F_11</vt:lpwstr>
  </property>
  <property fmtid="{D5CDD505-2E9C-101B-9397-08002B2CF9AE}" pid="4" name="KSOTemplateDocerSaveRecord">
    <vt:lpwstr>eyJoZGlkIjoiZDRhZmZhNmRjOTZlOGJmN2I2YzBiMWQ5MDI1YzljNTkiLCJ1c2VySWQiOiIzNjAzMjM4OTMifQ==</vt:lpwstr>
  </property>
</Properties>
</file>