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olor w:val="00000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sz w:val="32"/>
          <w:szCs w:val="32"/>
          <w:u w:val="none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spacing w:line="560" w:lineRule="exact"/>
        <w:jc w:val="center"/>
        <w:rPr>
          <w:rFonts w:hint="default" w:ascii="仿宋_GB2312" w:hAnsi="仿宋_GB2312" w:eastAsia="仿宋_GB2312" w:cs="仿宋_GB231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sz w:val="44"/>
          <w:szCs w:val="44"/>
          <w:u w:val="none"/>
          <w:lang w:val="en-US" w:eastAsia="zh-CN" w:bidi="ar"/>
        </w:rPr>
        <w:t>2024年度省级海洋经济发展资金拟补助项目汇总表</w:t>
      </w:r>
    </w:p>
    <w:tbl>
      <w:tblPr>
        <w:tblStyle w:val="4"/>
        <w:tblW w:w="421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892"/>
        <w:gridCol w:w="7294"/>
        <w:gridCol w:w="2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tblHeader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3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lang w:eastAsia="zh-CN"/>
              </w:rPr>
              <w:t>建设内容</w:t>
            </w: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项目单位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低逸散密封填料（垫片）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3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 w:bidi="ar"/>
              </w:rPr>
              <w:t>项目为其他制造业厂房，用于生产密封产品，生产规模150万套/年。新增地上建筑面积90415.67㎡，新增地下建筑面积1378㎡。</w:t>
            </w: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 w:bidi="ar"/>
              </w:rPr>
              <w:t>浙江国泰萧星密封材料股份有限公司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萧山杭齿集团年产1200台大型齿轮箱核心零部件加工数字化改造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3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 w:bidi="ar"/>
              </w:rPr>
              <w:t xml:space="preserve">围绕船用大型齿轮箱核心零部件产能提升，建设轴类、齿轮类、法兰类零件数字化加工生产线，在现有车间和设备改造的基础上，增加数控车削中心、数控滚齿机、加工中心、AGV物流搬运设备等，打造行业领先大型齿轮箱零部件数字化制造车间，增加年产1200台大型齿轮箱核心零部件的生产能力。 </w:t>
            </w: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 w:bidi="ar"/>
              </w:rPr>
              <w:t>杭州前进齿轮箱集团股份有限公司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年产50艘新型公务执法艇建设项目（二期）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3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 w:bidi="ar"/>
              </w:rPr>
              <w:t>项目投入4000万元，年产50艘新型公务执法艇。项目达产后可实现销售收入4000万元，利税150万元。</w:t>
            </w: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 w:bidi="ar"/>
              </w:rPr>
              <w:t>杭州钱航船舶修造有限公司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杭州海的动力舷外机生产线提升项目</w:t>
            </w:r>
          </w:p>
        </w:tc>
        <w:tc>
          <w:tcPr>
            <w:tcW w:w="3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 w:bidi="ar"/>
              </w:rPr>
              <w:t xml:space="preserve">200马力舷外机研发、发动机装配生产线技改项目，拟增加发动机装配生产线、轴功率测试台等，项目建成后形成年产1000台200马力舷外机生产能力，预计实现销售收入10000万元，利税50万元 </w:t>
            </w: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 w:bidi="ar"/>
              </w:rPr>
              <w:t>杭州海的动力机械股份有限公司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中船重工海洋信息装备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产业化项目二期（A区）</w:t>
            </w:r>
          </w:p>
        </w:tc>
        <w:tc>
          <w:tcPr>
            <w:tcW w:w="3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 w:bidi="ar"/>
              </w:rPr>
              <w:t xml:space="preserve">A区建设1幢综合研发楼（含附楼）、地下室和门房等配套设施，建筑面积约13.36万平方米，其中地上建筑积约7.99万平方米，地下建筑面积5.37万平方米，建设用约64亩 </w:t>
            </w: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 w:bidi="ar"/>
              </w:rPr>
              <w:t>中国船舶重工集团公司第七一五研究所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E2319"/>
    <w:rsid w:val="7FCE2319"/>
    <w:rsid w:val="FFE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next w:val="3"/>
    <w:qFormat/>
    <w:uiPriority w:val="0"/>
    <w:pPr>
      <w:widowControl w:val="0"/>
      <w:ind w:firstLine="420"/>
      <w:jc w:val="both"/>
    </w:pPr>
    <w:rPr>
      <w:rFonts w:hint="default"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3">
    <w:name w:val="index 5"/>
    <w:next w:val="1"/>
    <w:qFormat/>
    <w:uiPriority w:val="0"/>
    <w:pPr>
      <w:widowControl w:val="0"/>
      <w:ind w:left="1680"/>
      <w:jc w:val="both"/>
    </w:pPr>
    <w:rPr>
      <w:rFonts w:hint="default" w:ascii="黑体" w:hAnsi="Calibri" w:eastAsia="黑体" w:cs="Arial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2025-03-12T11:40:00Z</dcterms:created>
  <dc:creator>sjt</dc:creator>
  <cp:lastModifiedBy>sjt</cp:lastModifiedBy>
  <dcterms:modified xsi:type="dcterms:W3CDTF">2025-03-12T11:44:12Z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