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92" w:rightChars="-44"/>
        <w:jc w:val="center"/>
        <w:rPr>
          <w:rFonts w:hint="eastAsia" w:ascii="方正小标宋简体" w:hAnsi="方正小标宋简体" w:eastAsia="方正小标宋简体" w:cs="方正小标宋简体"/>
          <w:b w:val="0"/>
          <w:bCs w:val="0"/>
          <w:color w:val="000000"/>
          <w:sz w:val="32"/>
          <w:szCs w:val="32"/>
        </w:rPr>
      </w:pPr>
      <w:bookmarkStart w:id="14" w:name="_GoBack"/>
      <w:r>
        <w:rPr>
          <w:rFonts w:hint="eastAsia" w:ascii="方正小标宋简体" w:hAnsi="方正小标宋简体" w:eastAsia="方正小标宋简体" w:cs="方正小标宋简体"/>
          <w:b w:val="0"/>
          <w:bCs w:val="0"/>
          <w:color w:val="000000"/>
          <w:sz w:val="44"/>
          <w:szCs w:val="44"/>
        </w:rPr>
        <w:t>海南自由贸易港促进民营经济发展若干规定</w:t>
      </w:r>
      <w:r>
        <w:rPr>
          <w:rFonts w:hint="eastAsia" w:ascii="方正小标宋简体" w:hAnsi="方正小标宋简体" w:eastAsia="方正小标宋简体" w:cs="方正小标宋简体"/>
          <w:b w:val="0"/>
          <w:bCs w:val="0"/>
          <w:color w:val="000000"/>
          <w:sz w:val="32"/>
          <w:szCs w:val="32"/>
        </w:rPr>
        <w:t>（</w:t>
      </w:r>
      <w:r>
        <w:rPr>
          <w:rFonts w:hint="eastAsia" w:ascii="方正小标宋简体" w:hAnsi="方正小标宋简体" w:eastAsia="方正小标宋简体" w:cs="方正小标宋简体"/>
          <w:b w:val="0"/>
          <w:bCs w:val="0"/>
          <w:color w:val="000000"/>
          <w:sz w:val="32"/>
          <w:szCs w:val="32"/>
          <w:lang w:eastAsia="zh-CN"/>
        </w:rPr>
        <w:t>征求意见稿</w:t>
      </w:r>
      <w:r>
        <w:rPr>
          <w:rFonts w:hint="eastAsia" w:ascii="方正小标宋简体" w:hAnsi="方正小标宋简体" w:eastAsia="方正小标宋简体" w:cs="方正小标宋简体"/>
          <w:b w:val="0"/>
          <w:bCs w:val="0"/>
          <w:color w:val="000000"/>
          <w:sz w:val="32"/>
          <w:szCs w:val="32"/>
        </w:rPr>
        <w:t>）</w:t>
      </w:r>
    </w:p>
    <w:bookmarkEnd w:id="14"/>
    <w:p>
      <w:pPr>
        <w:widowControl/>
        <w:spacing w:line="560" w:lineRule="exact"/>
        <w:jc w:val="center"/>
        <w:textAlignment w:val="center"/>
        <w:rPr>
          <w:rFonts w:hint="eastAsia" w:ascii="CESI仿宋-GB2312" w:hAnsi="CESI仿宋-GB2312" w:eastAsia="CESI仿宋-GB2312" w:cs="CESI仿宋-GB2312"/>
          <w:sz w:val="44"/>
          <w:szCs w:val="44"/>
        </w:rPr>
      </w:pPr>
    </w:p>
    <w:p>
      <w:pPr>
        <w:adjustRightInd w:val="0"/>
        <w:snapToGrid w:val="0"/>
        <w:spacing w:line="56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 xml:space="preserve">第一条  </w:t>
      </w:r>
      <w:r>
        <w:rPr>
          <w:rFonts w:hint="eastAsia" w:ascii="仿宋" w:hAnsi="仿宋" w:eastAsia="仿宋" w:cs="仿宋"/>
          <w:sz w:val="32"/>
          <w:szCs w:val="32"/>
        </w:rPr>
        <w:t>为了优化民营经济发展环境，保证各类经济组织公平参与市场竞争，激发民营经济活力和创造力，促进民营经济高质量发展，根据有关法律、行政法规规定，结合海南自由贸易港实际，制定本规定。</w:t>
      </w:r>
    </w:p>
    <w:p>
      <w:pPr>
        <w:adjustRightInd w:val="0"/>
        <w:snapToGrid w:val="0"/>
        <w:spacing w:line="56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 xml:space="preserve">第二条  </w:t>
      </w:r>
      <w:r>
        <w:rPr>
          <w:rFonts w:hint="eastAsia" w:ascii="仿宋" w:hAnsi="仿宋" w:eastAsia="仿宋" w:cs="仿宋"/>
          <w:sz w:val="32"/>
          <w:szCs w:val="32"/>
        </w:rPr>
        <w:t>促进民营经济持续、健康、高质量发展，应当遵循鼓励、支持、引导的基本方向，坚持平等对待、公平竞争、同等保护、共同发展的原则，实现民营经济组织与其他各类经济组织权利平等、机会平等、规则平等。</w:t>
      </w:r>
    </w:p>
    <w:p>
      <w:pPr>
        <w:adjustRightInd w:val="0"/>
        <w:snapToGrid w:val="0"/>
        <w:spacing w:line="56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 xml:space="preserve">第三条  </w:t>
      </w:r>
      <w:r>
        <w:rPr>
          <w:rFonts w:hint="eastAsia" w:ascii="仿宋" w:hAnsi="仿宋" w:eastAsia="仿宋" w:cs="仿宋"/>
          <w:sz w:val="32"/>
          <w:szCs w:val="32"/>
        </w:rPr>
        <w:t>县级以上人民政府应当将促进民营经济发展工作纳入本级国民经济和社会发展规划，将促进民营经济发展情况作为县级以上人民政府及其有关部门领导班子及领导干部履职尽责管理的重要内容。建立促进民营经济发展工作协调和沟通机制，制定激励引导民营经济发展的政策措施，完善服务保障体系，协调解决民营经济发展中的重大问题。</w:t>
      </w:r>
    </w:p>
    <w:p>
      <w:pPr>
        <w:adjustRightInd w:val="0"/>
        <w:snapToGrid w:val="0"/>
        <w:spacing w:line="56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 xml:space="preserve">第四条  </w:t>
      </w:r>
      <w:r>
        <w:rPr>
          <w:rFonts w:hint="eastAsia" w:ascii="仿宋" w:hAnsi="仿宋" w:eastAsia="仿宋" w:cs="仿宋"/>
          <w:sz w:val="32"/>
          <w:szCs w:val="32"/>
        </w:rPr>
        <w:t>县级以上人民政府发展改革部门负责组织实施民营经济发展促进政策，综合协调民营经济发展促进工作。</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县级以上人民政府营商环境建设部门应当牵头相关部门负责做好对民营经济组织的服务指导，推进惠企政策落实，协调解决涉及民营经济组织的跨部门跨领域跨系统审批和其他事项。</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县级以上人民政府统计部门应当加强民营经济统计监测和核算，会同发展改革等部门、行业协会商会，建立健全民营经济分析制度，准确反映民营经济的发展情况。</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县级以上人民政府其他有关部门以及税务、海关、金融管理等机构，应当按照各自职责，做好促进民营经济发展的相关工作。</w:t>
      </w:r>
    </w:p>
    <w:p>
      <w:pPr>
        <w:adjustRightInd w:val="0"/>
        <w:snapToGrid w:val="0"/>
        <w:spacing w:line="560" w:lineRule="exact"/>
        <w:ind w:firstLine="640" w:firstLineChars="200"/>
        <w:rPr>
          <w:rFonts w:hint="eastAsia" w:ascii="仿宋" w:hAnsi="仿宋" w:eastAsia="仿宋" w:cs="仿宋"/>
          <w:sz w:val="32"/>
          <w:szCs w:val="32"/>
        </w:rPr>
      </w:pPr>
      <w:r>
        <w:rPr>
          <w:rFonts w:ascii="仿宋" w:hAnsi="仿宋" w:eastAsia="仿宋" w:cs="仿宋"/>
          <w:sz w:val="32"/>
          <w:szCs w:val="32"/>
        </w:rPr>
        <w:t>乡镇人民政府、街道办事处应当落实上级人民政府促进民营经济发展方面的制度和政策，提升综合执法和政务服务能力水平，加强对民营经济组织的日常服务和管理。</w:t>
      </w:r>
    </w:p>
    <w:p>
      <w:pPr>
        <w:adjustRightInd w:val="0"/>
        <w:snapToGrid w:val="0"/>
        <w:spacing w:line="56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各级</w:t>
      </w:r>
      <w:r>
        <w:rPr>
          <w:rFonts w:hint="eastAsia" w:ascii="仿宋" w:hAnsi="仿宋" w:eastAsia="仿宋" w:cs="仿宋"/>
          <w:sz w:val="32"/>
          <w:szCs w:val="32"/>
        </w:rPr>
        <w:t>工商业联合会应当依照法律、法规和章程规定，发挥政府和民营经济组织间桥梁纽带作用，协助政府开展管理、服务和指导工作，促进民营经济健康发展和民营经济人士健康成长。</w:t>
      </w:r>
    </w:p>
    <w:p>
      <w:pPr>
        <w:adjustRightInd w:val="0"/>
        <w:snapToGrid w:val="0"/>
        <w:spacing w:line="56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rPr>
        <w:t>行业协会、商会等社会组织应当加强行业自律，引导民营经济组织依法开展生产经营活动，反映民营经济组织合理诉求，依法化解纠纷、调解争议，帮助和服务民营经济组织创新创业、开拓市场。</w:t>
      </w:r>
    </w:p>
    <w:p>
      <w:pPr>
        <w:adjustRightInd w:val="0"/>
        <w:snapToGrid w:val="0"/>
        <w:spacing w:line="56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 xml:space="preserve">第六条  </w:t>
      </w:r>
      <w:r>
        <w:rPr>
          <w:rFonts w:hint="eastAsia" w:ascii="仿宋" w:hAnsi="仿宋" w:eastAsia="仿宋" w:cs="仿宋"/>
          <w:sz w:val="32"/>
          <w:szCs w:val="32"/>
        </w:rPr>
        <w:t>县级以上人民政府应当建立畅通有效的政企沟通机制，完善投诉举报保密制度、处理程序和转办整改跟踪、督办考核机制，依托</w:t>
      </w:r>
      <w:r>
        <w:rPr>
          <w:rFonts w:hint="eastAsia" w:ascii="仿宋" w:hAnsi="仿宋" w:eastAsia="仿宋" w:cs="仿宋"/>
          <w:sz w:val="32"/>
          <w:szCs w:val="32"/>
          <w:lang w:eastAsia="zh-CN"/>
        </w:rPr>
        <w:t>国家</w:t>
      </w:r>
      <w:r>
        <w:rPr>
          <w:rFonts w:hint="eastAsia" w:ascii="仿宋" w:hAnsi="仿宋" w:eastAsia="仿宋" w:cs="仿宋"/>
          <w:sz w:val="32"/>
          <w:szCs w:val="32"/>
        </w:rPr>
        <w:t>民营经济发展综合服务平台、海南政务服务网、12345热线、营商环境问题受理平台等渠道，及时受理政务咨询、投诉举报，快速响应、高效办理。</w:t>
      </w:r>
    </w:p>
    <w:p>
      <w:pPr>
        <w:spacing w:line="56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rPr>
        <w:t>民营经济组织诉求事项有明确的主管部门的，由相应主管部门办理；诉求事项没有明确的主管部门或者涉及多个部门的，由县级以上人民政府指定相关部门办理或者牵头办理。诉求事项的办理结果应当依法及时向民营经济组织反馈。办理情况按照有关规定督促检查和考核。</w:t>
      </w:r>
    </w:p>
    <w:p>
      <w:pPr>
        <w:adjustRightInd w:val="0"/>
        <w:snapToGrid w:val="0"/>
        <w:spacing w:line="56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 xml:space="preserve">第七条  </w:t>
      </w:r>
      <w:r>
        <w:rPr>
          <w:rFonts w:hint="eastAsia" w:ascii="仿宋" w:hAnsi="仿宋" w:eastAsia="仿宋" w:cs="仿宋"/>
          <w:sz w:val="32"/>
          <w:szCs w:val="32"/>
        </w:rPr>
        <w:t>县级以上人民政府应当弘扬优秀企业家精神，建立健全民营经济发展促进激励机制，支持民营经济组织更好履行社会责任。对做出突出贡献的民营经济组织及其经营者按照有关规定进行表彰，营造关心、支持、促进民营经济健康发展的良好社会氛围。</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各级人民政府及其有关部门应当加强对民营经济组织及其经营者创新创造等先进事迹的宣传报道，</w:t>
      </w:r>
      <w:r>
        <w:rPr>
          <w:rFonts w:ascii="仿宋" w:hAnsi="仿宋" w:eastAsia="仿宋" w:cs="仿宋"/>
          <w:sz w:val="32"/>
          <w:szCs w:val="32"/>
        </w:rPr>
        <w:t>增强民营企业家的荣誉感和社会价值感，培育尊重民营经济创新创业的舆论环境。</w:t>
      </w:r>
    </w:p>
    <w:p>
      <w:pPr>
        <w:adjustRightInd w:val="0"/>
        <w:snapToGrid w:val="0"/>
        <w:spacing w:line="56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未列入市场准入负面清单的领域，民营经济组织均可以依法平等进入。任何单位和个人不得因所有制形式不同，设置或者变相设置差别化市场准入条件以及不利于民营经济组织的歧视性条件。</w:t>
      </w:r>
    </w:p>
    <w:p>
      <w:pPr>
        <w:adjustRightInd w:val="0"/>
        <w:snapToGrid w:val="0"/>
        <w:spacing w:line="56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 xml:space="preserve">第九条  </w:t>
      </w:r>
      <w:r>
        <w:rPr>
          <w:rFonts w:hint="eastAsia" w:ascii="仿宋" w:hAnsi="仿宋" w:eastAsia="仿宋" w:cs="仿宋"/>
          <w:sz w:val="32"/>
          <w:szCs w:val="32"/>
        </w:rPr>
        <w:t>各级人民政府应当</w:t>
      </w:r>
      <w:r>
        <w:rPr>
          <w:rFonts w:ascii="仿宋" w:hAnsi="仿宋" w:eastAsia="仿宋" w:cs="仿宋"/>
          <w:sz w:val="32"/>
          <w:szCs w:val="32"/>
        </w:rPr>
        <w:t>积极</w:t>
      </w:r>
      <w:r>
        <w:rPr>
          <w:rFonts w:hint="eastAsia" w:ascii="仿宋" w:hAnsi="仿宋" w:eastAsia="仿宋" w:cs="仿宋"/>
          <w:sz w:val="32"/>
          <w:szCs w:val="32"/>
        </w:rPr>
        <w:t>推进全国统一大市场建设，坚决破除地方保护主义，及时清理与</w:t>
      </w:r>
      <w:r>
        <w:rPr>
          <w:rFonts w:ascii="仿宋" w:hAnsi="仿宋" w:eastAsia="仿宋" w:cs="仿宋"/>
          <w:sz w:val="32"/>
          <w:szCs w:val="32"/>
        </w:rPr>
        <w:t>企业</w:t>
      </w:r>
      <w:r>
        <w:rPr>
          <w:rFonts w:hint="eastAsia" w:ascii="仿宋" w:hAnsi="仿宋" w:eastAsia="仿宋" w:cs="仿宋"/>
          <w:sz w:val="32"/>
          <w:szCs w:val="32"/>
        </w:rPr>
        <w:t>性质挂钩的行业准入、资质标准、产业补贴等规定和做法，坚决防止和纠正排除、限制民营经济组织参与公平竞争的行为。</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行政机关在招投标和政府采购领域应当公开透明、公平公正、依法平等对待包括民营经济组织在内的各类经济组织。除法律另有规定外，</w:t>
      </w:r>
      <w:r>
        <w:rPr>
          <w:rFonts w:hint="eastAsia" w:ascii="仿宋" w:hAnsi="仿宋" w:eastAsia="仿宋" w:cs="仿宋"/>
          <w:sz w:val="32"/>
          <w:szCs w:val="32"/>
          <w:lang w:eastAsia="zh-CN"/>
        </w:rPr>
        <w:t>在</w:t>
      </w:r>
      <w:r>
        <w:rPr>
          <w:rFonts w:hint="eastAsia" w:ascii="仿宋" w:hAnsi="仿宋" w:eastAsia="仿宋" w:cs="仿宋"/>
          <w:sz w:val="32"/>
          <w:szCs w:val="32"/>
        </w:rPr>
        <w:t>招标投标、政府采购等公共资源交易中，不得违法设置限制或者排斥民营经济组织的条件，不得设置与业务能力无关的</w:t>
      </w:r>
      <w:r>
        <w:rPr>
          <w:rFonts w:ascii="仿宋" w:hAnsi="仿宋" w:eastAsia="仿宋" w:cs="仿宋"/>
          <w:sz w:val="32"/>
          <w:szCs w:val="32"/>
        </w:rPr>
        <w:t>企业</w:t>
      </w:r>
      <w:r>
        <w:rPr>
          <w:rFonts w:hint="eastAsia" w:ascii="仿宋" w:hAnsi="仿宋" w:eastAsia="仿宋" w:cs="仿宋"/>
          <w:sz w:val="32"/>
          <w:szCs w:val="32"/>
        </w:rPr>
        <w:t>规模门槛和明显超过招标项目要求的业绩门槛等。</w:t>
      </w:r>
    </w:p>
    <w:p>
      <w:pPr>
        <w:spacing w:line="560" w:lineRule="exact"/>
        <w:ind w:firstLine="642" w:firstLineChars="200"/>
        <w:rPr>
          <w:rFonts w:hint="eastAsia" w:ascii="仿宋" w:hAnsi="仿宋" w:eastAsia="仿宋" w:cs="仿宋"/>
          <w:sz w:val="32"/>
          <w:szCs w:val="32"/>
          <w:highlight w:val="yellow"/>
        </w:rPr>
      </w:pPr>
      <w:r>
        <w:rPr>
          <w:rFonts w:hint="eastAsia" w:ascii="仿宋" w:hAnsi="仿宋" w:eastAsia="仿宋" w:cs="仿宋"/>
          <w:b/>
          <w:bCs/>
          <w:sz w:val="32"/>
          <w:szCs w:val="32"/>
        </w:rPr>
        <w:t>第十条</w:t>
      </w:r>
      <w:r>
        <w:rPr>
          <w:rFonts w:hint="eastAsia" w:ascii="仿宋" w:hAnsi="仿宋" w:eastAsia="仿宋" w:cs="仿宋"/>
          <w:sz w:val="32"/>
          <w:szCs w:val="32"/>
        </w:rPr>
        <w:t xml:space="preserve">  支持和引导民营经济组织在法律法规和政策允许的范围内平等参与旅游业、现代服务业、高新技术产业、热带特色高效农业等产业的重点项目建设。</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行政机关、事业单位、国有企业与民营经济组织在上述项目开展合作的，应当在具体合作项目实施方案中，明确项目基本情况、风险分担机制等事项，不得对民营经济组织设置不平等的条件。</w:t>
      </w:r>
    </w:p>
    <w:p>
      <w:pPr>
        <w:spacing w:line="56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鼓励和支持民营资本依法参与海南自由贸易港国有企业混合所有制改革，除国家明确规定应当由国有资本控股的领域外，民营资本可以控股。</w:t>
      </w:r>
    </w:p>
    <w:p>
      <w:pPr>
        <w:adjustRightInd w:val="0"/>
        <w:snapToGrid w:val="0"/>
        <w:spacing w:line="56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依法保障民营经济组织平等享受所得税优惠、“零关税”清单、加工增值货物内销免征关税、鼓励类产业目录等海南自由贸易港核心政策。</w:t>
      </w:r>
    </w:p>
    <w:p>
      <w:pPr>
        <w:adjustRightInd w:val="0"/>
        <w:snapToGrid w:val="0"/>
        <w:spacing w:line="560" w:lineRule="exact"/>
        <w:ind w:firstLine="642" w:firstLineChars="200"/>
        <w:rPr>
          <w:rFonts w:hint="eastAsia" w:ascii="仿宋" w:hAnsi="仿宋" w:eastAsia="仿宋" w:cs="仿宋"/>
          <w:sz w:val="32"/>
          <w:szCs w:val="32"/>
        </w:rPr>
      </w:pPr>
      <w:bookmarkStart w:id="0" w:name="_Hlk140339157"/>
      <w:r>
        <w:rPr>
          <w:rFonts w:hint="eastAsia" w:ascii="仿宋" w:hAnsi="仿宋" w:eastAsia="仿宋" w:cs="仿宋"/>
          <w:b/>
          <w:bCs/>
          <w:sz w:val="32"/>
          <w:szCs w:val="32"/>
        </w:rPr>
        <w:t>第十三条</w:t>
      </w:r>
      <w:r>
        <w:rPr>
          <w:rFonts w:hint="eastAsia" w:ascii="仿宋" w:hAnsi="仿宋" w:eastAsia="仿宋" w:cs="仿宋"/>
          <w:sz w:val="32"/>
          <w:szCs w:val="32"/>
        </w:rPr>
        <w:t xml:space="preserve">  支持和鼓励民营经济组织在法律法规和政策允许的范围内参与海南自由贸易港放宽市场准入特别措施领域的项目建设，参与电力、电信、铁路、石油、天然气等领域竞争性业务经营。支持民营经济组织以独资、合作、联营、参股、特许经营等形式，参与海南自由贸易港基础设施领域建设。</w:t>
      </w:r>
      <w:bookmarkEnd w:id="0"/>
    </w:p>
    <w:p>
      <w:pPr>
        <w:adjustRightInd w:val="0"/>
        <w:snapToGrid w:val="0"/>
        <w:spacing w:line="56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 xml:space="preserve">第十四条  </w:t>
      </w:r>
      <w:r>
        <w:rPr>
          <w:rFonts w:hint="eastAsia" w:ascii="仿宋" w:hAnsi="仿宋" w:eastAsia="仿宋" w:cs="仿宋"/>
          <w:sz w:val="32"/>
          <w:szCs w:val="32"/>
        </w:rPr>
        <w:t>行政机关实施下列行为，不得因所有制形式不同设置不平等标准或者条件：</w:t>
      </w:r>
    </w:p>
    <w:p>
      <w:pPr>
        <w:adjustRightInd w:val="0"/>
        <w:snapToGrid w:val="0"/>
        <w:spacing w:line="560" w:lineRule="exact"/>
        <w:ind w:firstLine="640" w:firstLineChars="200"/>
        <w:rPr>
          <w:rFonts w:hint="eastAsia" w:ascii="仿宋" w:hAnsi="仿宋" w:eastAsia="仿宋" w:cs="仿宋"/>
          <w:sz w:val="32"/>
          <w:szCs w:val="32"/>
        </w:rPr>
      </w:pPr>
      <w:bookmarkStart w:id="1" w:name="tiao_14_kuan_1_xiang_1"/>
      <w:bookmarkEnd w:id="1"/>
      <w:r>
        <w:rPr>
          <w:rFonts w:hint="eastAsia" w:ascii="仿宋" w:hAnsi="仿宋" w:eastAsia="仿宋" w:cs="仿宋"/>
          <w:sz w:val="32"/>
          <w:szCs w:val="32"/>
        </w:rPr>
        <w:t>（一）制定、实施各类规划和政策；</w:t>
      </w:r>
      <w:bookmarkStart w:id="2" w:name="tiao14_kuan1_xiang1"/>
      <w:bookmarkEnd w:id="2"/>
    </w:p>
    <w:p>
      <w:pPr>
        <w:adjustRightInd w:val="0"/>
        <w:snapToGrid w:val="0"/>
        <w:spacing w:line="560" w:lineRule="exact"/>
        <w:ind w:firstLine="640" w:firstLineChars="200"/>
        <w:rPr>
          <w:rFonts w:hint="eastAsia" w:ascii="仿宋" w:hAnsi="仿宋" w:eastAsia="仿宋" w:cs="仿宋"/>
          <w:sz w:val="32"/>
          <w:szCs w:val="32"/>
        </w:rPr>
      </w:pPr>
      <w:bookmarkStart w:id="3" w:name="tiao_14_kuan_1_xiang_2"/>
      <w:bookmarkEnd w:id="3"/>
      <w:r>
        <w:rPr>
          <w:rFonts w:hint="eastAsia" w:ascii="仿宋" w:hAnsi="仿宋" w:eastAsia="仿宋" w:cs="仿宋"/>
          <w:sz w:val="32"/>
          <w:szCs w:val="32"/>
        </w:rPr>
        <w:t>（二）土地供应；</w:t>
      </w:r>
      <w:bookmarkStart w:id="4" w:name="tiao14_kuan1_xiang2"/>
      <w:bookmarkEnd w:id="4"/>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（三）资金扶持；</w:t>
      </w:r>
    </w:p>
    <w:p>
      <w:pPr>
        <w:adjustRightInd w:val="0"/>
        <w:snapToGrid w:val="0"/>
        <w:spacing w:line="560" w:lineRule="exact"/>
        <w:ind w:firstLine="640" w:firstLineChars="200"/>
        <w:rPr>
          <w:rFonts w:hint="eastAsia" w:ascii="仿宋" w:hAnsi="仿宋" w:eastAsia="仿宋" w:cs="仿宋"/>
          <w:sz w:val="32"/>
          <w:szCs w:val="32"/>
        </w:rPr>
      </w:pPr>
      <w:bookmarkStart w:id="5" w:name="tiao_14_kuan_1_xiang_3"/>
      <w:bookmarkEnd w:id="5"/>
      <w:r>
        <w:rPr>
          <w:rFonts w:hint="eastAsia" w:ascii="仿宋" w:hAnsi="仿宋" w:eastAsia="仿宋" w:cs="仿宋"/>
          <w:sz w:val="32"/>
          <w:szCs w:val="32"/>
        </w:rPr>
        <w:t>（四）分配能耗指标；</w:t>
      </w:r>
      <w:bookmarkStart w:id="6" w:name="tiao14_kuan1_xiang3"/>
      <w:bookmarkEnd w:id="6"/>
    </w:p>
    <w:p>
      <w:pPr>
        <w:adjustRightInd w:val="0"/>
        <w:snapToGrid w:val="0"/>
        <w:spacing w:line="560" w:lineRule="exact"/>
        <w:ind w:firstLine="640" w:firstLineChars="200"/>
        <w:rPr>
          <w:rFonts w:hint="eastAsia" w:ascii="仿宋" w:hAnsi="仿宋" w:eastAsia="仿宋" w:cs="仿宋"/>
          <w:sz w:val="32"/>
          <w:szCs w:val="32"/>
        </w:rPr>
      </w:pPr>
      <w:bookmarkStart w:id="7" w:name="tiao_14_kuan_1_xiang_4"/>
      <w:bookmarkEnd w:id="7"/>
      <w:r>
        <w:rPr>
          <w:rFonts w:hint="eastAsia" w:ascii="仿宋" w:hAnsi="仿宋" w:eastAsia="仿宋" w:cs="仿宋"/>
          <w:sz w:val="32"/>
          <w:szCs w:val="32"/>
        </w:rPr>
        <w:t>（五）制定、实施污染物排放标准；</w:t>
      </w:r>
      <w:bookmarkStart w:id="8" w:name="tiao14_kuan1_xiang4"/>
      <w:bookmarkEnd w:id="8"/>
    </w:p>
    <w:p>
      <w:pPr>
        <w:adjustRightInd w:val="0"/>
        <w:snapToGrid w:val="0"/>
        <w:spacing w:line="560" w:lineRule="exact"/>
        <w:ind w:firstLine="640" w:firstLineChars="200"/>
        <w:rPr>
          <w:rFonts w:hint="eastAsia" w:ascii="仿宋" w:hAnsi="仿宋" w:eastAsia="仿宋" w:cs="仿宋"/>
          <w:sz w:val="32"/>
          <w:szCs w:val="32"/>
        </w:rPr>
      </w:pPr>
      <w:bookmarkStart w:id="9" w:name="tiao_14_kuan_1_xiang_5"/>
      <w:bookmarkEnd w:id="9"/>
      <w:r>
        <w:rPr>
          <w:rFonts w:hint="eastAsia" w:ascii="仿宋" w:hAnsi="仿宋" w:eastAsia="仿宋" w:cs="仿宋"/>
          <w:sz w:val="32"/>
          <w:szCs w:val="32"/>
        </w:rPr>
        <w:t>（六）制定、分配主要污染物排污权指标；</w:t>
      </w:r>
      <w:bookmarkStart w:id="10" w:name="tiao14_kuan1_xiang5"/>
      <w:bookmarkEnd w:id="10"/>
    </w:p>
    <w:p>
      <w:pPr>
        <w:adjustRightInd w:val="0"/>
        <w:snapToGrid w:val="0"/>
        <w:spacing w:line="560" w:lineRule="exact"/>
        <w:ind w:firstLine="640" w:firstLineChars="200"/>
        <w:rPr>
          <w:rFonts w:hint="eastAsia" w:ascii="仿宋" w:hAnsi="仿宋" w:eastAsia="仿宋" w:cs="仿宋"/>
          <w:sz w:val="32"/>
          <w:szCs w:val="32"/>
        </w:rPr>
      </w:pPr>
      <w:bookmarkStart w:id="11" w:name="tiao_14_kuan_1_xiang_6"/>
      <w:bookmarkEnd w:id="11"/>
      <w:r>
        <w:rPr>
          <w:rFonts w:hint="eastAsia" w:ascii="仿宋" w:hAnsi="仿宋" w:eastAsia="仿宋" w:cs="仿宋"/>
          <w:sz w:val="32"/>
          <w:szCs w:val="32"/>
        </w:rPr>
        <w:t>（七）实施公共数据开放；</w:t>
      </w:r>
      <w:bookmarkStart w:id="12" w:name="tiao14_kuan1_xiang6"/>
      <w:bookmarkEnd w:id="12"/>
    </w:p>
    <w:p>
      <w:pPr>
        <w:adjustRightInd w:val="0"/>
        <w:snapToGrid w:val="0"/>
        <w:spacing w:line="560" w:lineRule="exact"/>
        <w:ind w:firstLine="640" w:firstLineChars="200"/>
        <w:rPr>
          <w:rFonts w:hint="eastAsia" w:ascii="仿宋" w:hAnsi="仿宋" w:eastAsia="仿宋" w:cs="仿宋"/>
          <w:sz w:val="32"/>
          <w:szCs w:val="32"/>
        </w:rPr>
      </w:pPr>
      <w:bookmarkStart w:id="13" w:name="tiao_14_kuan_1_xiang_7"/>
      <w:bookmarkEnd w:id="13"/>
      <w:r>
        <w:rPr>
          <w:rFonts w:hint="eastAsia" w:ascii="仿宋" w:hAnsi="仿宋" w:eastAsia="仿宋" w:cs="仿宋"/>
          <w:sz w:val="32"/>
          <w:szCs w:val="32"/>
        </w:rPr>
        <w:t>（八）其他资源要素配置和行政管理行为。</w:t>
      </w:r>
    </w:p>
    <w:p>
      <w:pPr>
        <w:adjustRightInd w:val="0"/>
        <w:snapToGrid w:val="0"/>
        <w:spacing w:line="56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民营小微企业发展为规模以上企业、限额以上企业的，县级以上人民政府及其有关部门应当按规定给予过渡期间登记、税费、融资、统计等方面的便利和支持。</w:t>
      </w:r>
    </w:p>
    <w:p>
      <w:pPr>
        <w:adjustRightInd w:val="0"/>
        <w:snapToGrid w:val="0"/>
        <w:spacing w:line="56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 xml:space="preserve">第十六条  </w:t>
      </w:r>
      <w:r>
        <w:rPr>
          <w:rFonts w:hint="eastAsia" w:ascii="仿宋" w:hAnsi="仿宋" w:eastAsia="仿宋" w:cs="仿宋"/>
          <w:sz w:val="32"/>
          <w:szCs w:val="32"/>
        </w:rPr>
        <w:t>县级以上人民政府应当结合本行政区域实际情况，根据个体工商户的行业类型、经营规模、经营特点等，采取个性化、差异化措施，对个体工商户实施分型分类培育和精准帮扶，提升个体工商户发展质量。</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县级以上人民政府应当支持个体工商户以专业化分工、服务外包等方式融入各类</w:t>
      </w:r>
      <w:r>
        <w:rPr>
          <w:rFonts w:ascii="仿宋" w:hAnsi="仿宋" w:eastAsia="仿宋" w:cs="仿宋"/>
          <w:sz w:val="32"/>
          <w:szCs w:val="32"/>
        </w:rPr>
        <w:t>企业</w:t>
      </w:r>
      <w:r>
        <w:rPr>
          <w:rFonts w:hint="eastAsia" w:ascii="仿宋" w:hAnsi="仿宋" w:eastAsia="仿宋" w:cs="仿宋"/>
          <w:sz w:val="32"/>
          <w:szCs w:val="32"/>
        </w:rPr>
        <w:t>的产品生产、配套服务体系，共享生产和创新能力，实现与</w:t>
      </w:r>
      <w:r>
        <w:rPr>
          <w:rFonts w:ascii="仿宋" w:hAnsi="仿宋" w:eastAsia="仿宋" w:cs="仿宋"/>
          <w:sz w:val="32"/>
          <w:szCs w:val="32"/>
        </w:rPr>
        <w:t>企业</w:t>
      </w:r>
      <w:r>
        <w:rPr>
          <w:rFonts w:hint="eastAsia" w:ascii="仿宋" w:hAnsi="仿宋" w:eastAsia="仿宋" w:cs="仿宋"/>
          <w:sz w:val="32"/>
          <w:szCs w:val="32"/>
        </w:rPr>
        <w:t>基于产业链、供应链、资金链、创新链的融通发展。</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鼓励个体工商户参与新技术、新产业、新业态、新模式等经济形态。</w:t>
      </w:r>
    </w:p>
    <w:p>
      <w:pPr>
        <w:adjustRightInd w:val="0"/>
        <w:snapToGrid w:val="0"/>
        <w:spacing w:line="56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 </w:t>
      </w:r>
      <w:r>
        <w:rPr>
          <w:rFonts w:hint="eastAsia" w:ascii="仿宋" w:hAnsi="仿宋" w:eastAsia="仿宋" w:cs="仿宋"/>
          <w:sz w:val="32"/>
          <w:szCs w:val="32"/>
        </w:rPr>
        <w:t>行政机关制定涉及民营经济组织活动的政策措施，应当符合下列要求：</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（一）进行政策科学性、合理性以及协调性评估；</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（二）进行公平竞争审查；</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（三）召开听证会或者以其他形式充分听取相关民营经济组织和行业协会、商会等利害关系人意见；</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（四）设置合理过渡期，出台后确需立即执行的除外；</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（五）国家和省规定的其他要求。</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民营经济政策设置过渡期的，政策实施主管部门应当根据民营经济组织的要求，予以指导和帮助。</w:t>
      </w:r>
    </w:p>
    <w:p>
      <w:pPr>
        <w:adjustRightInd w:val="0"/>
        <w:snapToGrid w:val="0"/>
        <w:spacing w:line="56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县级以上人民政府及其有关部门应当完善政策智能匹配兑现、服务专员对接、智慧监管服务、信用审批修复等“一码通全岛”服务体系，为民营经济组织提供精准化、个性化服务。</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县级以上人民政府及其有关部门建立健全涉及民营经济政策跟踪落实制度，采取催办督办、组织协调、情况反馈等措施督促政策落实，必要时可以对政策落实情况开展第三方评估。</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民营经济政策制定机关应当定期评估政策执行情况以及实施效果，及时清理不符合民营经济发展需求的政策措施。</w:t>
      </w:r>
    </w:p>
    <w:p>
      <w:pPr>
        <w:adjustRightInd w:val="0"/>
        <w:snapToGrid w:val="0"/>
        <w:spacing w:line="560" w:lineRule="exact"/>
        <w:ind w:firstLine="642" w:firstLineChars="200"/>
        <w:rPr>
          <w:rFonts w:hint="eastAsia" w:ascii="仿宋" w:hAnsi="仿宋" w:eastAsia="仿宋" w:cs="仿宋"/>
          <w:color w:val="000000"/>
          <w:sz w:val="32"/>
          <w:szCs w:val="32"/>
        </w:rPr>
      </w:pPr>
      <w:r>
        <w:rPr>
          <w:rFonts w:hint="eastAsia" w:ascii="仿宋" w:hAnsi="仿宋" w:eastAsia="仿宋" w:cs="仿宋"/>
          <w:b/>
          <w:bCs/>
          <w:sz w:val="32"/>
          <w:szCs w:val="32"/>
        </w:rPr>
        <w:t xml:space="preserve">第十九条  </w:t>
      </w:r>
      <w:r>
        <w:rPr>
          <w:rFonts w:hint="eastAsia" w:ascii="仿宋" w:hAnsi="仿宋" w:eastAsia="仿宋" w:cs="仿宋"/>
          <w:sz w:val="32"/>
          <w:szCs w:val="32"/>
        </w:rPr>
        <w:t>县级以上人民政府及其有关部门应当为民营经济组织营造稳定、公平、透明、可预期的发展环境，及时向社会公开支持民营经济发展的政策措施及适用范围、标准、条件和申请程序等，</w:t>
      </w:r>
      <w:r>
        <w:rPr>
          <w:rFonts w:hint="eastAsia" w:ascii="仿宋" w:hAnsi="仿宋" w:eastAsia="仿宋" w:cs="仿宋"/>
          <w:color w:val="000000"/>
          <w:sz w:val="32"/>
          <w:szCs w:val="32"/>
        </w:rPr>
        <w:t>实现惠企政策高效发布、查询和兑付。</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各有关部门应当</w:t>
      </w:r>
      <w:r>
        <w:rPr>
          <w:rFonts w:hint="eastAsia" w:ascii="仿宋" w:hAnsi="仿宋" w:eastAsia="仿宋" w:cs="仿宋"/>
          <w:sz w:val="32"/>
          <w:szCs w:val="32"/>
        </w:rPr>
        <w:t>加强政策解读引导，为民营经济组织查询和享受有关政策提供便利条件。</w:t>
      </w:r>
    </w:p>
    <w:p>
      <w:pPr>
        <w:adjustRightInd w:val="0"/>
        <w:snapToGrid w:val="0"/>
        <w:spacing w:line="56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ascii="仿宋" w:hAnsi="仿宋" w:eastAsia="仿宋" w:cs="仿宋"/>
          <w:b/>
          <w:bCs/>
          <w:sz w:val="32"/>
          <w:szCs w:val="32"/>
        </w:rPr>
        <w:t>二十</w:t>
      </w:r>
      <w:r>
        <w:rPr>
          <w:rFonts w:hint="eastAsia" w:ascii="仿宋" w:hAnsi="仿宋" w:eastAsia="仿宋" w:cs="仿宋"/>
          <w:b/>
          <w:bCs/>
          <w:sz w:val="32"/>
          <w:szCs w:val="32"/>
        </w:rPr>
        <w:t>条</w:t>
      </w:r>
      <w:r>
        <w:rPr>
          <w:rFonts w:hint="eastAsia" w:ascii="仿宋" w:hAnsi="仿宋" w:eastAsia="仿宋" w:cs="仿宋"/>
          <w:sz w:val="32"/>
          <w:szCs w:val="32"/>
        </w:rPr>
        <w:t xml:space="preserve">  支持和引导民营经济组织开展对外贸易投资，加强与其他国家和地区交流合作，积极参与“一带一路”相关项目建设，依法开展境外贸易投资活动。</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省商务、发展改革、外事、司法行政、市场监督管理等主管部门以及国际贸易促进委员会等单位，应积极加强与税务、海关、金融管理、国家安全等机构在服务和监管方面的协作，</w:t>
      </w:r>
      <w:r>
        <w:rPr>
          <w:rFonts w:ascii="仿宋" w:hAnsi="仿宋" w:eastAsia="仿宋" w:cs="仿宋"/>
          <w:sz w:val="32"/>
          <w:szCs w:val="32"/>
        </w:rPr>
        <w:t>履行下列职责：</w:t>
      </w:r>
    </w:p>
    <w:p>
      <w:pPr>
        <w:adjustRightInd w:val="0"/>
        <w:snapToGrid w:val="0"/>
        <w:spacing w:line="560" w:lineRule="exact"/>
        <w:ind w:firstLine="640" w:firstLineChars="200"/>
        <w:rPr>
          <w:rFonts w:hint="eastAsia" w:ascii="仿宋" w:hAnsi="仿宋" w:eastAsia="仿宋" w:cs="仿宋"/>
          <w:sz w:val="32"/>
          <w:szCs w:val="32"/>
        </w:rPr>
      </w:pPr>
      <w:r>
        <w:rPr>
          <w:rFonts w:ascii="仿宋" w:hAnsi="仿宋" w:eastAsia="仿宋" w:cs="仿宋"/>
          <w:sz w:val="32"/>
          <w:szCs w:val="32"/>
        </w:rPr>
        <w:t>（一）搭建对外贸易投资</w:t>
      </w:r>
      <w:r>
        <w:rPr>
          <w:rFonts w:hint="eastAsia" w:ascii="仿宋" w:hAnsi="仿宋" w:eastAsia="仿宋" w:cs="仿宋"/>
          <w:sz w:val="32"/>
          <w:szCs w:val="32"/>
        </w:rPr>
        <w:t>服务</w:t>
      </w:r>
      <w:r>
        <w:rPr>
          <w:rFonts w:ascii="仿宋" w:hAnsi="仿宋" w:eastAsia="仿宋" w:cs="仿宋"/>
          <w:sz w:val="32"/>
          <w:szCs w:val="32"/>
        </w:rPr>
        <w:t>平台；</w:t>
      </w:r>
    </w:p>
    <w:p>
      <w:pPr>
        <w:adjustRightInd w:val="0"/>
        <w:snapToGrid w:val="0"/>
        <w:spacing w:line="560" w:lineRule="exact"/>
        <w:ind w:firstLine="640" w:firstLineChars="200"/>
        <w:rPr>
          <w:rFonts w:hint="eastAsia" w:ascii="仿宋" w:hAnsi="仿宋" w:eastAsia="仿宋" w:cs="仿宋"/>
          <w:sz w:val="32"/>
          <w:szCs w:val="32"/>
        </w:rPr>
      </w:pPr>
      <w:r>
        <w:rPr>
          <w:rFonts w:ascii="仿宋" w:hAnsi="仿宋" w:eastAsia="仿宋" w:cs="仿宋"/>
          <w:sz w:val="32"/>
          <w:szCs w:val="32"/>
        </w:rPr>
        <w:t>（二）提供主要出口、投资国家和地区相关政策法规以及国际惯例的信息服务；</w:t>
      </w:r>
    </w:p>
    <w:p>
      <w:pPr>
        <w:adjustRightInd w:val="0"/>
        <w:snapToGrid w:val="0"/>
        <w:spacing w:line="560" w:lineRule="exact"/>
        <w:ind w:firstLine="640" w:firstLineChars="200"/>
        <w:rPr>
          <w:rFonts w:hint="eastAsia" w:ascii="仿宋" w:hAnsi="仿宋" w:eastAsia="仿宋" w:cs="仿宋"/>
          <w:sz w:val="32"/>
          <w:szCs w:val="32"/>
        </w:rPr>
      </w:pPr>
      <w:r>
        <w:rPr>
          <w:rFonts w:ascii="仿宋" w:hAnsi="仿宋" w:eastAsia="仿宋" w:cs="仿宋"/>
          <w:sz w:val="32"/>
          <w:szCs w:val="32"/>
        </w:rPr>
        <w:t>（三）组织对外贸易、境外投资、贸易摩擦应对、知识产权保护、法律等方面的培训；</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（四）建立健全</w:t>
      </w:r>
      <w:r>
        <w:rPr>
          <w:rFonts w:ascii="仿宋" w:hAnsi="仿宋" w:eastAsia="仿宋" w:cs="仿宋"/>
          <w:sz w:val="32"/>
          <w:szCs w:val="32"/>
        </w:rPr>
        <w:t>有关国家和地区政治、经济、法律</w:t>
      </w:r>
      <w:r>
        <w:rPr>
          <w:rFonts w:hint="eastAsia" w:ascii="仿宋" w:hAnsi="仿宋" w:eastAsia="仿宋" w:cs="仿宋"/>
          <w:sz w:val="32"/>
          <w:szCs w:val="32"/>
        </w:rPr>
        <w:t>、</w:t>
      </w:r>
      <w:r>
        <w:rPr>
          <w:rFonts w:ascii="仿宋" w:hAnsi="仿宋" w:eastAsia="仿宋" w:cs="仿宋"/>
          <w:sz w:val="32"/>
          <w:szCs w:val="32"/>
        </w:rPr>
        <w:t>社会重大风险以及对外贸易预警</w:t>
      </w:r>
      <w:r>
        <w:rPr>
          <w:rFonts w:hint="eastAsia" w:ascii="仿宋" w:hAnsi="仿宋" w:eastAsia="仿宋" w:cs="仿宋"/>
          <w:sz w:val="32"/>
          <w:szCs w:val="32"/>
        </w:rPr>
        <w:t>机制</w:t>
      </w:r>
      <w:r>
        <w:rPr>
          <w:rFonts w:ascii="仿宋" w:hAnsi="仿宋" w:eastAsia="仿宋" w:cs="仿宋"/>
          <w:sz w:val="32"/>
          <w:szCs w:val="32"/>
        </w:rPr>
        <w:t>，</w:t>
      </w:r>
      <w:r>
        <w:rPr>
          <w:rFonts w:hint="eastAsia" w:ascii="仿宋" w:hAnsi="仿宋" w:eastAsia="仿宋" w:cs="仿宋"/>
          <w:sz w:val="32"/>
          <w:szCs w:val="32"/>
        </w:rPr>
        <w:t>监测进出口异动情况</w:t>
      </w:r>
      <w:r>
        <w:rPr>
          <w:rFonts w:ascii="仿宋" w:hAnsi="仿宋" w:eastAsia="仿宋" w:cs="仿宋"/>
          <w:sz w:val="32"/>
          <w:szCs w:val="32"/>
        </w:rPr>
        <w:t>，指导和服务民营经济组织运用救济措施保护</w:t>
      </w:r>
      <w:r>
        <w:rPr>
          <w:rFonts w:hint="eastAsia" w:ascii="仿宋" w:hAnsi="仿宋" w:eastAsia="仿宋" w:cs="仿宋"/>
          <w:sz w:val="32"/>
          <w:szCs w:val="32"/>
        </w:rPr>
        <w:t>贸易投资</w:t>
      </w:r>
      <w:r>
        <w:rPr>
          <w:rFonts w:ascii="仿宋" w:hAnsi="仿宋" w:eastAsia="仿宋" w:cs="仿宋"/>
          <w:sz w:val="32"/>
          <w:szCs w:val="32"/>
        </w:rPr>
        <w:t>安全</w:t>
      </w:r>
      <w:r>
        <w:rPr>
          <w:rFonts w:hint="eastAsia" w:ascii="仿宋" w:hAnsi="仿宋" w:eastAsia="仿宋" w:cs="仿宋"/>
          <w:sz w:val="32"/>
          <w:szCs w:val="32"/>
        </w:rPr>
        <w:t>；</w:t>
      </w:r>
    </w:p>
    <w:p>
      <w:pPr>
        <w:adjustRightInd w:val="0"/>
        <w:snapToGrid w:val="0"/>
        <w:spacing w:line="560" w:lineRule="exact"/>
        <w:ind w:firstLine="640" w:firstLineChars="200"/>
        <w:rPr>
          <w:rFonts w:hint="eastAsia"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五</w:t>
      </w:r>
      <w:r>
        <w:rPr>
          <w:rFonts w:ascii="仿宋" w:hAnsi="仿宋" w:eastAsia="仿宋" w:cs="仿宋"/>
          <w:sz w:val="32"/>
          <w:szCs w:val="32"/>
        </w:rPr>
        <w:t>）国家和省规定的其他职责。</w:t>
      </w:r>
    </w:p>
    <w:p>
      <w:pPr>
        <w:adjustRightInd w:val="0"/>
        <w:snapToGrid w:val="0"/>
        <w:spacing w:line="56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 xml:space="preserve">第二十一条  </w:t>
      </w:r>
      <w:r>
        <w:rPr>
          <w:rFonts w:hint="eastAsia" w:ascii="仿宋" w:hAnsi="仿宋" w:eastAsia="仿宋" w:cs="仿宋"/>
          <w:sz w:val="32"/>
          <w:szCs w:val="32"/>
        </w:rPr>
        <w:t>县级以上人民政府应当建立健全风险监测制度，完善民营经济组织相关数据采集、分析和预警体系，综合运用各类公共平台和业务系统对存在或可能存在的市场风险进行分析和评估，及时向相关民营经济组织发布预警信息，防范区域性、行业性、系统性市场风险。</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县级以上人民政府应当完善民营经济组织风险应对机制，对影响重大、无法自行处理风险的民营经济组织，采用市场化纾困、支持盘活存量资产等措施实施分类帮扶。</w:t>
      </w:r>
    </w:p>
    <w:p>
      <w:pPr>
        <w:widowControl/>
        <w:spacing w:line="560" w:lineRule="exact"/>
        <w:ind w:firstLine="642" w:firstLineChars="200"/>
        <w:textAlignment w:val="center"/>
        <w:rPr>
          <w:rFonts w:hint="eastAsia" w:ascii="仿宋" w:hAnsi="仿宋" w:eastAsia="仿宋" w:cs="仿宋"/>
          <w:sz w:val="32"/>
          <w:szCs w:val="32"/>
        </w:rPr>
      </w:pPr>
      <w:r>
        <w:rPr>
          <w:rFonts w:hint="eastAsia" w:ascii="仿宋" w:hAnsi="仿宋" w:eastAsia="仿宋" w:cs="仿宋"/>
          <w:b/>
          <w:bCs/>
          <w:sz w:val="32"/>
          <w:szCs w:val="32"/>
        </w:rPr>
        <w:t xml:space="preserve">第二十二条  </w:t>
      </w:r>
      <w:r>
        <w:rPr>
          <w:rFonts w:hint="eastAsia" w:ascii="仿宋" w:hAnsi="仿宋" w:eastAsia="仿宋" w:cs="仿宋"/>
          <w:sz w:val="32"/>
          <w:szCs w:val="32"/>
        </w:rPr>
        <w:t>县级以上人民政府应当根据国土空间规划做好民营经济组织发展用地选址工作。对符合相关规划和产业用地政策的项目，应当依法办理用地审批手续。依据产业类型、产业生命周期、投资状况等因素，可以采用长期租赁、弹性年期出让、租赁和出让结合、先租赁后出让等方式供地，并合理确定土地使用年限；对用地需求面积较大或者分期建设的项目，可以按照一次规划、分期供地的原则，预留建设用地。</w:t>
      </w:r>
    </w:p>
    <w:p>
      <w:pPr>
        <w:widowControl/>
        <w:spacing w:line="560" w:lineRule="exact"/>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符合条件的民营经济组织可以利用其存量工业用地，按照国家有关规定建设</w:t>
      </w:r>
      <w:r>
        <w:rPr>
          <w:rFonts w:ascii="仿宋" w:hAnsi="仿宋" w:eastAsia="仿宋" w:cs="仿宋"/>
          <w:sz w:val="32"/>
          <w:szCs w:val="32"/>
        </w:rPr>
        <w:t>企业</w:t>
      </w:r>
      <w:r>
        <w:rPr>
          <w:rFonts w:hint="eastAsia" w:ascii="仿宋" w:hAnsi="仿宋" w:eastAsia="仿宋" w:cs="仿宋"/>
          <w:sz w:val="32"/>
          <w:szCs w:val="32"/>
        </w:rPr>
        <w:t>人才公寓等办公生活配套设施。</w:t>
      </w:r>
    </w:p>
    <w:p>
      <w:pPr>
        <w:adjustRightInd w:val="0"/>
        <w:snapToGrid w:val="0"/>
        <w:spacing w:line="56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 xml:space="preserve">第二十三条  </w:t>
      </w:r>
      <w:r>
        <w:rPr>
          <w:rFonts w:hint="eastAsia" w:ascii="仿宋" w:hAnsi="仿宋" w:eastAsia="仿宋" w:cs="仿宋"/>
          <w:sz w:val="32"/>
          <w:szCs w:val="32"/>
        </w:rPr>
        <w:t>县级以上人民政府及其有关部门应当创新人才工作机制，保障民营经济组织引进、培养的人才按规定平等享受人才落户、医疗、住房、子女入学等政策。</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县级以上人民政府有关部门应当拓宽渠道，采取补贴、培训、实习、推送就业政策和岗位信息、举办校企招聘活动等措施，为民营经济组织提供人员招聘、人才引进、职工培训、素质测评、专业辅导等服务，引导高等学校毕业生到民营经济组织就业。</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鼓励科研机构、高等院校支持本单位的科技人员以兼职、挂职、参与项目合作等形式到民营经济组织从事产学研合作和科技成果转化活动。</w:t>
      </w:r>
    </w:p>
    <w:p>
      <w:pPr>
        <w:adjustRightInd w:val="0"/>
        <w:snapToGrid w:val="0"/>
        <w:spacing w:line="560" w:lineRule="exact"/>
        <w:ind w:firstLine="642" w:firstLineChars="200"/>
        <w:rPr>
          <w:rFonts w:hint="eastAsia" w:ascii="仿宋" w:hAnsi="仿宋" w:eastAsia="仿宋"/>
          <w:color w:val="000000"/>
          <w:sz w:val="32"/>
          <w:szCs w:val="32"/>
        </w:rPr>
      </w:pPr>
      <w:r>
        <w:rPr>
          <w:rFonts w:hint="eastAsia" w:ascii="仿宋" w:hAnsi="仿宋" w:eastAsia="仿宋"/>
          <w:b/>
          <w:bCs/>
          <w:color w:val="000000"/>
          <w:sz w:val="32"/>
          <w:szCs w:val="32"/>
        </w:rPr>
        <w:t>第二十四条</w:t>
      </w:r>
      <w:r>
        <w:rPr>
          <w:rFonts w:hint="eastAsia" w:ascii="仿宋" w:hAnsi="仿宋" w:eastAsia="仿宋"/>
          <w:color w:val="000000"/>
          <w:sz w:val="32"/>
          <w:szCs w:val="32"/>
        </w:rPr>
        <w:t xml:space="preserve">  县级以上人民政府及其有关部门应当加强对民营企业家和民营企业代表人士的培养，组织实施新时代民营企业家培养计划。支持将符合条件的民营经济组织从业人员纳入省级学术技术带头人及后备人选等优秀人才选拔培养范围；组织民营经济组织管理人员进行专项技术等培训；组织民营企业家赴国内外知名高等院校进修。</w:t>
      </w:r>
    </w:p>
    <w:p>
      <w:pPr>
        <w:adjustRightInd w:val="0"/>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支持、鼓励科研机构、高等院校、职业学校、公共实训基地和各类职业技能培训机构通过产学研合作、共建实习实训基地等方式，培养符合民营经济组织需求的经营管理、专业技术、技能应用等方面人才。</w:t>
      </w:r>
    </w:p>
    <w:p>
      <w:pPr>
        <w:adjustRightInd w:val="0"/>
        <w:snapToGrid w:val="0"/>
        <w:spacing w:line="56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 xml:space="preserve">第二十五条  </w:t>
      </w:r>
      <w:r>
        <w:rPr>
          <w:rFonts w:hint="eastAsia" w:ascii="仿宋" w:hAnsi="仿宋" w:eastAsia="仿宋" w:cs="仿宋"/>
          <w:sz w:val="32"/>
          <w:szCs w:val="32"/>
        </w:rPr>
        <w:t>金融管理部门应当会同有关部门完善应急转贷机制，构建应急转贷服务体系，吸引社会资本参与，向生产经营正常、信用状况良好但暂时遇到资金困难的民营经济组织提供融资支持。</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健全海南省政府性融资担保体系，推动政府性融资担保机构面向民营经济组织扩大业务覆盖范围、降低担保费率，引导政府性融资担保机构减少或者取消抵押、质押等反担保要求。鼓励有条件的市县设立民营经济组织贷款风险补偿专项资金、引导基金或者信用保证基金，为首贷、转贷、续贷等提供增信服务。</w:t>
      </w:r>
    </w:p>
    <w:p>
      <w:pPr>
        <w:adjustRightInd w:val="0"/>
        <w:snapToGrid w:val="0"/>
        <w:spacing w:line="56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xml:space="preserve">  金融管理部门和各级行业主管部门加强合作，建立常态化的政银企对接机制，支持银行等金融机构健全服务民营经济组织体系。</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鼓励和引导银行等金融机构优化民营经济组织授信评价机制，对资信良好的民营经济组织融资提供便利条件，提高信用贷款、首贷等产品的比重，提供无还本续贷、循环贷款或者其他创新型续贷产品，优化完善授信尽职免责机制，开发符合民营经济组织发展需求的融资产品。</w:t>
      </w:r>
    </w:p>
    <w:p>
      <w:pPr>
        <w:adjustRightInd w:val="0"/>
        <w:snapToGrid w:val="0"/>
        <w:spacing w:line="56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 xml:space="preserve">第二十七条  </w:t>
      </w:r>
      <w:r>
        <w:rPr>
          <w:rFonts w:hint="eastAsia" w:ascii="仿宋" w:hAnsi="仿宋" w:eastAsia="仿宋" w:cs="仿宋"/>
          <w:sz w:val="32"/>
          <w:szCs w:val="32"/>
        </w:rPr>
        <w:t>支持银行等金融机构依托海南省智慧金融综合服务等平台为信用状况良好的民营经济组织提供融资支持，提升民营经济组织获取信贷便利化程度。</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银行等金融机构应当注重民营经济组织正常生产经营活动产生现金流量的审核，支持将民营经济组织实际生产经营情况、民营经济组织资信作为授信的主要依据。开展涉及民营经济组织贷款业务时不得实施下列行为：</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（一）设置不合理的授信条件；</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（二）针对民营经济组织设置歧视性门槛；</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（三）强制约定将民营经济组织的部分贷款转为存款；</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（四）以存款作为审批和发放贷款的前提条件；</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（五）违法要求已经符合贷款条件的民营经济组织法定代表人、股东、实际控制人、董事、监事、高级管理人员及其近亲属提供保证担保。</w:t>
      </w:r>
    </w:p>
    <w:p>
      <w:pPr>
        <w:adjustRightInd w:val="0"/>
        <w:snapToGrid w:val="0"/>
        <w:spacing w:line="56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 xml:space="preserve">第二十八条  </w:t>
      </w:r>
      <w:r>
        <w:rPr>
          <w:rFonts w:hint="eastAsia" w:ascii="仿宋" w:hAnsi="仿宋" w:eastAsia="仿宋" w:cs="仿宋"/>
          <w:sz w:val="32"/>
          <w:szCs w:val="32"/>
        </w:rPr>
        <w:t>支持</w:t>
      </w:r>
      <w:r>
        <w:rPr>
          <w:rFonts w:ascii="仿宋" w:hAnsi="仿宋" w:eastAsia="仿宋" w:cs="仿宋"/>
          <w:sz w:val="32"/>
          <w:szCs w:val="32"/>
        </w:rPr>
        <w:t>各类金融机构依</w:t>
      </w:r>
      <w:r>
        <w:rPr>
          <w:rFonts w:hint="eastAsia" w:ascii="仿宋" w:hAnsi="仿宋" w:eastAsia="仿宋" w:cs="仿宋"/>
          <w:sz w:val="32"/>
          <w:szCs w:val="32"/>
        </w:rPr>
        <w:t>托动产融资统一登记公示系统、供应链票据平台、中征应收账款融资服务平台等依</w:t>
      </w:r>
      <w:r>
        <w:rPr>
          <w:rFonts w:ascii="仿宋" w:hAnsi="仿宋" w:eastAsia="仿宋" w:cs="仿宋"/>
          <w:sz w:val="32"/>
          <w:szCs w:val="32"/>
        </w:rPr>
        <w:t>法扩大向民营</w:t>
      </w:r>
      <w:r>
        <w:rPr>
          <w:rFonts w:hint="eastAsia" w:ascii="仿宋" w:hAnsi="仿宋" w:eastAsia="仿宋" w:cs="仿宋"/>
          <w:sz w:val="32"/>
          <w:szCs w:val="32"/>
        </w:rPr>
        <w:t>经济组织抵押、质押融资</w:t>
      </w:r>
      <w:r>
        <w:rPr>
          <w:rFonts w:ascii="仿宋" w:hAnsi="仿宋" w:eastAsia="仿宋" w:cs="仿宋"/>
          <w:sz w:val="32"/>
          <w:szCs w:val="32"/>
        </w:rPr>
        <w:t>的范围，开展下列工作：</w:t>
      </w:r>
    </w:p>
    <w:p>
      <w:pPr>
        <w:adjustRightInd w:val="0"/>
        <w:snapToGrid w:val="0"/>
        <w:spacing w:line="560" w:lineRule="exact"/>
        <w:ind w:firstLine="640" w:firstLineChars="200"/>
        <w:rPr>
          <w:rFonts w:hint="eastAsia" w:ascii="仿宋" w:hAnsi="仿宋" w:eastAsia="仿宋" w:cs="仿宋"/>
          <w:sz w:val="32"/>
          <w:szCs w:val="32"/>
        </w:rPr>
      </w:pPr>
      <w:r>
        <w:rPr>
          <w:rFonts w:ascii="仿宋" w:hAnsi="仿宋" w:eastAsia="仿宋" w:cs="仿宋"/>
          <w:sz w:val="32"/>
          <w:szCs w:val="32"/>
        </w:rPr>
        <w:t>（一）应收账款债权流转业务；</w:t>
      </w:r>
    </w:p>
    <w:p>
      <w:pPr>
        <w:adjustRightInd w:val="0"/>
        <w:snapToGrid w:val="0"/>
        <w:spacing w:line="560" w:lineRule="exact"/>
        <w:ind w:firstLine="640" w:firstLineChars="200"/>
        <w:rPr>
          <w:rFonts w:hint="eastAsia" w:ascii="仿宋" w:hAnsi="仿宋" w:eastAsia="仿宋" w:cs="仿宋"/>
          <w:sz w:val="32"/>
          <w:szCs w:val="32"/>
        </w:rPr>
      </w:pPr>
      <w:r>
        <w:rPr>
          <w:rFonts w:ascii="仿宋" w:hAnsi="仿宋" w:eastAsia="仿宋" w:cs="仿宋"/>
          <w:sz w:val="32"/>
          <w:szCs w:val="32"/>
        </w:rPr>
        <w:t>（二）允许民营</w:t>
      </w:r>
      <w:r>
        <w:rPr>
          <w:rFonts w:hint="eastAsia" w:ascii="仿宋" w:hAnsi="仿宋" w:eastAsia="仿宋" w:cs="仿宋"/>
          <w:sz w:val="32"/>
          <w:szCs w:val="32"/>
        </w:rPr>
        <w:t>经济组织</w:t>
      </w:r>
      <w:r>
        <w:rPr>
          <w:rFonts w:ascii="仿宋" w:hAnsi="仿宋" w:eastAsia="仿宋" w:cs="仿宋"/>
          <w:sz w:val="32"/>
          <w:szCs w:val="32"/>
        </w:rPr>
        <w:t>进行生产设备、原材料、半成品、产品</w:t>
      </w:r>
      <w:r>
        <w:rPr>
          <w:rFonts w:hint="eastAsia" w:ascii="仿宋" w:hAnsi="仿宋" w:eastAsia="仿宋" w:cs="仿宋"/>
          <w:sz w:val="32"/>
          <w:szCs w:val="32"/>
        </w:rPr>
        <w:t>、</w:t>
      </w:r>
      <w:r>
        <w:rPr>
          <w:rFonts w:ascii="仿宋" w:hAnsi="仿宋" w:eastAsia="仿宋" w:cs="仿宋"/>
          <w:sz w:val="32"/>
          <w:szCs w:val="32"/>
        </w:rPr>
        <w:t>土地经营权、林权、水域滩涂使用权等抵押</w:t>
      </w:r>
      <w:r>
        <w:rPr>
          <w:rFonts w:hint="eastAsia" w:ascii="仿宋" w:hAnsi="仿宋" w:eastAsia="仿宋" w:cs="仿宋"/>
          <w:sz w:val="32"/>
          <w:szCs w:val="32"/>
        </w:rPr>
        <w:t>融资；</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（三）允许民营经济组织进行</w:t>
      </w:r>
      <w:r>
        <w:rPr>
          <w:rFonts w:ascii="仿宋" w:hAnsi="仿宋" w:eastAsia="仿宋" w:cs="仿宋"/>
          <w:sz w:val="32"/>
          <w:szCs w:val="32"/>
        </w:rPr>
        <w:t>应收账款</w:t>
      </w:r>
      <w:r>
        <w:rPr>
          <w:rFonts w:hint="eastAsia" w:ascii="仿宋" w:hAnsi="仿宋" w:eastAsia="仿宋" w:cs="仿宋"/>
          <w:sz w:val="32"/>
          <w:szCs w:val="32"/>
        </w:rPr>
        <w:t>、</w:t>
      </w:r>
      <w:r>
        <w:rPr>
          <w:rFonts w:ascii="仿宋" w:hAnsi="仿宋" w:eastAsia="仿宋" w:cs="仿宋"/>
          <w:sz w:val="32"/>
          <w:szCs w:val="32"/>
        </w:rPr>
        <w:t>存款单、仓单、提单</w:t>
      </w:r>
      <w:r>
        <w:rPr>
          <w:rFonts w:hint="eastAsia" w:ascii="仿宋" w:hAnsi="仿宋" w:eastAsia="仿宋" w:cs="仿宋"/>
          <w:sz w:val="32"/>
          <w:szCs w:val="32"/>
        </w:rPr>
        <w:t>、</w:t>
      </w:r>
      <w:r>
        <w:rPr>
          <w:rFonts w:ascii="仿宋" w:hAnsi="仿宋" w:eastAsia="仿宋" w:cs="仿宋"/>
          <w:sz w:val="32"/>
          <w:szCs w:val="32"/>
        </w:rPr>
        <w:t>商业信用保险</w:t>
      </w:r>
      <w:r>
        <w:rPr>
          <w:rFonts w:hint="eastAsia" w:ascii="仿宋" w:hAnsi="仿宋" w:eastAsia="仿宋" w:cs="仿宋"/>
          <w:sz w:val="32"/>
          <w:szCs w:val="32"/>
        </w:rPr>
        <w:t>、</w:t>
      </w:r>
      <w:r>
        <w:rPr>
          <w:rFonts w:ascii="仿宋" w:hAnsi="仿宋" w:eastAsia="仿宋" w:cs="仿宋"/>
          <w:sz w:val="32"/>
          <w:szCs w:val="32"/>
        </w:rPr>
        <w:t>股权</w:t>
      </w:r>
      <w:r>
        <w:rPr>
          <w:rFonts w:hint="eastAsia" w:ascii="仿宋" w:hAnsi="仿宋" w:eastAsia="仿宋" w:cs="仿宋"/>
          <w:sz w:val="32"/>
          <w:szCs w:val="32"/>
        </w:rPr>
        <w:t>、</w:t>
      </w:r>
      <w:r>
        <w:rPr>
          <w:rFonts w:ascii="仿宋" w:hAnsi="仿宋" w:eastAsia="仿宋" w:cs="仿宋"/>
          <w:sz w:val="32"/>
          <w:szCs w:val="32"/>
        </w:rPr>
        <w:t>知识产权</w:t>
      </w:r>
      <w:r>
        <w:rPr>
          <w:rFonts w:hint="eastAsia" w:ascii="仿宋" w:hAnsi="仿宋" w:eastAsia="仿宋" w:cs="仿宋"/>
          <w:sz w:val="32"/>
          <w:szCs w:val="32"/>
        </w:rPr>
        <w:t>、环境权益</w:t>
      </w:r>
      <w:r>
        <w:rPr>
          <w:rFonts w:ascii="仿宋" w:hAnsi="仿宋" w:eastAsia="仿宋" w:cs="仿宋"/>
          <w:sz w:val="32"/>
          <w:szCs w:val="32"/>
        </w:rPr>
        <w:t>等质押融资</w:t>
      </w:r>
      <w:r>
        <w:rPr>
          <w:rFonts w:hint="eastAsia" w:ascii="仿宋" w:hAnsi="仿宋" w:eastAsia="仿宋" w:cs="仿宋"/>
          <w:sz w:val="32"/>
          <w:szCs w:val="32"/>
        </w:rPr>
        <w:t>。</w:t>
      </w:r>
    </w:p>
    <w:p>
      <w:pPr>
        <w:adjustRightInd w:val="0"/>
        <w:snapToGrid w:val="0"/>
        <w:spacing w:line="56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 xml:space="preserve">第二十九条  </w:t>
      </w:r>
      <w:r>
        <w:rPr>
          <w:rFonts w:hint="eastAsia" w:ascii="仿宋" w:hAnsi="仿宋" w:eastAsia="仿宋" w:cs="仿宋"/>
          <w:sz w:val="32"/>
          <w:szCs w:val="32"/>
        </w:rPr>
        <w:t>民营经济组织应当推进现代企业制度建设，完善企业治理结构，规范股东行为，提升质量管理意识和能力，形成有效内部监督和风险防控机制，促进企业健康可持续发展。</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民营经济组织应当依法合规经营，维护自身商业信誉和信用记录，规范会计核算制度，做好信息披露，加强自身财务约束，不逃废金融债务，主动创造有利于融资的条件。</w:t>
      </w:r>
    </w:p>
    <w:p>
      <w:pPr>
        <w:adjustRightInd w:val="0"/>
        <w:snapToGrid w:val="0"/>
        <w:spacing w:line="560" w:lineRule="exact"/>
        <w:ind w:firstLine="642" w:firstLineChars="200"/>
        <w:rPr>
          <w:rFonts w:hint="eastAsia" w:ascii="仿宋" w:hAnsi="仿宋" w:eastAsia="仿宋" w:cs="仿宋"/>
          <w:sz w:val="32"/>
          <w:szCs w:val="32"/>
        </w:rPr>
      </w:pPr>
      <w:r>
        <w:rPr>
          <w:rFonts w:ascii="仿宋" w:hAnsi="仿宋" w:eastAsia="仿宋" w:cs="仿宋"/>
          <w:b/>
          <w:bCs/>
          <w:sz w:val="32"/>
          <w:szCs w:val="32"/>
        </w:rPr>
        <w:t>第三十</w:t>
      </w:r>
      <w:r>
        <w:rPr>
          <w:rFonts w:hint="eastAsia" w:ascii="仿宋" w:hAnsi="仿宋" w:eastAsia="仿宋" w:cs="仿宋"/>
          <w:b/>
          <w:bCs/>
          <w:sz w:val="32"/>
          <w:szCs w:val="32"/>
        </w:rPr>
        <w:t>条</w:t>
      </w:r>
      <w:r>
        <w:rPr>
          <w:rFonts w:hint="eastAsia" w:ascii="仿宋" w:hAnsi="仿宋" w:eastAsia="仿宋" w:cs="仿宋"/>
          <w:sz w:val="32"/>
          <w:szCs w:val="32"/>
        </w:rPr>
        <w:t xml:space="preserve">  县级以上人民政府应当加强对民营经济组织的分类指导服务，实施市场主体培育专项行动，引导民营经济组织向专业化、精细化、特色化、新颖化发展，重点培育初创期、高成长性的新技术、新产业、新业态、新模式民营经济组织，培育具有上市资质的行业领军企业和科技创新标杆企业，支持民营经济组织做优做强。</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支持民营经济组织参与政府组织实施的科技创新、技术转化等项目，掌握拥有自主知识产权的核心技术。民营经济组织获批建设国家级或省级创新平台，参与国家重大科技项目攻关或者重点领域产业关键共性技术研发，主导或者参与制定国际标准、国家标准、行业标准以及参与海南自由贸易港制度集成创新成效显著的，应当按规定给予相应奖励。</w:t>
      </w:r>
    </w:p>
    <w:p>
      <w:pPr>
        <w:spacing w:line="580" w:lineRule="exact"/>
        <w:ind w:firstLine="642"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 xml:space="preserve">第三十一条  </w:t>
      </w:r>
      <w:r>
        <w:rPr>
          <w:rFonts w:hint="eastAsia" w:ascii="仿宋" w:hAnsi="仿宋" w:eastAsia="仿宋" w:cs="仿宋"/>
          <w:color w:val="000000"/>
          <w:sz w:val="32"/>
          <w:szCs w:val="32"/>
        </w:rPr>
        <w:t>省人民政府数据主管部门应当完善数据共享机制。充分发挥省信息共享服务平台与全省各种可共享信息资源的互联互通优势，逐步实现各部门以及水、电、气等公用事业涉及民营经济组织数据资源共享，为民营经济组织提供便利。能够通过在线政务服务平台提取、生成或者信息共享的材料，不得要求民营经济组织重复提供。</w:t>
      </w:r>
    </w:p>
    <w:p>
      <w:pPr>
        <w:adjustRightInd w:val="0"/>
        <w:snapToGrid w:val="0"/>
        <w:spacing w:line="560" w:lineRule="exact"/>
        <w:ind w:firstLine="640" w:firstLineChars="200"/>
        <w:rPr>
          <w:rFonts w:hint="eastAsia" w:ascii="仿宋" w:hAnsi="仿宋" w:eastAsia="仿宋" w:cs="仿宋"/>
          <w:b/>
          <w:bCs/>
          <w:sz w:val="36"/>
          <w:szCs w:val="36"/>
        </w:rPr>
      </w:pPr>
      <w:r>
        <w:rPr>
          <w:rFonts w:hint="eastAsia" w:ascii="仿宋" w:hAnsi="仿宋" w:eastAsia="仿宋" w:cs="仿宋"/>
          <w:sz w:val="32"/>
          <w:szCs w:val="32"/>
        </w:rPr>
        <w:t>充分发挥数据赋能作用，支持民营经济组织依法参与数字化、智能化共性技术研发和数据要素市场建设，平等使用数据，对开放的公共数据资源依法进行开发利用，构建开放、有序、公平、安全的数据发展环境。</w:t>
      </w:r>
    </w:p>
    <w:p>
      <w:pPr>
        <w:adjustRightInd w:val="0"/>
        <w:snapToGrid w:val="0"/>
        <w:spacing w:line="56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 xml:space="preserve">第三十二条  </w:t>
      </w:r>
      <w:r>
        <w:rPr>
          <w:rFonts w:hint="eastAsia" w:ascii="仿宋" w:hAnsi="仿宋" w:eastAsia="仿宋" w:cs="仿宋"/>
          <w:sz w:val="32"/>
          <w:szCs w:val="32"/>
        </w:rPr>
        <w:t>行政机关应当遵循诚信原则，保持涉及民营经济组织政策的连续和稳定。县级以上人民政府应当将合法性审查作为政府作出招商引资承诺的前置程序，明确审查主体、方式、流程和审查重点内容等。</w:t>
      </w:r>
    </w:p>
    <w:p>
      <w:pPr>
        <w:adjustRightInd w:val="0"/>
        <w:snapToGrid w:val="0"/>
        <w:spacing w:line="560" w:lineRule="exact"/>
        <w:ind w:firstLine="640" w:firstLineChars="200"/>
        <w:rPr>
          <w:rFonts w:hint="eastAsia" w:ascii="仿宋" w:hAnsi="仿宋" w:eastAsia="仿宋" w:cs="仿宋"/>
          <w:sz w:val="32"/>
          <w:szCs w:val="32"/>
          <w:highlight w:val="yellow"/>
        </w:rPr>
      </w:pPr>
      <w:r>
        <w:rPr>
          <w:rFonts w:hint="eastAsia" w:ascii="仿宋" w:hAnsi="仿宋" w:eastAsia="仿宋" w:cs="仿宋"/>
          <w:sz w:val="32"/>
          <w:szCs w:val="32"/>
        </w:rPr>
        <w:t>健全政府合同履约智能化管理机制，实现签约及时录入、履约全程监管、异常预警提醒、违约失信记录的闭环管理。</w:t>
      </w:r>
    </w:p>
    <w:p>
      <w:pPr>
        <w:adjustRightInd w:val="0"/>
        <w:snapToGrid w:val="0"/>
        <w:spacing w:line="560" w:lineRule="exact"/>
        <w:ind w:firstLine="642" w:firstLineChars="200"/>
        <w:rPr>
          <w:rFonts w:hint="eastAsia" w:ascii="仿宋" w:hAnsi="仿宋" w:eastAsia="仿宋" w:cs="仿宋"/>
          <w:sz w:val="32"/>
          <w:szCs w:val="32"/>
          <w:highlight w:val="yellow"/>
        </w:rPr>
      </w:pPr>
      <w:r>
        <w:rPr>
          <w:rFonts w:hint="eastAsia" w:ascii="仿宋" w:hAnsi="仿宋" w:eastAsia="仿宋" w:cs="仿宋"/>
          <w:b/>
          <w:bCs/>
          <w:sz w:val="32"/>
          <w:szCs w:val="32"/>
        </w:rPr>
        <w:t>第三十三条</w:t>
      </w:r>
      <w:r>
        <w:rPr>
          <w:rFonts w:hint="eastAsia" w:ascii="仿宋" w:hAnsi="仿宋" w:eastAsia="仿宋" w:cs="仿宋"/>
          <w:sz w:val="32"/>
          <w:szCs w:val="32"/>
        </w:rPr>
        <w:t xml:space="preserve">  县级以上人民政府应当建立健全政府诚信履约机制，对民营经济组织依法作出的政策承诺以及依法订立的合同，不得以行政区划调整、政府换届、机构或者职能调整以及相关责任人更替等为由不履行、不完全履行或者迟延履行约定义务。</w:t>
      </w:r>
    </w:p>
    <w:p>
      <w:pPr>
        <w:adjustRightInd w:val="0"/>
        <w:snapToGrid w:val="0"/>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县级以上人民政府及其有关部门应当通过加强预算管理、提醒督办、严格责任追究等措施，建立健全防范化解拖欠民营经济组织账款的长效机制和约束惩戒机制。将</w:t>
      </w:r>
      <w:r>
        <w:rPr>
          <w:rFonts w:hint="eastAsia" w:ascii="仿宋" w:hAnsi="仿宋" w:eastAsia="仿宋" w:cs="仿宋"/>
          <w:color w:val="000000"/>
          <w:sz w:val="32"/>
          <w:szCs w:val="32"/>
          <w:lang w:eastAsia="zh-CN"/>
        </w:rPr>
        <w:t>行政</w:t>
      </w:r>
      <w:r>
        <w:rPr>
          <w:rFonts w:hint="eastAsia" w:ascii="仿宋" w:hAnsi="仿宋" w:eastAsia="仿宋" w:cs="仿宋"/>
          <w:color w:val="000000"/>
          <w:sz w:val="32"/>
          <w:szCs w:val="32"/>
        </w:rPr>
        <w:t>机关、事业单位、国有企业拖欠账款清偿情况纳入巡视、审计、督查范围，加大对拖欠民营经济组织账款的清理力度。</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因国家利益、社会公共利益需要改变政策承诺、合同约定的，应当依照法定权限和程序进行调整，并依法对民营经济组织受到的损失予以补偿。</w:t>
      </w:r>
    </w:p>
    <w:p>
      <w:pPr>
        <w:adjustRightInd w:val="0"/>
        <w:snapToGrid w:val="0"/>
        <w:spacing w:line="56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xml:space="preserve">  行政机关根据民营经济组织的行业属性、信用状况等落实分类监管要求，提升监管效能。禁止行政机关无法律法规明确授权或者未经法定程序，影响、干扰民营经济组织正常生产经营活动，避免多头执法、重复检查和选择性执法。</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县级以上人民政府及其有关部门应当规范对民营经济组织的行政执法行为，优化检查手段，除直接涉及公共安全和人民群众生命健康等特殊行业、重点领域外，应当通过随机抽取检查对象、随机选派执法检查人员的方式进行，抽查情况以及查处结果及时向社会公开。针对同一检查对象的多个检查事项，应当合并或者纳入跨部门联合检查、抽查范围。</w:t>
      </w:r>
    </w:p>
    <w:p>
      <w:pPr>
        <w:adjustRightInd w:val="0"/>
        <w:snapToGrid w:val="0"/>
        <w:spacing w:line="56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xml:space="preserve">  民营经济组织及其经营者存在轻微违法行为并及时改正，没有造成危害后果的，不予行政处罚。初次违法且危害后果轻微并及时改正的，可以不予行政处罚。对违法行为情节显著轻微或者没有明显社会危害的，可以不采取行政强制措施。</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对违法行为依法需要实施行政处罚或者其他措施的，应当与违法行为的事实、性质、情节以及社会危害程度相当。</w:t>
      </w:r>
    </w:p>
    <w:p>
      <w:pPr>
        <w:adjustRightInd w:val="0"/>
        <w:snapToGrid w:val="0"/>
        <w:spacing w:line="56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 xml:space="preserve">第三十六条  </w:t>
      </w:r>
      <w:r>
        <w:rPr>
          <w:rFonts w:hint="eastAsia" w:ascii="仿宋" w:hAnsi="仿宋" w:eastAsia="仿宋" w:cs="仿宋"/>
          <w:sz w:val="32"/>
          <w:szCs w:val="32"/>
        </w:rPr>
        <w:t>民营经济组织及其经营者的人身权利、财产权利以及其他合法权益受法律保护，任何单位和个人不得侵犯。</w:t>
      </w:r>
    </w:p>
    <w:p>
      <w:pPr>
        <w:adjustRightInd w:val="0"/>
        <w:snapToGrid w:val="0"/>
        <w:spacing w:line="560" w:lineRule="exact"/>
        <w:ind w:firstLine="640" w:firstLineChars="200"/>
        <w:rPr>
          <w:rFonts w:hint="eastAsia" w:ascii="仿宋" w:hAnsi="仿宋" w:eastAsia="仿宋" w:cs="仿宋"/>
          <w:sz w:val="32"/>
          <w:szCs w:val="32"/>
        </w:rPr>
      </w:pPr>
      <w:r>
        <w:rPr>
          <w:rFonts w:ascii="仿宋" w:hAnsi="仿宋" w:eastAsia="仿宋" w:cs="仿宋"/>
          <w:sz w:val="32"/>
          <w:szCs w:val="32"/>
        </w:rPr>
        <w:t>民营经济组织及其经营者</w:t>
      </w:r>
      <w:r>
        <w:rPr>
          <w:rFonts w:hint="eastAsia" w:ascii="仿宋" w:hAnsi="仿宋" w:eastAsia="仿宋" w:cs="仿宋"/>
          <w:sz w:val="32"/>
          <w:szCs w:val="32"/>
        </w:rPr>
        <w:t>人身权利、财产权利以及其他合法权益</w:t>
      </w:r>
      <w:r>
        <w:rPr>
          <w:rFonts w:ascii="仿宋" w:hAnsi="仿宋" w:eastAsia="仿宋" w:cs="仿宋"/>
          <w:sz w:val="32"/>
          <w:szCs w:val="32"/>
        </w:rPr>
        <w:t>受到恶意侵害</w:t>
      </w:r>
      <w:r>
        <w:rPr>
          <w:rFonts w:hint="eastAsia" w:ascii="仿宋" w:hAnsi="仿宋" w:eastAsia="仿宋" w:cs="仿宋"/>
          <w:sz w:val="32"/>
          <w:szCs w:val="32"/>
        </w:rPr>
        <w:t>时，</w:t>
      </w:r>
      <w:r>
        <w:rPr>
          <w:rFonts w:ascii="仿宋" w:hAnsi="仿宋" w:eastAsia="仿宋" w:cs="仿宋"/>
          <w:sz w:val="32"/>
          <w:szCs w:val="32"/>
        </w:rPr>
        <w:t>有权依法向人民法院申请采取责令行为人停止有关行为的措施</w:t>
      </w:r>
      <w:r>
        <w:rPr>
          <w:rFonts w:hint="eastAsia" w:ascii="仿宋" w:hAnsi="仿宋" w:eastAsia="仿宋" w:cs="仿宋"/>
          <w:sz w:val="32"/>
          <w:szCs w:val="32"/>
        </w:rPr>
        <w:t>。民营经济组织及其经营者各项合法权益受到</w:t>
      </w:r>
      <w:r>
        <w:rPr>
          <w:rFonts w:ascii="仿宋" w:hAnsi="仿宋" w:eastAsia="仿宋" w:cs="仿宋"/>
          <w:sz w:val="32"/>
          <w:szCs w:val="32"/>
        </w:rPr>
        <w:t>恶意侵害致使民营经济组织生产经营、投资融资等活动遭受实际损失的</w:t>
      </w:r>
      <w:r>
        <w:rPr>
          <w:rFonts w:hint="eastAsia" w:ascii="仿宋" w:hAnsi="仿宋" w:eastAsia="仿宋" w:cs="仿宋"/>
          <w:sz w:val="32"/>
          <w:szCs w:val="32"/>
        </w:rPr>
        <w:t>，</w:t>
      </w:r>
      <w:r>
        <w:rPr>
          <w:rFonts w:ascii="仿宋" w:hAnsi="仿宋" w:eastAsia="仿宋" w:cs="仿宋"/>
          <w:sz w:val="32"/>
          <w:szCs w:val="32"/>
        </w:rPr>
        <w:t>侵权人</w:t>
      </w:r>
      <w:r>
        <w:rPr>
          <w:rFonts w:hint="eastAsia" w:ascii="仿宋" w:hAnsi="仿宋" w:eastAsia="仿宋" w:cs="仿宋"/>
          <w:sz w:val="32"/>
          <w:szCs w:val="32"/>
        </w:rPr>
        <w:t>应当</w:t>
      </w:r>
      <w:r>
        <w:rPr>
          <w:rFonts w:ascii="仿宋" w:hAnsi="仿宋" w:eastAsia="仿宋" w:cs="仿宋"/>
          <w:sz w:val="32"/>
          <w:szCs w:val="32"/>
        </w:rPr>
        <w:t>依法承担赔偿责任</w:t>
      </w:r>
      <w:r>
        <w:rPr>
          <w:rFonts w:hint="eastAsia" w:ascii="仿宋" w:hAnsi="仿宋" w:eastAsia="仿宋" w:cs="仿宋"/>
          <w:sz w:val="32"/>
          <w:szCs w:val="32"/>
        </w:rPr>
        <w:t>。</w:t>
      </w:r>
    </w:p>
    <w:p>
      <w:pPr>
        <w:adjustRightInd w:val="0"/>
        <w:snapToGrid w:val="0"/>
        <w:spacing w:line="560" w:lineRule="exact"/>
        <w:ind w:firstLine="640" w:firstLineChars="200"/>
        <w:rPr>
          <w:rFonts w:hint="eastAsia" w:ascii="仿宋" w:hAnsi="仿宋" w:eastAsia="仿宋" w:cs="仿宋"/>
          <w:sz w:val="32"/>
          <w:szCs w:val="32"/>
        </w:rPr>
      </w:pPr>
      <w:r>
        <w:rPr>
          <w:rFonts w:ascii="仿宋" w:hAnsi="仿宋" w:eastAsia="仿宋" w:cs="仿宋"/>
          <w:sz w:val="32"/>
          <w:szCs w:val="32"/>
        </w:rPr>
        <w:t>除法律、法规另有规定外，</w:t>
      </w:r>
      <w:r>
        <w:rPr>
          <w:rFonts w:hint="eastAsia" w:ascii="仿宋" w:hAnsi="仿宋" w:eastAsia="仿宋" w:cs="仿宋"/>
          <w:sz w:val="32"/>
          <w:szCs w:val="32"/>
        </w:rPr>
        <w:t>民营经济组织</w:t>
      </w:r>
      <w:r>
        <w:rPr>
          <w:rFonts w:ascii="仿宋" w:hAnsi="仿宋" w:eastAsia="仿宋" w:cs="仿宋"/>
          <w:sz w:val="32"/>
          <w:szCs w:val="32"/>
        </w:rPr>
        <w:t>有权自主决定加入或者退出行业协会、商会等社会组织，任何单位和个人不得干预。</w:t>
      </w:r>
    </w:p>
    <w:p>
      <w:pPr>
        <w:adjustRightInd w:val="0"/>
        <w:snapToGrid w:val="0"/>
        <w:spacing w:line="56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 xml:space="preserve">第三十七条  </w:t>
      </w:r>
      <w:r>
        <w:rPr>
          <w:rFonts w:hint="eastAsia" w:ascii="仿宋" w:hAnsi="仿宋" w:eastAsia="仿宋" w:cs="仿宋"/>
          <w:sz w:val="32"/>
          <w:szCs w:val="32"/>
        </w:rPr>
        <w:t>国家机关及其工作人员违反本规定，有下列情形之一的，由其上级机关责令改正或者通报批评；造成不良后果或者影响的，对负有责任的领导人员和直接责任人员依法给予处分；构成犯罪的，依法追究刑事责任：</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（一）拒绝、推诿、拖延履行法定职责的；</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（二）因所有制形式不同设置不平等标准或者条件的；</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（三）干预依法应当由民营经济组织自主决策事项的；</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（四）违反规定设置收费项目、提高收费标准、扩大收费范围或者额外收费，向民营经济组织强制或者变相收取不合理费用的；</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（五）对民营经济组织实施行政审批、行政检查时，索取或者收受财物、谋取非法利益的；</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（六）对民营经济组织作出违背有关法律、法规或者超出自身法定权限的政策承诺，或者未经法定程序改变承诺事项的；</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（七）不履行、不完全履行、迟延履行或者单方面强制要求以特定方式履行与民营经济组织签订的有关合同的；</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（八）利用职权指定、变相指定中介服务机构或者向民营经济组织转嫁中介服务费用的；</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（九）未按照规定及时处理投诉、举报事项，违规泄露投诉人、举报人信息，以及对投诉人、举报人打击报复的；</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（十）强制或者变相强制民营经济组织参加评比、达标、表彰等活动的；</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（十一）其他侵害民营经济组织合法权益的行为。</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因前款行为给民营经济组织造成损失的，应当依法予以赔偿。</w:t>
      </w:r>
    </w:p>
    <w:p>
      <w:pPr>
        <w:adjustRightInd w:val="0"/>
        <w:snapToGrid w:val="0"/>
        <w:spacing w:line="560" w:lineRule="exact"/>
        <w:ind w:firstLine="642" w:firstLineChars="200"/>
        <w:rPr>
          <w:rFonts w:hint="eastAsia" w:ascii="仿宋" w:hAnsi="仿宋" w:eastAsia="仿宋" w:cs="仿宋"/>
          <w:sz w:val="32"/>
          <w:szCs w:val="32"/>
        </w:rPr>
      </w:pPr>
      <w:r>
        <w:rPr>
          <w:rFonts w:hint="eastAsia" w:ascii="仿宋" w:hAnsi="仿宋" w:eastAsia="仿宋" w:cs="仿宋"/>
          <w:b/>
          <w:bCs/>
          <w:kern w:val="0"/>
          <w:sz w:val="32"/>
          <w:szCs w:val="32"/>
          <w:lang w:bidi="ar"/>
        </w:rPr>
        <w:t>第三十八条</w:t>
      </w:r>
      <w:r>
        <w:rPr>
          <w:rFonts w:hint="eastAsia" w:ascii="仿宋" w:hAnsi="仿宋" w:eastAsia="仿宋" w:cs="仿宋"/>
          <w:b/>
          <w:bCs/>
          <w:sz w:val="32"/>
          <w:szCs w:val="32"/>
        </w:rPr>
        <w:t xml:space="preserve">  </w:t>
      </w:r>
      <w:r>
        <w:rPr>
          <w:rFonts w:hint="eastAsia" w:ascii="仿宋" w:hAnsi="仿宋" w:eastAsia="仿宋" w:cs="仿宋"/>
          <w:sz w:val="32"/>
          <w:szCs w:val="32"/>
        </w:rPr>
        <w:t>本规定关于行政机关的规定，适用于法律、法规授权的具有管理公共事务职能的组织。</w:t>
      </w:r>
    </w:p>
    <w:p>
      <w:pPr>
        <w:spacing w:line="560" w:lineRule="exact"/>
        <w:ind w:firstLine="642" w:firstLineChars="200"/>
        <w:rPr>
          <w:rFonts w:hint="eastAsia" w:ascii="仿宋" w:hAnsi="仿宋" w:eastAsia="仿宋" w:cs="仿宋"/>
          <w:sz w:val="32"/>
          <w:szCs w:val="32"/>
        </w:rPr>
      </w:pPr>
      <w:r>
        <w:rPr>
          <w:rFonts w:hint="eastAsia" w:ascii="仿宋" w:hAnsi="仿宋" w:eastAsia="仿宋" w:cs="仿宋"/>
          <w:b/>
          <w:bCs/>
          <w:kern w:val="0"/>
          <w:sz w:val="32"/>
          <w:szCs w:val="32"/>
          <w:lang w:bidi="ar"/>
        </w:rPr>
        <w:t xml:space="preserve">第三十九条  </w:t>
      </w:r>
      <w:r>
        <w:rPr>
          <w:rFonts w:hint="eastAsia" w:ascii="仿宋" w:hAnsi="仿宋" w:eastAsia="仿宋" w:cs="仿宋"/>
          <w:sz w:val="32"/>
          <w:szCs w:val="32"/>
        </w:rPr>
        <w:t>本规定自  年  月  日起施行。</w:t>
      </w: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Math">
    <w:altName w:val="DejaVu Math TeX Gyre"/>
    <w:panose1 w:val="02040503050406030204"/>
    <w:charset w:val="00"/>
    <w:family w:val="roman"/>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Arial">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zMTVkN2FjOGNhZmFjY2RiNDQ5ZGQxYTAzY2U2ODYifQ=="/>
  </w:docVars>
  <w:rsids>
    <w:rsidRoot w:val="00172A27"/>
    <w:rsid w:val="00024E60"/>
    <w:rsid w:val="000442E6"/>
    <w:rsid w:val="00051736"/>
    <w:rsid w:val="000B1CA5"/>
    <w:rsid w:val="000C20CB"/>
    <w:rsid w:val="000C7B6B"/>
    <w:rsid w:val="000D2980"/>
    <w:rsid w:val="000F1960"/>
    <w:rsid w:val="00103DE8"/>
    <w:rsid w:val="00137577"/>
    <w:rsid w:val="0016757C"/>
    <w:rsid w:val="00172A27"/>
    <w:rsid w:val="00180F9B"/>
    <w:rsid w:val="00185FC8"/>
    <w:rsid w:val="0018684A"/>
    <w:rsid w:val="001A0ED9"/>
    <w:rsid w:val="001D0E1D"/>
    <w:rsid w:val="001E48BC"/>
    <w:rsid w:val="00200F91"/>
    <w:rsid w:val="00204DE1"/>
    <w:rsid w:val="002200B6"/>
    <w:rsid w:val="00230AAC"/>
    <w:rsid w:val="002526E6"/>
    <w:rsid w:val="002575A7"/>
    <w:rsid w:val="002B1A0B"/>
    <w:rsid w:val="002B3B3A"/>
    <w:rsid w:val="002C440F"/>
    <w:rsid w:val="002E2F49"/>
    <w:rsid w:val="003033AC"/>
    <w:rsid w:val="0032464B"/>
    <w:rsid w:val="00357242"/>
    <w:rsid w:val="00360771"/>
    <w:rsid w:val="00360A72"/>
    <w:rsid w:val="003727B8"/>
    <w:rsid w:val="00380EB6"/>
    <w:rsid w:val="003912B4"/>
    <w:rsid w:val="00392251"/>
    <w:rsid w:val="003A1C6B"/>
    <w:rsid w:val="00427D9C"/>
    <w:rsid w:val="0044600E"/>
    <w:rsid w:val="004738EB"/>
    <w:rsid w:val="00485391"/>
    <w:rsid w:val="00497BE8"/>
    <w:rsid w:val="00503FC6"/>
    <w:rsid w:val="00515D8B"/>
    <w:rsid w:val="00537012"/>
    <w:rsid w:val="0055140F"/>
    <w:rsid w:val="00583D78"/>
    <w:rsid w:val="00592D18"/>
    <w:rsid w:val="00594017"/>
    <w:rsid w:val="005B1AC9"/>
    <w:rsid w:val="00614F6F"/>
    <w:rsid w:val="00616F19"/>
    <w:rsid w:val="00674AB4"/>
    <w:rsid w:val="0069425A"/>
    <w:rsid w:val="006C0F2B"/>
    <w:rsid w:val="006C50D6"/>
    <w:rsid w:val="006D1EA6"/>
    <w:rsid w:val="0075194B"/>
    <w:rsid w:val="0075516E"/>
    <w:rsid w:val="007554D3"/>
    <w:rsid w:val="0077201A"/>
    <w:rsid w:val="007773D1"/>
    <w:rsid w:val="0078035D"/>
    <w:rsid w:val="00780388"/>
    <w:rsid w:val="007A14AA"/>
    <w:rsid w:val="007A15D7"/>
    <w:rsid w:val="007D1093"/>
    <w:rsid w:val="007E1F21"/>
    <w:rsid w:val="007E3A18"/>
    <w:rsid w:val="007E540F"/>
    <w:rsid w:val="007E5DC2"/>
    <w:rsid w:val="00804836"/>
    <w:rsid w:val="00811747"/>
    <w:rsid w:val="00826557"/>
    <w:rsid w:val="00842524"/>
    <w:rsid w:val="008517F1"/>
    <w:rsid w:val="00872250"/>
    <w:rsid w:val="0087560A"/>
    <w:rsid w:val="00882B02"/>
    <w:rsid w:val="008972DB"/>
    <w:rsid w:val="008A31F0"/>
    <w:rsid w:val="008A50BC"/>
    <w:rsid w:val="008A57D1"/>
    <w:rsid w:val="008C496C"/>
    <w:rsid w:val="008E00BE"/>
    <w:rsid w:val="008E354F"/>
    <w:rsid w:val="00906253"/>
    <w:rsid w:val="00930C1A"/>
    <w:rsid w:val="00931093"/>
    <w:rsid w:val="009451BF"/>
    <w:rsid w:val="00956CA9"/>
    <w:rsid w:val="0099194A"/>
    <w:rsid w:val="009A13A7"/>
    <w:rsid w:val="009B33D1"/>
    <w:rsid w:val="009C1D75"/>
    <w:rsid w:val="009C517E"/>
    <w:rsid w:val="00A06C5B"/>
    <w:rsid w:val="00A11B21"/>
    <w:rsid w:val="00A44EDD"/>
    <w:rsid w:val="00A53ED9"/>
    <w:rsid w:val="00A60159"/>
    <w:rsid w:val="00A968F8"/>
    <w:rsid w:val="00AB5E56"/>
    <w:rsid w:val="00AB746F"/>
    <w:rsid w:val="00AC4FEE"/>
    <w:rsid w:val="00AD064D"/>
    <w:rsid w:val="00AE406D"/>
    <w:rsid w:val="00B03CA5"/>
    <w:rsid w:val="00B07C95"/>
    <w:rsid w:val="00B17DFB"/>
    <w:rsid w:val="00B20F6A"/>
    <w:rsid w:val="00B26E26"/>
    <w:rsid w:val="00B332CF"/>
    <w:rsid w:val="00B450F0"/>
    <w:rsid w:val="00B52F53"/>
    <w:rsid w:val="00B76DFC"/>
    <w:rsid w:val="00B95B58"/>
    <w:rsid w:val="00B969BA"/>
    <w:rsid w:val="00BD6954"/>
    <w:rsid w:val="00BD6A5B"/>
    <w:rsid w:val="00C00AEA"/>
    <w:rsid w:val="00C21CF3"/>
    <w:rsid w:val="00C23CF6"/>
    <w:rsid w:val="00C3207B"/>
    <w:rsid w:val="00CA1D83"/>
    <w:rsid w:val="00CB6ED1"/>
    <w:rsid w:val="00CF742F"/>
    <w:rsid w:val="00D17972"/>
    <w:rsid w:val="00D21547"/>
    <w:rsid w:val="00D34CCD"/>
    <w:rsid w:val="00D50AF0"/>
    <w:rsid w:val="00D51A43"/>
    <w:rsid w:val="00D97BD7"/>
    <w:rsid w:val="00DB0978"/>
    <w:rsid w:val="00DB60E9"/>
    <w:rsid w:val="00DC29B4"/>
    <w:rsid w:val="00DE4D59"/>
    <w:rsid w:val="00E54528"/>
    <w:rsid w:val="00E55A1C"/>
    <w:rsid w:val="00E67455"/>
    <w:rsid w:val="00E90678"/>
    <w:rsid w:val="00EC0D83"/>
    <w:rsid w:val="00ED42E2"/>
    <w:rsid w:val="00EE34AE"/>
    <w:rsid w:val="00EF157E"/>
    <w:rsid w:val="00EF57AA"/>
    <w:rsid w:val="00F04283"/>
    <w:rsid w:val="00F5248A"/>
    <w:rsid w:val="00F6708A"/>
    <w:rsid w:val="00F67DFF"/>
    <w:rsid w:val="00F95F41"/>
    <w:rsid w:val="00FB6E47"/>
    <w:rsid w:val="00FD1DA1"/>
    <w:rsid w:val="00FE1405"/>
    <w:rsid w:val="051C7239"/>
    <w:rsid w:val="08BB5118"/>
    <w:rsid w:val="0B7525F9"/>
    <w:rsid w:val="11FFE6B7"/>
    <w:rsid w:val="14371AF0"/>
    <w:rsid w:val="14F6CC32"/>
    <w:rsid w:val="156C1118"/>
    <w:rsid w:val="1DFD5D82"/>
    <w:rsid w:val="1EDF76EC"/>
    <w:rsid w:val="1F7F890B"/>
    <w:rsid w:val="256516E0"/>
    <w:rsid w:val="282B6C11"/>
    <w:rsid w:val="282E6701"/>
    <w:rsid w:val="2AA9206F"/>
    <w:rsid w:val="2CA26BB3"/>
    <w:rsid w:val="2EDE0AAE"/>
    <w:rsid w:val="2FFF8A78"/>
    <w:rsid w:val="34A0673F"/>
    <w:rsid w:val="37F98AD7"/>
    <w:rsid w:val="39EBA428"/>
    <w:rsid w:val="39FF846D"/>
    <w:rsid w:val="3A3C1CAE"/>
    <w:rsid w:val="3B2361F6"/>
    <w:rsid w:val="3BB05953"/>
    <w:rsid w:val="3BB33560"/>
    <w:rsid w:val="3CFF7C82"/>
    <w:rsid w:val="3EAB0813"/>
    <w:rsid w:val="3F7B314F"/>
    <w:rsid w:val="3FDEB800"/>
    <w:rsid w:val="3FEE48C7"/>
    <w:rsid w:val="3FFD99FB"/>
    <w:rsid w:val="3FFF8EA2"/>
    <w:rsid w:val="3FFF9797"/>
    <w:rsid w:val="40AA5640"/>
    <w:rsid w:val="40CA1E14"/>
    <w:rsid w:val="46FE94E1"/>
    <w:rsid w:val="470B2BB7"/>
    <w:rsid w:val="4EAC01FC"/>
    <w:rsid w:val="4FB89F11"/>
    <w:rsid w:val="4FCD625B"/>
    <w:rsid w:val="53ED1909"/>
    <w:rsid w:val="55ED99BE"/>
    <w:rsid w:val="5617ADF6"/>
    <w:rsid w:val="573F8DD1"/>
    <w:rsid w:val="574F09BD"/>
    <w:rsid w:val="575F3E08"/>
    <w:rsid w:val="57FF75D1"/>
    <w:rsid w:val="59DFFC42"/>
    <w:rsid w:val="5CF5F879"/>
    <w:rsid w:val="5DA7F8B1"/>
    <w:rsid w:val="5DBFCFC8"/>
    <w:rsid w:val="5DF6A78D"/>
    <w:rsid w:val="5EB9BC33"/>
    <w:rsid w:val="5EE2233A"/>
    <w:rsid w:val="5F87A665"/>
    <w:rsid w:val="5FDED0C4"/>
    <w:rsid w:val="5FE30F68"/>
    <w:rsid w:val="5FFF6F62"/>
    <w:rsid w:val="629B0A05"/>
    <w:rsid w:val="63161C90"/>
    <w:rsid w:val="68FD8E91"/>
    <w:rsid w:val="6B80015E"/>
    <w:rsid w:val="6BD8AA89"/>
    <w:rsid w:val="6BFFCC8C"/>
    <w:rsid w:val="6D2DE8DF"/>
    <w:rsid w:val="6D9D3984"/>
    <w:rsid w:val="6DA737DA"/>
    <w:rsid w:val="6DFBA023"/>
    <w:rsid w:val="6E976ED0"/>
    <w:rsid w:val="6ECACC23"/>
    <w:rsid w:val="6FD7D1B5"/>
    <w:rsid w:val="6FDDA35B"/>
    <w:rsid w:val="71170D19"/>
    <w:rsid w:val="71685FF1"/>
    <w:rsid w:val="71930822"/>
    <w:rsid w:val="71BBD840"/>
    <w:rsid w:val="71DF7D38"/>
    <w:rsid w:val="71DFCDB2"/>
    <w:rsid w:val="72F7C976"/>
    <w:rsid w:val="73974F00"/>
    <w:rsid w:val="745E61F7"/>
    <w:rsid w:val="747E452E"/>
    <w:rsid w:val="75BE10B4"/>
    <w:rsid w:val="75FE55BE"/>
    <w:rsid w:val="76E5904C"/>
    <w:rsid w:val="776A6C6C"/>
    <w:rsid w:val="77D69E69"/>
    <w:rsid w:val="77EA7802"/>
    <w:rsid w:val="79ED195B"/>
    <w:rsid w:val="79FBAD07"/>
    <w:rsid w:val="79FD139A"/>
    <w:rsid w:val="7AA3BB09"/>
    <w:rsid w:val="7AFF3015"/>
    <w:rsid w:val="7AFFCF1D"/>
    <w:rsid w:val="7B51F2FB"/>
    <w:rsid w:val="7B6475E5"/>
    <w:rsid w:val="7B6BBF34"/>
    <w:rsid w:val="7BE79556"/>
    <w:rsid w:val="7CDFFED5"/>
    <w:rsid w:val="7D2D0B76"/>
    <w:rsid w:val="7D7BE406"/>
    <w:rsid w:val="7EFBF4CB"/>
    <w:rsid w:val="7EFF496E"/>
    <w:rsid w:val="7F1F6DCC"/>
    <w:rsid w:val="7F2E70F3"/>
    <w:rsid w:val="7F6F8216"/>
    <w:rsid w:val="7FAC3094"/>
    <w:rsid w:val="7FCE482A"/>
    <w:rsid w:val="7FDFA2F4"/>
    <w:rsid w:val="7FFBFBCA"/>
    <w:rsid w:val="7FFE4B7D"/>
    <w:rsid w:val="7FFFE176"/>
    <w:rsid w:val="8FFC70DC"/>
    <w:rsid w:val="9EF7B950"/>
    <w:rsid w:val="9EFED7E5"/>
    <w:rsid w:val="9F6738FE"/>
    <w:rsid w:val="9FBB0652"/>
    <w:rsid w:val="B5FEE4DE"/>
    <w:rsid w:val="BBFFCF91"/>
    <w:rsid w:val="BE7C9039"/>
    <w:rsid w:val="BFBCC093"/>
    <w:rsid w:val="BFEB80CC"/>
    <w:rsid w:val="BFED8746"/>
    <w:rsid w:val="BFF1F859"/>
    <w:rsid w:val="BFF79700"/>
    <w:rsid w:val="BFF9CA9D"/>
    <w:rsid w:val="C7FFD3BF"/>
    <w:rsid w:val="CDFF967C"/>
    <w:rsid w:val="CE78755B"/>
    <w:rsid w:val="CFB08F50"/>
    <w:rsid w:val="CFBFEC93"/>
    <w:rsid w:val="D5FE2BCF"/>
    <w:rsid w:val="D663D5D4"/>
    <w:rsid w:val="D8FFC817"/>
    <w:rsid w:val="D9FB263E"/>
    <w:rsid w:val="DB7C7213"/>
    <w:rsid w:val="DD5FA0A0"/>
    <w:rsid w:val="DFB7BF56"/>
    <w:rsid w:val="DFD7C0EB"/>
    <w:rsid w:val="DFDB6D2A"/>
    <w:rsid w:val="E37CA2C8"/>
    <w:rsid w:val="E3D5FDD5"/>
    <w:rsid w:val="E3F326B3"/>
    <w:rsid w:val="E77B79D4"/>
    <w:rsid w:val="EAFB83CC"/>
    <w:rsid w:val="EBBBE9A5"/>
    <w:rsid w:val="EDFB2E3A"/>
    <w:rsid w:val="EE7DBD76"/>
    <w:rsid w:val="EEF99C45"/>
    <w:rsid w:val="EF761C5A"/>
    <w:rsid w:val="EFF7AD69"/>
    <w:rsid w:val="EFFF4241"/>
    <w:rsid w:val="F1DDEC28"/>
    <w:rsid w:val="F39F0F25"/>
    <w:rsid w:val="F3FC421D"/>
    <w:rsid w:val="F56F96CB"/>
    <w:rsid w:val="F576C4DA"/>
    <w:rsid w:val="F69B7ECD"/>
    <w:rsid w:val="F6ED8C65"/>
    <w:rsid w:val="F6FECEAC"/>
    <w:rsid w:val="F717D54E"/>
    <w:rsid w:val="F75DDA06"/>
    <w:rsid w:val="F7BF09A4"/>
    <w:rsid w:val="F7BF457A"/>
    <w:rsid w:val="F7CB5B7F"/>
    <w:rsid w:val="F7D9C153"/>
    <w:rsid w:val="F97D9710"/>
    <w:rsid w:val="F9FF900E"/>
    <w:rsid w:val="FADE1FC7"/>
    <w:rsid w:val="FB7C8082"/>
    <w:rsid w:val="FB8DA72F"/>
    <w:rsid w:val="FBBFAD3D"/>
    <w:rsid w:val="FBBFB920"/>
    <w:rsid w:val="FBDFBD57"/>
    <w:rsid w:val="FBFB31E5"/>
    <w:rsid w:val="FBFB3FC5"/>
    <w:rsid w:val="FBFFA4B6"/>
    <w:rsid w:val="FCF988D4"/>
    <w:rsid w:val="FD3FF7C9"/>
    <w:rsid w:val="FDA83DB6"/>
    <w:rsid w:val="FDBDB0A7"/>
    <w:rsid w:val="FDDD20AD"/>
    <w:rsid w:val="FDEC7A15"/>
    <w:rsid w:val="FDEFCCB5"/>
    <w:rsid w:val="FDF89B70"/>
    <w:rsid w:val="FDFD57D7"/>
    <w:rsid w:val="FE5E43B0"/>
    <w:rsid w:val="FEFE3314"/>
    <w:rsid w:val="FF3DC2EB"/>
    <w:rsid w:val="FFAFFE75"/>
    <w:rsid w:val="FFBD06F9"/>
    <w:rsid w:val="FFC90B11"/>
    <w:rsid w:val="FFD93667"/>
    <w:rsid w:val="FFDF2E5C"/>
    <w:rsid w:val="FFE6308E"/>
    <w:rsid w:val="FFE6EFDB"/>
    <w:rsid w:val="FFFDB963"/>
    <w:rsid w:val="FFFDEDF9"/>
    <w:rsid w:val="FFFE9AC8"/>
    <w:rsid w:val="FFFF2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jc w:val="center"/>
      <w:outlineLvl w:val="1"/>
    </w:pPr>
    <w:rPr>
      <w:rFonts w:ascii="Arial" w:hAnsi="Arial"/>
      <w:b/>
      <w:sz w:val="28"/>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qFormat/>
    <w:uiPriority w:val="0"/>
    <w:pPr>
      <w:jc w:val="left"/>
    </w:p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4"/>
    <w:next w:val="4"/>
    <w:link w:val="27"/>
    <w:qFormat/>
    <w:uiPriority w:val="0"/>
    <w:rPr>
      <w:b/>
      <w:bCs/>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styleId="14">
    <w:name w:val="annotation reference"/>
    <w:qFormat/>
    <w:uiPriority w:val="0"/>
    <w:rPr>
      <w:sz w:val="21"/>
      <w:szCs w:val="21"/>
    </w:rPr>
  </w:style>
  <w:style w:type="character" w:customStyle="1" w:styleId="15">
    <w:name w:val="批注框文本 字符"/>
    <w:link w:val="5"/>
    <w:qFormat/>
    <w:uiPriority w:val="0"/>
    <w:rPr>
      <w:rFonts w:ascii="Calibri" w:hAnsi="Calibri"/>
      <w:kern w:val="2"/>
      <w:sz w:val="18"/>
      <w:szCs w:val="18"/>
    </w:rPr>
  </w:style>
  <w:style w:type="character" w:customStyle="1" w:styleId="16">
    <w:name w:val="NormalCharacter"/>
    <w:semiHidden/>
    <w:qFormat/>
    <w:uiPriority w:val="0"/>
    <w:rPr>
      <w:rFonts w:eastAsia="Cambria Math"/>
      <w:kern w:val="2"/>
      <w:sz w:val="21"/>
      <w:szCs w:val="24"/>
      <w:lang w:val="en-US" w:eastAsia="zh-CN" w:bidi="ar-SA"/>
    </w:rPr>
  </w:style>
  <w:style w:type="character" w:customStyle="1" w:styleId="17">
    <w:name w:val="navtiao"/>
    <w:basedOn w:val="11"/>
    <w:qFormat/>
    <w:uiPriority w:val="0"/>
    <w:rPr>
      <w:b/>
      <w:bCs/>
    </w:rPr>
  </w:style>
  <w:style w:type="paragraph" w:customStyle="1" w:styleId="18">
    <w:name w:val="_Style 13"/>
    <w:unhideWhenUsed/>
    <w:qFormat/>
    <w:uiPriority w:val="99"/>
    <w:rPr>
      <w:rFonts w:ascii="Calibri" w:hAnsi="Calibri" w:eastAsia="宋体" w:cs="Times New Roman"/>
      <w:kern w:val="2"/>
      <w:sz w:val="21"/>
      <w:szCs w:val="24"/>
      <w:lang w:val="en-US" w:eastAsia="zh-CN" w:bidi="ar-SA"/>
    </w:rPr>
  </w:style>
  <w:style w:type="paragraph" w:customStyle="1" w:styleId="19">
    <w:name w:val="fulltext-wrap_fulltext_TiaoYinV2"/>
    <w:qFormat/>
    <w:uiPriority w:val="0"/>
    <w:pPr>
      <w:widowControl w:val="0"/>
      <w:spacing w:line="384" w:lineRule="auto"/>
      <w:jc w:val="both"/>
    </w:pPr>
    <w:rPr>
      <w:rFonts w:ascii="Calibri" w:hAnsi="Calibri" w:eastAsia="宋体" w:cs="Times New Roman"/>
      <w:b/>
      <w:bCs/>
      <w:color w:val="218FC4"/>
      <w:kern w:val="2"/>
      <w:sz w:val="21"/>
      <w:szCs w:val="21"/>
      <w:lang w:val="en-US" w:eastAsia="zh-CN" w:bidi="ar-SA"/>
    </w:rPr>
  </w:style>
  <w:style w:type="character" w:customStyle="1" w:styleId="20">
    <w:name w:val="fulltext-wrap_navtiao"/>
    <w:basedOn w:val="11"/>
    <w:qFormat/>
    <w:uiPriority w:val="0"/>
    <w:rPr>
      <w:b/>
      <w:bCs/>
    </w:rPr>
  </w:style>
  <w:style w:type="paragraph" w:customStyle="1" w:styleId="21">
    <w:name w:val="div"/>
    <w:qFormat/>
    <w:uiPriority w:val="0"/>
    <w:pPr>
      <w:widowControl w:val="0"/>
      <w:jc w:val="both"/>
      <w:textAlignment w:val="baseline"/>
    </w:pPr>
    <w:rPr>
      <w:rFonts w:ascii="Calibri" w:hAnsi="Calibri" w:eastAsia="宋体" w:cs="Times New Roman"/>
      <w:kern w:val="2"/>
      <w:sz w:val="24"/>
      <w:szCs w:val="24"/>
      <w:lang w:val="en-US" w:eastAsia="zh-CN" w:bidi="ar-SA"/>
    </w:rPr>
  </w:style>
  <w:style w:type="paragraph" w:customStyle="1" w:styleId="22">
    <w:name w:val="fulltext-wrap_title"/>
    <w:qFormat/>
    <w:uiPriority w:val="0"/>
    <w:pPr>
      <w:widowControl w:val="0"/>
      <w:jc w:val="center"/>
    </w:pPr>
    <w:rPr>
      <w:rFonts w:ascii="Calibri" w:hAnsi="Calibri" w:eastAsia="宋体" w:cs="Times New Roman"/>
      <w:kern w:val="2"/>
      <w:sz w:val="30"/>
      <w:szCs w:val="30"/>
      <w:lang w:val="en-US" w:eastAsia="zh-CN" w:bidi="ar-SA"/>
    </w:rPr>
  </w:style>
  <w:style w:type="character" w:customStyle="1" w:styleId="23">
    <w:name w:val="font11"/>
    <w:qFormat/>
    <w:uiPriority w:val="0"/>
    <w:rPr>
      <w:rFonts w:hint="eastAsia" w:ascii="宋体" w:hAnsi="宋体" w:eastAsia="宋体" w:cs="宋体"/>
      <w:b/>
      <w:bCs/>
      <w:color w:val="000000"/>
      <w:sz w:val="22"/>
      <w:szCs w:val="22"/>
      <w:u w:val="none"/>
    </w:rPr>
  </w:style>
  <w:style w:type="character" w:customStyle="1" w:styleId="24">
    <w:name w:val="font21"/>
    <w:basedOn w:val="11"/>
    <w:qFormat/>
    <w:uiPriority w:val="0"/>
    <w:rPr>
      <w:rFonts w:hint="eastAsia" w:ascii="宋体" w:hAnsi="宋体" w:eastAsia="宋体" w:cs="宋体"/>
      <w:color w:val="000000"/>
      <w:sz w:val="22"/>
      <w:szCs w:val="22"/>
      <w:u w:val="none"/>
    </w:rPr>
  </w:style>
  <w:style w:type="character" w:customStyle="1" w:styleId="25">
    <w:name w:val="font81"/>
    <w:qFormat/>
    <w:uiPriority w:val="0"/>
    <w:rPr>
      <w:rFonts w:hint="eastAsia" w:ascii="宋体" w:hAnsi="宋体" w:eastAsia="宋体" w:cs="宋体"/>
      <w:color w:val="000000"/>
      <w:sz w:val="22"/>
      <w:szCs w:val="22"/>
      <w:u w:val="none"/>
    </w:rPr>
  </w:style>
  <w:style w:type="character" w:customStyle="1" w:styleId="26">
    <w:name w:val="批注文字 字符"/>
    <w:link w:val="4"/>
    <w:qFormat/>
    <w:uiPriority w:val="0"/>
    <w:rPr>
      <w:rFonts w:ascii="Calibri" w:hAnsi="Calibri"/>
      <w:kern w:val="2"/>
      <w:sz w:val="21"/>
      <w:szCs w:val="24"/>
    </w:rPr>
  </w:style>
  <w:style w:type="character" w:customStyle="1" w:styleId="27">
    <w:name w:val="批注主题 字符"/>
    <w:link w:val="9"/>
    <w:qFormat/>
    <w:uiPriority w:val="0"/>
    <w:rPr>
      <w:rFonts w:ascii="Calibri" w:hAnsi="Calibri"/>
      <w:b/>
      <w:bCs/>
      <w:kern w:val="2"/>
      <w:sz w:val="21"/>
      <w:szCs w:val="24"/>
    </w:rPr>
  </w:style>
  <w:style w:type="character" w:customStyle="1" w:styleId="28">
    <w:name w:val="font101"/>
    <w:basedOn w:val="11"/>
    <w:qFormat/>
    <w:uiPriority w:val="0"/>
    <w:rPr>
      <w:rFonts w:hint="eastAsia" w:ascii="宋体" w:hAnsi="宋体" w:eastAsia="宋体" w:cs="宋体"/>
      <w:color w:val="000000"/>
      <w:sz w:val="22"/>
      <w:szCs w:val="22"/>
      <w:u w:val="none"/>
    </w:rPr>
  </w:style>
  <w:style w:type="character" w:customStyle="1" w:styleId="29">
    <w:name w:val="font31"/>
    <w:basedOn w:val="11"/>
    <w:qFormat/>
    <w:uiPriority w:val="0"/>
    <w:rPr>
      <w:rFonts w:hint="eastAsia" w:ascii="宋体" w:hAnsi="宋体" w:eastAsia="宋体" w:cs="宋体"/>
      <w:color w:val="000000"/>
      <w:sz w:val="22"/>
      <w:szCs w:val="22"/>
      <w:u w:val="none"/>
    </w:rPr>
  </w:style>
  <w:style w:type="paragraph" w:customStyle="1" w:styleId="30">
    <w:name w:val="修订1"/>
    <w:hidden/>
    <w:unhideWhenUsed/>
    <w:qFormat/>
    <w:uiPriority w:val="99"/>
    <w:rPr>
      <w:rFonts w:ascii="Calibri" w:hAnsi="Calibri" w:eastAsia="宋体" w:cs="Times New Roman"/>
      <w:kern w:val="2"/>
      <w:sz w:val="21"/>
      <w:szCs w:val="24"/>
      <w:lang w:val="en-US" w:eastAsia="zh-CN" w:bidi="ar-SA"/>
    </w:rPr>
  </w:style>
  <w:style w:type="paragraph" w:customStyle="1" w:styleId="31">
    <w:name w:val="修订2"/>
    <w:hidden/>
    <w:unhideWhenUsed/>
    <w:qFormat/>
    <w:uiPriority w:val="99"/>
    <w:rPr>
      <w:rFonts w:ascii="Calibri" w:hAnsi="Calibri" w:eastAsia="宋体" w:cs="Times New Roman"/>
      <w:kern w:val="2"/>
      <w:sz w:val="21"/>
      <w:szCs w:val="24"/>
      <w:lang w:val="en-US" w:eastAsia="zh-CN" w:bidi="ar-SA"/>
    </w:rPr>
  </w:style>
  <w:style w:type="paragraph" w:customStyle="1" w:styleId="32">
    <w:name w:val="修订3"/>
    <w:hidden/>
    <w:unhideWhenUsed/>
    <w:qFormat/>
    <w:uiPriority w:val="99"/>
    <w:rPr>
      <w:rFonts w:ascii="Calibri" w:hAnsi="Calibri" w:eastAsia="宋体" w:cs="Times New Roman"/>
      <w:kern w:val="2"/>
      <w:sz w:val="21"/>
      <w:szCs w:val="24"/>
      <w:lang w:val="en-US" w:eastAsia="zh-CN" w:bidi="ar-SA"/>
    </w:rPr>
  </w:style>
  <w:style w:type="character" w:customStyle="1" w:styleId="33">
    <w:name w:val="a"/>
    <w:basedOn w:val="11"/>
    <w:qFormat/>
    <w:uiPriority w:val="0"/>
    <w:rPr>
      <w:color w:val="218FC4"/>
    </w:rPr>
  </w:style>
  <w:style w:type="paragraph" w:customStyle="1" w:styleId="34">
    <w:name w:val="修订4"/>
    <w:hidden/>
    <w:unhideWhenUsed/>
    <w:qFormat/>
    <w:uiPriority w:val="99"/>
    <w:rPr>
      <w:rFonts w:ascii="Calibri" w:hAnsi="Calibri" w:eastAsia="宋体" w:cs="Times New Roman"/>
      <w:kern w:val="2"/>
      <w:sz w:val="21"/>
      <w:szCs w:val="24"/>
      <w:lang w:val="en-US" w:eastAsia="zh-CN" w:bidi="ar-SA"/>
    </w:rPr>
  </w:style>
  <w:style w:type="paragraph" w:customStyle="1" w:styleId="35">
    <w:name w:val="修订5"/>
    <w:hidden/>
    <w:unhideWhenUsed/>
    <w:qFormat/>
    <w:uiPriority w:val="99"/>
    <w:rPr>
      <w:rFonts w:ascii="Calibri" w:hAnsi="Calibri" w:eastAsia="宋体" w:cs="Times New Roman"/>
      <w:kern w:val="2"/>
      <w:sz w:val="21"/>
      <w:szCs w:val="24"/>
      <w:lang w:val="en-US" w:eastAsia="zh-CN" w:bidi="ar-SA"/>
    </w:rPr>
  </w:style>
  <w:style w:type="paragraph" w:customStyle="1" w:styleId="36">
    <w:name w:val="修订6"/>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1200</Words>
  <Characters>6844</Characters>
  <Lines>57</Lines>
  <Paragraphs>16</Paragraphs>
  <TotalTime>5</TotalTime>
  <ScaleCrop>false</ScaleCrop>
  <LinksUpToDate>false</LinksUpToDate>
  <CharactersWithSpaces>8028</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2025-03-11T17:04:00Z</dcterms:created>
  <dc:creator>Administrator</dc:creator>
  <cp:lastModifiedBy>uos</cp:lastModifiedBy>
  <cp:lastPrinted>2023-07-17T00:58:00Z</cp:lastPrinted>
  <dcterms:modified xsi:type="dcterms:W3CDTF">2025-03-10T18:40:22Z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1C6340800F1E4F5F97D5543CA6DE30A2_13</vt:lpwstr>
  </property>
  <property fmtid="{D5CDD505-2E9C-101B-9397-08002B2CF9AE}" pid="4" name="KSOTemplateDocerSaveRecord">
    <vt:lpwstr>eyJoZGlkIjoiMWQwYmE5MTE0NTM4ZDk4MGRiMDFhOTM1OGRhYTRjZDciLCJ1c2VySWQiOiIzMDE1MjYxMjAifQ==</vt:lpwstr>
  </property>
</Properties>
</file>