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FD6A9C">
      <w:pPr>
        <w:spacing w:line="560" w:lineRule="exact"/>
        <w:jc w:val="center"/>
        <w:rPr>
          <w:rFonts w:ascii="方正小标宋_GBK" w:eastAsia="方正小标宋_GBK"/>
          <w:sz w:val="44"/>
          <w:szCs w:val="44"/>
        </w:rPr>
      </w:pPr>
      <w:r>
        <w:rPr>
          <w:rFonts w:hint="eastAsia" w:ascii="方正小标宋_GBK" w:eastAsia="方正小标宋_GBK"/>
          <w:sz w:val="44"/>
          <w:szCs w:val="44"/>
        </w:rPr>
        <w:t>其他食品（桃胶粉）生产许可审查方案</w:t>
      </w:r>
    </w:p>
    <w:p w14:paraId="250EFB51">
      <w:pPr>
        <w:spacing w:line="560" w:lineRule="exact"/>
        <w:jc w:val="center"/>
        <w:rPr>
          <w:rFonts w:ascii="方正小标宋_GBK" w:eastAsia="方正小标宋_GBK"/>
          <w:sz w:val="44"/>
          <w:szCs w:val="44"/>
        </w:rPr>
      </w:pPr>
      <w:r>
        <w:rPr>
          <w:rFonts w:hint="eastAsia" w:ascii="方正小标宋_GBK" w:eastAsia="方正小标宋_GBK"/>
          <w:sz w:val="44"/>
          <w:szCs w:val="44"/>
        </w:rPr>
        <w:t>（征求意见稿）</w:t>
      </w:r>
    </w:p>
    <w:p w14:paraId="56BB4149">
      <w:pPr>
        <w:widowControl/>
        <w:spacing w:line="560" w:lineRule="exact"/>
        <w:jc w:val="center"/>
        <w:rPr>
          <w:rFonts w:ascii="Times New Roman" w:hAnsi="Times New Roman" w:eastAsia="宋体" w:cs="Times New Roman"/>
          <w:b/>
          <w:bCs/>
          <w:kern w:val="0"/>
          <w:sz w:val="43"/>
          <w:szCs w:val="43"/>
        </w:rPr>
      </w:pPr>
    </w:p>
    <w:p w14:paraId="587B7D14">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第一章 总则</w:t>
      </w:r>
    </w:p>
    <w:p w14:paraId="2AEBFBEA">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为规范其他食品（桃胶粉）生产许可审查工作， 依据《中华人民共和国食品安全法》</w:t>
      </w:r>
      <w:r>
        <w:rPr>
          <w:rFonts w:hint="eastAsia" w:ascii="Times New Roman" w:hAnsi="Times New Roman" w:eastAsia="方正仿宋_GBK" w:cs="Times New Roman"/>
          <w:sz w:val="32"/>
          <w:szCs w:val="32"/>
        </w:rPr>
        <w:t>《中华</w:t>
      </w:r>
      <w:r>
        <w:rPr>
          <w:rFonts w:ascii="Times New Roman" w:hAnsi="Times New Roman" w:eastAsia="方正仿宋_GBK" w:cs="Times New Roman"/>
          <w:sz w:val="32"/>
          <w:szCs w:val="32"/>
        </w:rPr>
        <w:t>人民共和国食品安全法实施条例</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《食品生产许可管理办法》《食品生产许可审查通则》（以下简称通则）</w:t>
      </w:r>
      <w:r>
        <w:rPr>
          <w:rFonts w:hint="eastAsia" w:ascii="Times New Roman" w:hAnsi="Times New Roman" w:eastAsia="方正仿宋_GBK" w:cs="Times New Roman"/>
          <w:sz w:val="32"/>
          <w:szCs w:val="32"/>
        </w:rPr>
        <w:t>等有关法律法规、规章和食品安全国家标准，</w:t>
      </w:r>
      <w:r>
        <w:rPr>
          <w:rFonts w:ascii="Times New Roman" w:hAnsi="Times New Roman" w:eastAsia="方正仿宋_GBK" w:cs="Times New Roman"/>
          <w:sz w:val="32"/>
          <w:szCs w:val="32"/>
        </w:rPr>
        <w:t xml:space="preserve"> 制定其他食品（桃胶粉） 生产许可审查方案（以下简称方案）。</w:t>
      </w:r>
    </w:p>
    <w:p w14:paraId="5D11C248">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本方案与通则结合使用，适用于其他食品（桃胶粉）生产许可审查工作。本产品不允许分装。</w:t>
      </w:r>
    </w:p>
    <w:p w14:paraId="446177FD">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实施食品生产许可管理的其他食品（桃胶粉）， 适用于以桃胶为原料，经干燥、粉碎、包装等工艺加工而制成的供食品加工用的桃胶粉。</w:t>
      </w:r>
    </w:p>
    <w:p w14:paraId="54595139">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本方案引用的文件、标准通过引用成为本方案的内容。凡是引用文件、标准，其最新版本（包括所有的修改单）适用于本方案。</w:t>
      </w:r>
    </w:p>
    <w:p w14:paraId="4F79ABFF">
      <w:pPr>
        <w:pStyle w:val="17"/>
        <w:spacing w:line="560" w:lineRule="exact"/>
        <w:ind w:left="709" w:firstLine="0" w:firstLineChars="0"/>
        <w:rPr>
          <w:rFonts w:ascii="Times New Roman" w:hAnsi="Times New Roman" w:eastAsia="方正仿宋_GBK" w:cs="Times New Roman"/>
          <w:sz w:val="32"/>
          <w:szCs w:val="32"/>
        </w:rPr>
      </w:pPr>
    </w:p>
    <w:p w14:paraId="44D6CD4F">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第二章 桃胶粉生产许可审查要求</w:t>
      </w:r>
    </w:p>
    <w:p w14:paraId="12EB95AB">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第一节 许可范围</w:t>
      </w:r>
    </w:p>
    <w:p w14:paraId="27C76787">
      <w:pPr>
        <w:pStyle w:val="17"/>
        <w:numPr>
          <w:ilvl w:val="0"/>
          <w:numId w:val="1"/>
        </w:numPr>
        <w:spacing w:line="560" w:lineRule="exact"/>
        <w:ind w:left="0" w:firstLine="709" w:firstLineChars="0"/>
        <w:rPr>
          <w:rFonts w:ascii="华文仿宋" w:hAnsi="华文仿宋" w:eastAsia="华文仿宋" w:cs="华文仿宋"/>
          <w:sz w:val="28"/>
          <w:szCs w:val="28"/>
        </w:rPr>
      </w:pPr>
      <w:r>
        <w:rPr>
          <w:rFonts w:hint="eastAsia" w:ascii="Times New Roman" w:hAnsi="Times New Roman" w:eastAsia="方正仿宋_GBK" w:cs="Times New Roman"/>
          <w:sz w:val="32"/>
          <w:szCs w:val="32"/>
        </w:rPr>
        <w:t>实施食品生产许可管理的其他食品（桃胶粉）申证单元为1个。在生产许可证上应当注明申证单元及产品品种，产品生产许可证有效期为5年，其产品类别编号为3101。</w:t>
      </w:r>
    </w:p>
    <w:p w14:paraId="7E4753B0">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第二节 生产场所核查</w:t>
      </w:r>
    </w:p>
    <w:p w14:paraId="54670DEA">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厂房选址、厂区环境、厂房、辅助生产设施要求应符合通则中生产场所及《食品安全国家标准 食品生产通用卫生规范》（GB 14881）的相关规定。</w:t>
      </w:r>
    </w:p>
    <w:p w14:paraId="011D2A34">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生产场所应根据生产流程、操作需要和清洁度的要求采取有效分离或分隔，避免交叉污染。</w:t>
      </w:r>
    </w:p>
    <w:p w14:paraId="4F0928E8">
      <w:pPr>
        <w:pStyle w:val="17"/>
        <w:numPr>
          <w:ilvl w:val="0"/>
          <w:numId w:val="1"/>
        </w:numPr>
        <w:spacing w:line="560" w:lineRule="exact"/>
        <w:ind w:left="0" w:firstLine="709" w:firstLineChars="0"/>
        <w:rPr>
          <w:rFonts w:ascii="华文仿宋" w:hAnsi="华文仿宋" w:eastAsia="华文仿宋" w:cs="华文仿宋"/>
          <w:kern w:val="0"/>
          <w:sz w:val="32"/>
          <w:szCs w:val="32"/>
        </w:rPr>
      </w:pPr>
      <w:r>
        <w:rPr>
          <w:rFonts w:hint="eastAsia" w:ascii="Times New Roman" w:hAnsi="Times New Roman" w:eastAsia="方正仿宋_GBK" w:cs="Times New Roman"/>
          <w:sz w:val="32"/>
          <w:szCs w:val="32"/>
        </w:rPr>
        <w:t>生产车间依其清洁度要求一般分为： 一般作业区 （原辅料仓库、包材仓库、成品仓库、外包装间、原料脱包间等）， 准清洁作业区（干燥车间、粉碎车间等），清洁作业区（ 内包材消毒间、 内包装间等）。清洁作业区应相对封闭独立，对空气环境应进行消毒处理。</w:t>
      </w:r>
    </w:p>
    <w:p w14:paraId="25561359">
      <w:pPr>
        <w:pStyle w:val="17"/>
        <w:numPr>
          <w:ilvl w:val="0"/>
          <w:numId w:val="1"/>
        </w:numPr>
        <w:spacing w:line="560" w:lineRule="exact"/>
        <w:ind w:left="0" w:firstLine="709" w:firstLineChars="0"/>
        <w:rPr>
          <w:rFonts w:ascii="华文仿宋" w:hAnsi="华文仿宋" w:eastAsia="华文仿宋" w:cs="华文仿宋"/>
          <w:kern w:val="0"/>
          <w:sz w:val="32"/>
          <w:szCs w:val="32"/>
        </w:rPr>
      </w:pPr>
      <w:r>
        <w:rPr>
          <w:rFonts w:hint="eastAsia" w:ascii="Times New Roman" w:hAnsi="Times New Roman" w:eastAsia="方正仿宋_GBK" w:cs="Times New Roman"/>
          <w:sz w:val="32"/>
          <w:szCs w:val="32"/>
        </w:rPr>
        <w:t>生产场所或生产车间入口处应当设置更衣室，并设置与岗位人数相匹配的洗手、干手和消毒设施、换鞋（穿戴鞋套）或工作</w:t>
      </w:r>
      <w:r>
        <w:rPr>
          <w:rFonts w:ascii="Times New Roman" w:hAnsi="Times New Roman" w:eastAsia="方正仿宋_GBK" w:cs="Times New Roman"/>
          <w:sz w:val="32"/>
          <w:szCs w:val="32"/>
        </w:rPr>
        <w:t>鞋靴</w:t>
      </w:r>
      <w:r>
        <w:rPr>
          <w:rFonts w:hint="eastAsia" w:ascii="Times New Roman" w:hAnsi="Times New Roman" w:eastAsia="方正仿宋_GBK" w:cs="Times New Roman"/>
          <w:sz w:val="32"/>
          <w:szCs w:val="32"/>
        </w:rPr>
        <w:t>消毒设施。必要时清洁作业区入口应当设置更衣室和与岗位人数相匹配的洗手、干手和消毒设施、换鞋（穿戴鞋套）或工作</w:t>
      </w:r>
      <w:r>
        <w:rPr>
          <w:rFonts w:ascii="Times New Roman" w:hAnsi="Times New Roman" w:eastAsia="方正仿宋_GBK" w:cs="Times New Roman"/>
          <w:sz w:val="32"/>
          <w:szCs w:val="32"/>
        </w:rPr>
        <w:t>鞋靴</w:t>
      </w:r>
      <w:r>
        <w:rPr>
          <w:rFonts w:hint="eastAsia" w:ascii="Times New Roman" w:hAnsi="Times New Roman" w:eastAsia="方正仿宋_GBK" w:cs="Times New Roman"/>
          <w:sz w:val="32"/>
          <w:szCs w:val="32"/>
        </w:rPr>
        <w:t>消毒设施。</w:t>
      </w:r>
    </w:p>
    <w:p w14:paraId="3370607C">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第三节 设备设施核查</w:t>
      </w:r>
    </w:p>
    <w:p w14:paraId="747E048B">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生产设备和设施根据实际工艺需要配备，主要设 备有：干燥设备、粉碎设备、异物控制设备、包装设备等。</w:t>
      </w:r>
    </w:p>
    <w:p w14:paraId="432977F7">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与原辅料、半成品、成品直接接触的设备与用具，应当使用无毒、无味、抗腐蚀、不易脱落、表面光滑、无吸收性的材料制作，易于清洁、保养和消毒。</w:t>
      </w:r>
    </w:p>
    <w:p w14:paraId="6A5DC633">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生产设备维修保养良好，并做好记录。用于监测、控制、记录的设备应当定期校准、维护。停用的设备需标注清晰，不影响正常生产。</w:t>
      </w:r>
    </w:p>
    <w:p w14:paraId="7D1C13E2">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桃胶粉生产企业应具有符合执行标准出厂检验要求的检验设备，精度</w:t>
      </w:r>
      <w:bookmarkStart w:id="0" w:name="_Hlk188818791"/>
      <w:r>
        <w:rPr>
          <w:rFonts w:hint="eastAsia" w:ascii="Times New Roman" w:hAnsi="Times New Roman" w:eastAsia="方正仿宋_GBK" w:cs="Times New Roman"/>
          <w:sz w:val="32"/>
          <w:szCs w:val="32"/>
        </w:rPr>
        <w:t>和性能</w:t>
      </w:r>
      <w:bookmarkEnd w:id="0"/>
      <w:r>
        <w:rPr>
          <w:rFonts w:hint="eastAsia" w:ascii="Times New Roman" w:hAnsi="Times New Roman" w:eastAsia="方正仿宋_GBK" w:cs="Times New Roman"/>
          <w:sz w:val="32"/>
          <w:szCs w:val="32"/>
        </w:rPr>
        <w:t>应满足检验需要，检验仪器设备和检验用计量器具应按照相关规定定期进行校准或检定。一般应具有：（一）天平（0.1g）；（二）干燥箱；（三）分析天平（0.1mg）； （四）无菌室或超净工作台；（五）灭菌锅；（六）微生物培养箱；（七）生物显微镜等。企业委托出厂检验的项目可不配备相应项目有关的检验设备。</w:t>
      </w:r>
    </w:p>
    <w:p w14:paraId="1504E1D1">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第四节 设备布局和工艺流程核查</w:t>
      </w:r>
    </w:p>
    <w:p w14:paraId="32956234">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生产设备的布局应当与产品工艺流程相符，避免交叉污染。</w:t>
      </w:r>
    </w:p>
    <w:p w14:paraId="17323D92">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桃胶粉工艺流程一般包括原辅料验收、去杂、干燥、粉碎、异物控制、包装等。具体产品按企业实际工艺流程生产，但其工艺流程必须科学合理，符合相关规定。其中，原辅料验收、去杂、干燥、粉碎和异物控制为关键控制环节。</w:t>
      </w:r>
    </w:p>
    <w:p w14:paraId="7D079C13">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原辅料验收控制。从合格供方购入，原辅料、包装材料必须符合相应的标准和有关规定。</w:t>
      </w:r>
    </w:p>
    <w:p w14:paraId="5B12C791">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去杂控制。根据产品要求清除桃胶表面的树叶、树皮等杂质。</w:t>
      </w:r>
    </w:p>
    <w:p w14:paraId="53638345">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干燥控制。根据工艺和产品要求严格监控并记录干燥温度、时间等影响干燥效果的参数。</w:t>
      </w:r>
    </w:p>
    <w:p w14:paraId="10627E81">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粉碎控制。根据工艺和产品要求严格监控并记 录细度等参数。</w:t>
      </w:r>
    </w:p>
    <w:p w14:paraId="17717294">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异物控制。对产品进行金属异物监测并做好记录。金属探测设备在整个使用过程中需定期进行校正。</w:t>
      </w:r>
    </w:p>
    <w:p w14:paraId="1D92457C">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第五节 人员核查</w:t>
      </w:r>
    </w:p>
    <w:p w14:paraId="5CCCA71F">
      <w:pPr>
        <w:pStyle w:val="17"/>
        <w:numPr>
          <w:ilvl w:val="0"/>
          <w:numId w:val="1"/>
        </w:numPr>
        <w:spacing w:line="560" w:lineRule="exact"/>
        <w:ind w:left="0" w:firstLine="709" w:firstLineChars="0"/>
        <w:rPr>
          <w:rFonts w:hint="eastAsia"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企业应建立并执行从业人员健康管理制度，建立人员健康管理档案，</w:t>
      </w:r>
      <w:r>
        <w:rPr>
          <w:rFonts w:hint="eastAsia" w:ascii="Times New Roman" w:hAnsi="Times New Roman" w:eastAsia="方正仿宋_GBK" w:cs="Times New Roman"/>
          <w:sz w:val="32"/>
          <w:szCs w:val="32"/>
        </w:rPr>
        <w:t>明确患有国务院卫生行政部门规定的有碍食品安全疾病的或有明显皮肤损伤未愈合的人员，不得从事接触直接入口食品的工作。从事接触直接入口食品工作的食品生产人员应当每年进行健康检查，取得健康证明后方可上岗工作。</w:t>
      </w:r>
    </w:p>
    <w:p w14:paraId="7C6D6969">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企业应配备食品安全管理人员和食品安全专业技术人员，食品安全管理人员应了解食品安全的基本原则和操作规范，能够判断食品安全潜在的风险，采取适当的预防和纠正措施，确保有效管理</w:t>
      </w:r>
      <w:r>
        <w:rPr>
          <w:rFonts w:hint="eastAsia" w:ascii="Times New Roman" w:hAnsi="Times New Roman" w:eastAsia="方正仿宋_GBK" w:cs="Times New Roman"/>
          <w:sz w:val="32"/>
          <w:szCs w:val="32"/>
        </w:rPr>
        <w:t>。</w:t>
      </w:r>
    </w:p>
    <w:p w14:paraId="40308B2D">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企业应建立并执行员工培训制度，</w:t>
      </w:r>
      <w:r>
        <w:rPr>
          <w:rFonts w:hint="eastAsia" w:ascii="Times New Roman" w:hAnsi="Times New Roman" w:eastAsia="方正仿宋_GBK" w:cs="Times New Roman"/>
          <w:sz w:val="32"/>
          <w:szCs w:val="32"/>
        </w:rPr>
        <w:t>制定</w:t>
      </w:r>
      <w:r>
        <w:rPr>
          <w:rFonts w:ascii="Times New Roman" w:hAnsi="Times New Roman" w:eastAsia="方正仿宋_GBK" w:cs="Times New Roman"/>
          <w:sz w:val="32"/>
          <w:szCs w:val="32"/>
        </w:rPr>
        <w:t>员工培训计划及考核制度，应对本单位的从业人员进行上岗前和在岗期间的食品安全知识培训，做好相关的培训及考核记录。应对食品安全管理人员、关键控制点操作人员及其他相关从业人员进行考核。考核不合格的，不得上岗。</w:t>
      </w:r>
    </w:p>
    <w:p w14:paraId="4DAEA5B2">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第六节 管理制度核查</w:t>
      </w:r>
    </w:p>
    <w:p w14:paraId="47522A56">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企业应建立并执行采购管理及进货查验记录制度。企业应规定食品原料、食品添加剂和食品相关产品的验收标准，定期对主要原料供应商进行评价、考核，确定合格供应商名单</w:t>
      </w:r>
      <w:r>
        <w:rPr>
          <w:rFonts w:hint="eastAsia" w:ascii="Times New Roman" w:hAnsi="Times New Roman" w:eastAsia="方正仿宋_GBK" w:cs="Times New Roman"/>
          <w:sz w:val="32"/>
          <w:szCs w:val="32"/>
        </w:rPr>
        <w:t xml:space="preserve">。 </w:t>
      </w:r>
    </w:p>
    <w:p w14:paraId="756146E1">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企业应建立并执行生产过程控制制度。在关键环节所在区域，配备相关的文件如岗位规程、记录表等。生产过程中原料管理（</w:t>
      </w:r>
      <w:r>
        <w:rPr>
          <w:rFonts w:hint="eastAsia" w:ascii="Times New Roman" w:hAnsi="Times New Roman" w:eastAsia="方正仿宋_GBK" w:cs="Times New Roman"/>
          <w:sz w:val="32"/>
          <w:szCs w:val="32"/>
        </w:rPr>
        <w:t>如</w:t>
      </w:r>
      <w:r>
        <w:rPr>
          <w:rFonts w:ascii="Times New Roman" w:hAnsi="Times New Roman" w:eastAsia="方正仿宋_GBK" w:cs="Times New Roman"/>
          <w:sz w:val="32"/>
          <w:szCs w:val="32"/>
        </w:rPr>
        <w:t>领料、投料</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余料管理等）、生产关键环节（如生产工序、设备、贮存、包装等）的控制措施实施记录，应与企业制定的工艺文件要求一致</w:t>
      </w:r>
      <w:r>
        <w:rPr>
          <w:rFonts w:hint="eastAsia" w:ascii="Times New Roman" w:hAnsi="Times New Roman" w:eastAsia="方正仿宋_GBK" w:cs="Times New Roman"/>
          <w:sz w:val="32"/>
          <w:szCs w:val="32"/>
        </w:rPr>
        <w:t xml:space="preserve">。 </w:t>
      </w:r>
    </w:p>
    <w:p w14:paraId="332E13C8">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检验管理及出厂检验记录制度。应包括原料检验、过程检验、出厂检验及产品留样的方式及要求，过程检验包括但不限于对半成品质量、安全指标的监测。产品执行标准规定出厂检验要求的，应按标准规定执行。执行标准未规定出厂检验要求的，企业应综合考虑产品特性、工艺特点、生产过程控制等因素确定检验项目、检验频次、检验方法等检验要求</w:t>
      </w:r>
      <w:r>
        <w:rPr>
          <w:rFonts w:hint="eastAsia" w:ascii="Times New Roman" w:hAnsi="Times New Roman" w:eastAsia="方正仿宋_GBK" w:cs="Times New Roman"/>
          <w:sz w:val="32"/>
          <w:szCs w:val="32"/>
        </w:rPr>
        <w:t>。</w:t>
      </w:r>
    </w:p>
    <w:p w14:paraId="4A8ED23B">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企业的检验能力至少满足感官、净含量、水分、大肠菌群等出厂检验项目的测定。</w:t>
      </w:r>
      <w:r>
        <w:rPr>
          <w:rFonts w:hint="eastAsia" w:ascii="Times New Roman" w:hAnsi="Times New Roman" w:eastAsia="方正仿宋_GBK" w:cs="Times New Roman"/>
          <w:sz w:val="32"/>
          <w:szCs w:val="32"/>
        </w:rPr>
        <w:t xml:space="preserve"> </w:t>
      </w:r>
    </w:p>
    <w:p w14:paraId="5BD36766">
      <w:pPr>
        <w:pStyle w:val="17"/>
        <w:spacing w:line="560" w:lineRule="exact"/>
        <w:ind w:firstLine="640"/>
        <w:rPr>
          <w:rFonts w:ascii="Times New Roman" w:hAnsi="Times New Roman" w:eastAsia="方正仿宋_GBK" w:cs="Times New Roman"/>
          <w:sz w:val="32"/>
          <w:szCs w:val="32"/>
        </w:rPr>
      </w:pPr>
      <w:r>
        <w:rPr>
          <w:rFonts w:ascii="Times New Roman" w:hAnsi="Times New Roman" w:eastAsia="方正仿宋_GBK" w:cs="Times New Roman"/>
          <w:sz w:val="32"/>
          <w:szCs w:val="32"/>
        </w:rPr>
        <w:t>（一）自行检验。自行检验的企业应具备与所检项目适应的检验室和检验能力。使用快速检测方法的，应定期与国家标准规定的检验方法进行比对或验证，保证检测结果准确。当快速检测方法检测结果显示异常时，应使用国家标准规定的检验方法进行验证。</w:t>
      </w:r>
    </w:p>
    <w:p w14:paraId="5C171E0C">
      <w:pPr>
        <w:pStyle w:val="17"/>
        <w:spacing w:line="560" w:lineRule="exact"/>
        <w:ind w:firstLine="640"/>
        <w:rPr>
          <w:rFonts w:ascii="Times New Roman" w:hAnsi="Times New Roman" w:eastAsia="方正仿宋_GBK" w:cs="Times New Roman"/>
          <w:sz w:val="32"/>
          <w:szCs w:val="32"/>
        </w:rPr>
      </w:pPr>
      <w:r>
        <w:rPr>
          <w:rFonts w:ascii="Times New Roman" w:hAnsi="Times New Roman" w:eastAsia="方正仿宋_GBK" w:cs="Times New Roman"/>
          <w:sz w:val="32"/>
          <w:szCs w:val="32"/>
        </w:rPr>
        <w:t>（二）委托检验。不能自行检验的，可委托具有检验资质的第三方检测机构进行检验，并妥善保存检验报告。</w:t>
      </w:r>
    </w:p>
    <w:p w14:paraId="5AE59F37">
      <w:pPr>
        <w:pStyle w:val="17"/>
        <w:spacing w:line="560" w:lineRule="exact"/>
        <w:ind w:firstLine="640"/>
        <w:rPr>
          <w:rFonts w:ascii="Times New Roman" w:hAnsi="Times New Roman" w:eastAsia="方正仿宋_GBK" w:cs="Times New Roman"/>
          <w:sz w:val="32"/>
          <w:szCs w:val="32"/>
        </w:rPr>
      </w:pPr>
      <w:r>
        <w:rPr>
          <w:rFonts w:ascii="Times New Roman" w:hAnsi="Times New Roman" w:eastAsia="方正仿宋_GBK" w:cs="Times New Roman"/>
          <w:sz w:val="32"/>
          <w:szCs w:val="32"/>
        </w:rPr>
        <w:t>（三）产品留样。每批产品均应有留样，产品留样间应满足产品贮存条件要求，留样数量应满足复检要求，产品留样应保存至保质期满并有记录。对过期产品进行科学处置，如实、完整记录留样及过期产品处置相关信息</w:t>
      </w:r>
      <w:r>
        <w:rPr>
          <w:rFonts w:hint="eastAsia" w:ascii="Times New Roman" w:hAnsi="Times New Roman" w:eastAsia="方正仿宋_GBK" w:cs="Times New Roman"/>
          <w:sz w:val="32"/>
          <w:szCs w:val="32"/>
        </w:rPr>
        <w:t xml:space="preserve">。 </w:t>
      </w:r>
    </w:p>
    <w:p w14:paraId="27134DF9">
      <w:pPr>
        <w:pStyle w:val="17"/>
        <w:numPr>
          <w:ilvl w:val="0"/>
          <w:numId w:val="1"/>
        </w:numPr>
        <w:spacing w:line="560" w:lineRule="exact"/>
        <w:ind w:left="0" w:firstLine="709" w:firstLineChars="0"/>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企业应建立并执行销售管理制度，建立产品的销售台帐。记录购货者名称、地址、联系方式等信息，保存相关记录和凭证。</w:t>
      </w:r>
    </w:p>
    <w:p w14:paraId="01EF993D">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企业应建立并执行运输和交付管理制度，根据产品特点、贮存要求、运输条件选择适宜的运输方式，并做好交付记录。委托运输的，应当对受委托方的食品安全保障能力进行审核</w:t>
      </w:r>
      <w:r>
        <w:rPr>
          <w:rFonts w:hint="eastAsia" w:ascii="Times New Roman" w:hAnsi="Times New Roman" w:eastAsia="方正仿宋_GBK" w:cs="Times New Roman"/>
          <w:sz w:val="32"/>
          <w:szCs w:val="32"/>
        </w:rPr>
        <w:t>。</w:t>
      </w:r>
    </w:p>
    <w:p w14:paraId="1E91F2E5">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不合格品管理制度。规定生产过程中发现的原辅料、半成品、成品中不合格品的管理要求和处置措施，不合格品的标识、隔离和处理等要求，对不合格品进行有效控制，防止不合格品的非预期使用和交付</w:t>
      </w:r>
      <w:r>
        <w:rPr>
          <w:rFonts w:hint="eastAsia" w:ascii="Times New Roman" w:hAnsi="Times New Roman" w:eastAsia="方正仿宋_GBK" w:cs="Times New Roman"/>
          <w:sz w:val="32"/>
          <w:szCs w:val="32"/>
        </w:rPr>
        <w:t>。</w:t>
      </w:r>
    </w:p>
    <w:p w14:paraId="1AD309ED">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食品安全自查管理制度，按计划开展企业自查自评，根据评价结果采取相应处理措施，保证产品的质量安全。有发生安全事故潜在风险，应当立即停止生产活动，并向所在地县级市场监管部门报告</w:t>
      </w:r>
      <w:r>
        <w:rPr>
          <w:rFonts w:hint="eastAsia" w:ascii="Times New Roman" w:hAnsi="Times New Roman" w:eastAsia="方正仿宋_GBK" w:cs="Times New Roman"/>
          <w:sz w:val="32"/>
          <w:szCs w:val="32"/>
        </w:rPr>
        <w:t xml:space="preserve">。 </w:t>
      </w:r>
    </w:p>
    <w:p w14:paraId="2684D6A3">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企业应建立并执行食品安全追溯管理制度，记录并保存法律、法规及标准等规定的信息，加强对食品标识的监督管理，保证产品可追溯</w:t>
      </w:r>
      <w:r>
        <w:rPr>
          <w:rFonts w:hint="eastAsia" w:ascii="Times New Roman" w:hAnsi="Times New Roman" w:eastAsia="方正仿宋_GBK" w:cs="Times New Roman"/>
          <w:sz w:val="32"/>
          <w:szCs w:val="32"/>
        </w:rPr>
        <w:t xml:space="preserve">。 </w:t>
      </w:r>
    </w:p>
    <w:p w14:paraId="143A6BCD">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不安全食品召回管理制度，明确停止生产、召回和处置不安全食品的相关要求，记录召回和通知情况。在需要时对不安全食品进行有效召回，减少和避免不安全食品的危害，保障企业和消费者合法权益，满足国家法律法规的要求</w:t>
      </w:r>
      <w:r>
        <w:rPr>
          <w:rFonts w:hint="eastAsia" w:ascii="Times New Roman" w:hAnsi="Times New Roman" w:eastAsia="方正仿宋_GBK" w:cs="Times New Roman"/>
          <w:sz w:val="32"/>
          <w:szCs w:val="32"/>
        </w:rPr>
        <w:t>。</w:t>
      </w:r>
    </w:p>
    <w:p w14:paraId="77B11688">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企业应建立并执行食品安全事故处置方案，规定食品安全事故处置措施及向事故发生地县级市场监督管理部门和卫生行政部门报告的要求。</w:t>
      </w:r>
      <w:r>
        <w:rPr>
          <w:rFonts w:ascii="Times New Roman" w:hAnsi="Times New Roman" w:eastAsia="方正仿宋_GBK" w:cs="Times New Roman"/>
          <w:sz w:val="32"/>
          <w:szCs w:val="32"/>
          <w:highlight w:val="none"/>
        </w:rPr>
        <w:t>有效处置食品安全重大事故和重大隐患，快速、及时、妥善控制和消除突发产品安全重特大事故的危害，减少人员伤亡，保障人民群众的身体健康和生命安全</w:t>
      </w:r>
      <w:r>
        <w:rPr>
          <w:rFonts w:hint="eastAsia"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rPr>
        <w:t xml:space="preserve"> </w:t>
      </w:r>
    </w:p>
    <w:p w14:paraId="711A30D1">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第七节 试制产品检验</w:t>
      </w:r>
    </w:p>
    <w:p w14:paraId="5B23B057">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企业应按所申报其他食品（桃胶粉）类别和执行标准，</w:t>
      </w:r>
      <w:r>
        <w:rPr>
          <w:rFonts w:ascii="Times New Roman" w:hAnsi="Times New Roman" w:eastAsia="方正仿宋_GBK" w:cs="Times New Roman"/>
          <w:sz w:val="32"/>
          <w:szCs w:val="32"/>
        </w:rPr>
        <w:t>分别从同一规格、同一批次的试制产品中抽取具有代表性的样品检验，企业应对检验报告真实性负责</w:t>
      </w:r>
      <w:r>
        <w:rPr>
          <w:rFonts w:hint="eastAsia" w:ascii="Times New Roman" w:hAnsi="Times New Roman" w:eastAsia="方正仿宋_GBK" w:cs="Times New Roman"/>
          <w:sz w:val="32"/>
          <w:szCs w:val="32"/>
        </w:rPr>
        <w:t>。</w:t>
      </w:r>
    </w:p>
    <w:p w14:paraId="3C7C2AEF">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检验项目应符合相应的食品安全国家标准及企业明示的产品执行标准，包括国家标准、行业标准、地方标准、团体标准、企业标准等及国务院卫生行政部门的相关公告的要求</w:t>
      </w:r>
      <w:r>
        <w:rPr>
          <w:rFonts w:hint="eastAsia" w:ascii="Times New Roman" w:hAnsi="Times New Roman" w:eastAsia="方正仿宋_GBK" w:cs="Times New Roman"/>
          <w:sz w:val="32"/>
          <w:szCs w:val="32"/>
        </w:rPr>
        <w:t>。</w:t>
      </w:r>
    </w:p>
    <w:p w14:paraId="72785449">
      <w:pPr>
        <w:pStyle w:val="17"/>
        <w:spacing w:line="560" w:lineRule="exact"/>
        <w:ind w:left="709" w:firstLine="0" w:firstLineChars="0"/>
        <w:rPr>
          <w:rFonts w:ascii="Times New Roman" w:hAnsi="Times New Roman" w:eastAsia="方正仿宋_GBK" w:cs="Times New Roman"/>
          <w:sz w:val="32"/>
          <w:szCs w:val="32"/>
        </w:rPr>
      </w:pPr>
    </w:p>
    <w:p w14:paraId="62DE8F58">
      <w:pPr>
        <w:spacing w:before="156" w:beforeLines="50" w:after="156" w:afterLines="50" w:line="560" w:lineRule="exact"/>
        <w:jc w:val="center"/>
        <w:rPr>
          <w:rFonts w:ascii="方正黑体_GBK" w:eastAsia="方正黑体_GBK"/>
          <w:sz w:val="32"/>
          <w:szCs w:val="32"/>
        </w:rPr>
      </w:pPr>
      <w:r>
        <w:rPr>
          <w:rFonts w:hint="eastAsia" w:ascii="方正黑体_GBK" w:eastAsia="方正黑体_GBK"/>
          <w:sz w:val="32"/>
          <w:szCs w:val="32"/>
        </w:rPr>
        <w:t>第三章 附则</w:t>
      </w:r>
    </w:p>
    <w:p w14:paraId="568437FA">
      <w:pPr>
        <w:pStyle w:val="17"/>
        <w:numPr>
          <w:ilvl w:val="0"/>
          <w:numId w:val="1"/>
        </w:numPr>
        <w:spacing w:line="560" w:lineRule="exact"/>
        <w:ind w:left="0" w:firstLine="709"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桃胶粉的检验相关标准、检验项目和方法参见附件</w:t>
      </w:r>
      <w:r>
        <w:rPr>
          <w:rFonts w:hint="eastAsia" w:ascii="Times New Roman" w:hAnsi="Times New Roman" w:eastAsia="方正仿宋_GBK" w:cs="Times New Roman"/>
          <w:sz w:val="32"/>
          <w:szCs w:val="32"/>
        </w:rPr>
        <w:t>。</w:t>
      </w:r>
    </w:p>
    <w:p w14:paraId="6FD0F466">
      <w:pPr>
        <w:pStyle w:val="17"/>
        <w:spacing w:line="560" w:lineRule="exact"/>
        <w:ind w:left="709" w:firstLine="0" w:firstLineChars="0"/>
        <w:rPr>
          <w:rFonts w:ascii="Times New Roman" w:hAnsi="Times New Roman" w:eastAsia="方正仿宋_GBK" w:cs="Times New Roman"/>
          <w:sz w:val="32"/>
          <w:szCs w:val="32"/>
        </w:rPr>
      </w:pPr>
      <w:bookmarkStart w:id="1" w:name="_GoBack"/>
      <w:bookmarkEnd w:id="1"/>
    </w:p>
    <w:p w14:paraId="57D29824">
      <w:pPr>
        <w:pStyle w:val="17"/>
        <w:spacing w:line="560" w:lineRule="exact"/>
        <w:ind w:left="851" w:firstLine="0" w:firstLineChars="0"/>
        <w:rPr>
          <w:rFonts w:ascii="Times New Roman" w:hAnsi="Times New Roman" w:eastAsia="方正仿宋_GBK" w:cs="Times New Roman"/>
          <w:sz w:val="32"/>
          <w:szCs w:val="32"/>
        </w:rPr>
      </w:pPr>
      <w:r>
        <w:rPr>
          <w:rFonts w:ascii="Times New Roman" w:hAnsi="Times New Roman" w:eastAsia="方正仿宋_GBK" w:cs="Times New Roman"/>
          <w:sz w:val="32"/>
          <w:szCs w:val="32"/>
        </w:rPr>
        <w:t>附件：桃胶粉规定的检验项目与方法</w:t>
      </w:r>
    </w:p>
    <w:p w14:paraId="210F58D8">
      <w:pPr>
        <w:rPr>
          <w:rFonts w:ascii="Times New Roman" w:hAnsi="Times New Roman" w:eastAsia="方正仿宋_GBK" w:cs="Times New Roman"/>
          <w:sz w:val="32"/>
          <w:szCs w:val="32"/>
        </w:rPr>
      </w:pPr>
      <w:r>
        <w:rPr>
          <w:rFonts w:ascii="Times New Roman" w:hAnsi="Times New Roman" w:eastAsia="方正仿宋_GBK" w:cs="Times New Roman"/>
          <w:sz w:val="32"/>
          <w:szCs w:val="32"/>
        </w:rPr>
        <w:br w:type="page"/>
      </w:r>
    </w:p>
    <w:p w14:paraId="7ADE77A3">
      <w:pPr>
        <w:spacing w:line="540" w:lineRule="exact"/>
        <w:rPr>
          <w:rFonts w:ascii="Times New Roman" w:hAnsi="Times New Roman" w:eastAsia="方正黑体_GBK" w:cs="Times New Roman"/>
          <w:sz w:val="32"/>
          <w:szCs w:val="32"/>
        </w:rPr>
      </w:pPr>
      <w:r>
        <w:rPr>
          <w:rFonts w:hint="eastAsia" w:ascii="Times New Roman" w:hAnsi="Times New Roman" w:eastAsia="方正黑体_GBK" w:cs="Times New Roman"/>
          <w:sz w:val="32"/>
          <w:szCs w:val="32"/>
        </w:rPr>
        <w:t>附件：</w:t>
      </w:r>
    </w:p>
    <w:p w14:paraId="5A0CF791">
      <w:pPr>
        <w:spacing w:before="156" w:beforeLines="50" w:after="156" w:afterLines="50" w:line="540" w:lineRule="exact"/>
        <w:jc w:val="center"/>
        <w:rPr>
          <w:rFonts w:ascii="Times New Roman" w:hAnsi="Times New Roman" w:eastAsia="方正小标宋_GBK" w:cs="Times New Roman"/>
          <w:sz w:val="32"/>
          <w:szCs w:val="32"/>
        </w:rPr>
      </w:pPr>
      <w:r>
        <w:rPr>
          <w:rFonts w:hint="eastAsia" w:ascii="Times New Roman" w:hAnsi="Times New Roman" w:eastAsia="方正小标宋_GBK" w:cs="Times New Roman"/>
          <w:sz w:val="32"/>
          <w:szCs w:val="32"/>
        </w:rPr>
        <w:t>桃胶粉规定的检验项目与方法</w:t>
      </w:r>
    </w:p>
    <w:tbl>
      <w:tblPr>
        <w:tblStyle w:val="10"/>
        <w:tblW w:w="924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 w:type="dxa"/>
          <w:bottom w:w="0" w:type="dxa"/>
          <w:right w:w="10" w:type="dxa"/>
        </w:tblCellMar>
      </w:tblPr>
      <w:tblGrid>
        <w:gridCol w:w="850"/>
        <w:gridCol w:w="1701"/>
        <w:gridCol w:w="1701"/>
        <w:gridCol w:w="3118"/>
        <w:gridCol w:w="1871"/>
      </w:tblGrid>
      <w:tr w14:paraId="473BB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1C9232BF">
            <w:pPr>
              <w:spacing w:line="360" w:lineRule="exact"/>
              <w:jc w:val="center"/>
              <w:rPr>
                <w:rFonts w:ascii="Times New Roman" w:hAnsi="Times New Roman" w:eastAsia="方正仿宋_GBK" w:cs="Times New Roman"/>
                <w:b/>
                <w:bCs/>
                <w:sz w:val="24"/>
              </w:rPr>
            </w:pPr>
            <w:r>
              <w:rPr>
                <w:rFonts w:ascii="Times New Roman" w:hAnsi="Times New Roman" w:eastAsia="方正仿宋_GBK" w:cs="Times New Roman"/>
                <w:b/>
                <w:bCs/>
                <w:sz w:val="24"/>
              </w:rPr>
              <w:t>序号</w:t>
            </w:r>
          </w:p>
        </w:tc>
        <w:tc>
          <w:tcPr>
            <w:tcW w:w="1701" w:type="dxa"/>
            <w:tcBorders>
              <w:tl2br w:val="nil"/>
              <w:tr2bl w:val="nil"/>
            </w:tcBorders>
            <w:shd w:val="clear" w:color="000000" w:fill="FFFFFF"/>
            <w:tcMar>
              <w:left w:w="108" w:type="dxa"/>
              <w:right w:w="108" w:type="dxa"/>
            </w:tcMar>
            <w:vAlign w:val="center"/>
          </w:tcPr>
          <w:p w14:paraId="14DB57F4">
            <w:pPr>
              <w:spacing w:line="360" w:lineRule="exact"/>
              <w:jc w:val="center"/>
              <w:rPr>
                <w:rFonts w:ascii="Times New Roman" w:hAnsi="Times New Roman" w:eastAsia="方正仿宋_GBK" w:cs="Times New Roman"/>
                <w:b/>
                <w:bCs/>
                <w:sz w:val="24"/>
              </w:rPr>
            </w:pPr>
            <w:r>
              <w:rPr>
                <w:rFonts w:ascii="Times New Roman" w:hAnsi="Times New Roman" w:eastAsia="方正仿宋_GBK" w:cs="Times New Roman"/>
                <w:b/>
                <w:bCs/>
                <w:sz w:val="24"/>
              </w:rPr>
              <w:t>检验项目</w:t>
            </w:r>
          </w:p>
        </w:tc>
        <w:tc>
          <w:tcPr>
            <w:tcW w:w="1701" w:type="dxa"/>
            <w:tcBorders>
              <w:tl2br w:val="nil"/>
              <w:tr2bl w:val="nil"/>
            </w:tcBorders>
            <w:shd w:val="clear" w:color="000000" w:fill="FFFFFF"/>
            <w:tcMar>
              <w:left w:w="108" w:type="dxa"/>
              <w:right w:w="108" w:type="dxa"/>
            </w:tcMar>
            <w:vAlign w:val="center"/>
          </w:tcPr>
          <w:p w14:paraId="6C7CDDED">
            <w:pPr>
              <w:spacing w:line="360" w:lineRule="exact"/>
              <w:jc w:val="center"/>
              <w:rPr>
                <w:rFonts w:ascii="Times New Roman" w:hAnsi="Times New Roman" w:eastAsia="方正仿宋_GBK" w:cs="Times New Roman"/>
                <w:b/>
                <w:bCs/>
                <w:sz w:val="24"/>
              </w:rPr>
            </w:pPr>
            <w:r>
              <w:rPr>
                <w:rFonts w:ascii="Times New Roman" w:hAnsi="Times New Roman" w:eastAsia="方正仿宋_GBK" w:cs="Times New Roman"/>
                <w:b/>
                <w:bCs/>
                <w:sz w:val="24"/>
              </w:rPr>
              <w:t>标准号</w:t>
            </w:r>
          </w:p>
        </w:tc>
        <w:tc>
          <w:tcPr>
            <w:tcW w:w="3118" w:type="dxa"/>
            <w:tcBorders>
              <w:tl2br w:val="nil"/>
              <w:tr2bl w:val="nil"/>
            </w:tcBorders>
            <w:shd w:val="clear" w:color="000000" w:fill="FFFFFF"/>
            <w:tcMar>
              <w:left w:w="108" w:type="dxa"/>
              <w:right w:w="108" w:type="dxa"/>
            </w:tcMar>
            <w:vAlign w:val="center"/>
          </w:tcPr>
          <w:p w14:paraId="1C57445F">
            <w:pPr>
              <w:spacing w:line="360" w:lineRule="exact"/>
              <w:jc w:val="center"/>
              <w:rPr>
                <w:rFonts w:ascii="Times New Roman" w:hAnsi="Times New Roman" w:eastAsia="方正仿宋_GBK" w:cs="Times New Roman"/>
                <w:b/>
                <w:bCs/>
                <w:sz w:val="24"/>
              </w:rPr>
            </w:pPr>
            <w:r>
              <w:rPr>
                <w:rFonts w:ascii="Times New Roman" w:hAnsi="Times New Roman" w:eastAsia="方正仿宋_GBK" w:cs="Times New Roman"/>
                <w:b/>
                <w:bCs/>
                <w:sz w:val="24"/>
              </w:rPr>
              <w:t>标准名称</w:t>
            </w:r>
          </w:p>
        </w:tc>
        <w:tc>
          <w:tcPr>
            <w:tcW w:w="1871" w:type="dxa"/>
            <w:tcBorders>
              <w:tl2br w:val="nil"/>
              <w:tr2bl w:val="nil"/>
            </w:tcBorders>
            <w:shd w:val="clear" w:color="000000" w:fill="FFFFFF"/>
            <w:tcMar>
              <w:left w:w="108" w:type="dxa"/>
              <w:right w:w="108" w:type="dxa"/>
            </w:tcMar>
            <w:vAlign w:val="center"/>
          </w:tcPr>
          <w:p w14:paraId="4BB7F191">
            <w:pPr>
              <w:spacing w:line="360" w:lineRule="exact"/>
              <w:jc w:val="center"/>
              <w:rPr>
                <w:rFonts w:ascii="Times New Roman" w:hAnsi="Times New Roman" w:eastAsia="方正仿宋_GBK" w:cs="Times New Roman"/>
                <w:b/>
                <w:bCs/>
                <w:sz w:val="24"/>
              </w:rPr>
            </w:pPr>
            <w:r>
              <w:rPr>
                <w:rFonts w:ascii="Times New Roman" w:hAnsi="Times New Roman" w:eastAsia="方正仿宋_GBK" w:cs="Times New Roman"/>
                <w:b/>
                <w:bCs/>
                <w:sz w:val="24"/>
              </w:rPr>
              <w:t>检验方法</w:t>
            </w:r>
          </w:p>
        </w:tc>
      </w:tr>
      <w:tr w14:paraId="1CD54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2F5F83DC">
            <w:pPr>
              <w:spacing w:line="360" w:lineRule="exact"/>
              <w:jc w:val="center"/>
              <w:rPr>
                <w:rFonts w:ascii="Times New Roman" w:hAnsi="Times New Roman" w:eastAsia="方正仿宋_GBK" w:cs="Times New Roman"/>
                <w:sz w:val="24"/>
              </w:rPr>
            </w:pPr>
            <w:r>
              <w:rPr>
                <w:rFonts w:ascii="Times New Roman" w:hAnsi="Times New Roman" w:eastAsia="方正仿宋_GBK" w:cs="Times New Roman"/>
                <w:sz w:val="24"/>
              </w:rPr>
              <w:t>1</w:t>
            </w:r>
          </w:p>
        </w:tc>
        <w:tc>
          <w:tcPr>
            <w:tcW w:w="1701" w:type="dxa"/>
            <w:tcBorders>
              <w:tl2br w:val="nil"/>
              <w:tr2bl w:val="nil"/>
            </w:tcBorders>
            <w:shd w:val="clear" w:color="000000" w:fill="FFFFFF"/>
            <w:tcMar>
              <w:left w:w="108" w:type="dxa"/>
              <w:right w:w="108" w:type="dxa"/>
            </w:tcMar>
            <w:vAlign w:val="center"/>
          </w:tcPr>
          <w:p w14:paraId="5C9936D3">
            <w:pPr>
              <w:spacing w:line="360" w:lineRule="exact"/>
              <w:jc w:val="center"/>
              <w:rPr>
                <w:rFonts w:ascii="Times New Roman" w:hAnsi="Times New Roman" w:eastAsia="方正仿宋_GBK" w:cs="Times New Roman"/>
                <w:sz w:val="24"/>
              </w:rPr>
            </w:pPr>
            <w:r>
              <w:rPr>
                <w:rFonts w:ascii="Times New Roman" w:hAnsi="Times New Roman" w:eastAsia="方正仿宋_GBK" w:cs="Times New Roman"/>
                <w:sz w:val="24"/>
              </w:rPr>
              <w:t>感官</w:t>
            </w:r>
          </w:p>
        </w:tc>
        <w:tc>
          <w:tcPr>
            <w:tcW w:w="1701" w:type="dxa"/>
            <w:tcBorders>
              <w:tl2br w:val="nil"/>
              <w:tr2bl w:val="nil"/>
            </w:tcBorders>
            <w:shd w:val="clear" w:color="000000" w:fill="FFFFFF"/>
            <w:tcMar>
              <w:left w:w="108" w:type="dxa"/>
              <w:right w:w="108" w:type="dxa"/>
            </w:tcMar>
            <w:vAlign w:val="center"/>
          </w:tcPr>
          <w:p w14:paraId="2C533F1C">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color w:val="000000"/>
                <w:kern w:val="0"/>
                <w:sz w:val="24"/>
              </w:rPr>
              <w:t>按照对应</w:t>
            </w:r>
            <w:r>
              <w:rPr>
                <w:rFonts w:ascii="Times New Roman" w:hAnsi="Times New Roman" w:eastAsia="方正仿宋_GBK" w:cs="Times New Roman"/>
                <w:color w:val="000000"/>
                <w:kern w:val="0"/>
                <w:sz w:val="24"/>
              </w:rPr>
              <w:t>标准</w:t>
            </w:r>
          </w:p>
        </w:tc>
        <w:tc>
          <w:tcPr>
            <w:tcW w:w="3118" w:type="dxa"/>
            <w:tcBorders>
              <w:tl2br w:val="nil"/>
              <w:tr2bl w:val="nil"/>
            </w:tcBorders>
            <w:shd w:val="clear" w:color="000000" w:fill="FFFFFF"/>
            <w:tcMar>
              <w:left w:w="108" w:type="dxa"/>
              <w:right w:w="108" w:type="dxa"/>
            </w:tcMar>
            <w:vAlign w:val="center"/>
          </w:tcPr>
          <w:p w14:paraId="2644331B">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w:t>
            </w:r>
          </w:p>
        </w:tc>
        <w:tc>
          <w:tcPr>
            <w:tcW w:w="1871" w:type="dxa"/>
            <w:tcBorders>
              <w:tl2br w:val="nil"/>
              <w:tr2bl w:val="nil"/>
            </w:tcBorders>
            <w:shd w:val="clear" w:color="000000" w:fill="FFFFFF"/>
            <w:tcMar>
              <w:left w:w="108" w:type="dxa"/>
              <w:right w:w="108" w:type="dxa"/>
            </w:tcMar>
            <w:vAlign w:val="center"/>
          </w:tcPr>
          <w:p w14:paraId="50CFB693">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color w:val="000000"/>
                <w:kern w:val="0"/>
                <w:sz w:val="24"/>
              </w:rPr>
              <w:t>按照对应</w:t>
            </w:r>
            <w:r>
              <w:rPr>
                <w:rFonts w:ascii="Times New Roman" w:hAnsi="Times New Roman" w:eastAsia="方正仿宋_GBK" w:cs="Times New Roman"/>
                <w:color w:val="000000"/>
                <w:kern w:val="0"/>
                <w:sz w:val="24"/>
              </w:rPr>
              <w:t>标准</w:t>
            </w:r>
          </w:p>
        </w:tc>
      </w:tr>
      <w:tr w14:paraId="7AA1C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78DE1671">
            <w:pPr>
              <w:spacing w:line="360" w:lineRule="exact"/>
              <w:jc w:val="center"/>
              <w:rPr>
                <w:rFonts w:ascii="Times New Roman" w:hAnsi="Times New Roman" w:eastAsia="方正仿宋_GBK" w:cs="Times New Roman"/>
                <w:sz w:val="24"/>
              </w:rPr>
            </w:pPr>
            <w:r>
              <w:rPr>
                <w:rFonts w:ascii="Times New Roman" w:hAnsi="Times New Roman" w:eastAsia="方正仿宋_GBK" w:cs="Times New Roman"/>
                <w:sz w:val="24"/>
              </w:rPr>
              <w:t>2</w:t>
            </w:r>
          </w:p>
        </w:tc>
        <w:tc>
          <w:tcPr>
            <w:tcW w:w="1701" w:type="dxa"/>
            <w:tcBorders>
              <w:tl2br w:val="nil"/>
              <w:tr2bl w:val="nil"/>
            </w:tcBorders>
            <w:shd w:val="clear" w:color="auto" w:fill="FFFFFF"/>
            <w:tcMar>
              <w:left w:w="108" w:type="dxa"/>
              <w:right w:w="108" w:type="dxa"/>
            </w:tcMar>
            <w:vAlign w:val="center"/>
          </w:tcPr>
          <w:p w14:paraId="11D3A41F">
            <w:pPr>
              <w:spacing w:line="360" w:lineRule="exact"/>
              <w:jc w:val="center"/>
              <w:rPr>
                <w:rFonts w:hint="eastAsia"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净含量</w:t>
            </w:r>
          </w:p>
        </w:tc>
        <w:tc>
          <w:tcPr>
            <w:tcW w:w="1701" w:type="dxa"/>
            <w:tcBorders>
              <w:tl2br w:val="nil"/>
              <w:tr2bl w:val="nil"/>
            </w:tcBorders>
            <w:shd w:val="clear" w:color="auto" w:fill="FFFFFF"/>
            <w:tcMar>
              <w:left w:w="108" w:type="dxa"/>
              <w:right w:w="108" w:type="dxa"/>
            </w:tcMar>
            <w:vAlign w:val="center"/>
          </w:tcPr>
          <w:p w14:paraId="1951F743">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rPr>
              <w:t>/</w:t>
            </w:r>
          </w:p>
        </w:tc>
        <w:tc>
          <w:tcPr>
            <w:tcW w:w="3118" w:type="dxa"/>
            <w:tcBorders>
              <w:tl2br w:val="nil"/>
              <w:tr2bl w:val="nil"/>
            </w:tcBorders>
            <w:shd w:val="clear" w:color="auto" w:fill="FFFFFF"/>
            <w:tcMar>
              <w:left w:w="108" w:type="dxa"/>
              <w:right w:w="108" w:type="dxa"/>
            </w:tcMar>
            <w:vAlign w:val="center"/>
          </w:tcPr>
          <w:p w14:paraId="49B9200E">
            <w:pPr>
              <w:widowControl/>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rPr>
              <w:t>定量包装商品计量监督管理办法</w:t>
            </w:r>
          </w:p>
        </w:tc>
        <w:tc>
          <w:tcPr>
            <w:tcW w:w="1871" w:type="dxa"/>
            <w:tcBorders>
              <w:tl2br w:val="nil"/>
              <w:tr2bl w:val="nil"/>
            </w:tcBorders>
            <w:shd w:val="clear" w:color="auto" w:fill="FFFFFF"/>
            <w:tcMar>
              <w:left w:w="108" w:type="dxa"/>
              <w:right w:w="108" w:type="dxa"/>
            </w:tcMar>
            <w:vAlign w:val="center"/>
          </w:tcPr>
          <w:p w14:paraId="746C0F15">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sz w:val="24"/>
              </w:rPr>
              <w:t>JJF 1070</w:t>
            </w:r>
          </w:p>
        </w:tc>
      </w:tr>
      <w:tr w14:paraId="4EE7A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1672FB24">
            <w:pPr>
              <w:spacing w:line="360" w:lineRule="exact"/>
              <w:jc w:val="center"/>
            </w:pPr>
            <w:r>
              <w:rPr>
                <w:rFonts w:hint="eastAsia" w:ascii="Times New Roman" w:hAnsi="Times New Roman" w:eastAsia="方正仿宋_GBK" w:cs="Times New Roman"/>
                <w:sz w:val="24"/>
              </w:rPr>
              <w:t>3</w:t>
            </w:r>
          </w:p>
        </w:tc>
        <w:tc>
          <w:tcPr>
            <w:tcW w:w="1701" w:type="dxa"/>
            <w:tcBorders>
              <w:tl2br w:val="nil"/>
              <w:tr2bl w:val="nil"/>
            </w:tcBorders>
            <w:shd w:val="clear" w:color="auto" w:fill="auto"/>
            <w:tcMar>
              <w:left w:w="108" w:type="dxa"/>
              <w:right w:w="108" w:type="dxa"/>
            </w:tcMar>
            <w:vAlign w:val="center"/>
          </w:tcPr>
          <w:p w14:paraId="173E6843">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水分</w:t>
            </w:r>
          </w:p>
        </w:tc>
        <w:tc>
          <w:tcPr>
            <w:tcW w:w="1701" w:type="dxa"/>
            <w:vMerge w:val="restart"/>
            <w:tcBorders>
              <w:tl2br w:val="nil"/>
              <w:tr2bl w:val="nil"/>
            </w:tcBorders>
            <w:shd w:val="clear" w:color="auto" w:fill="auto"/>
            <w:tcMar>
              <w:left w:w="108" w:type="dxa"/>
              <w:right w:w="108" w:type="dxa"/>
            </w:tcMar>
            <w:vAlign w:val="center"/>
          </w:tcPr>
          <w:p w14:paraId="39369E2F">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国家卫生健康委员会2023年第8号公告</w:t>
            </w:r>
          </w:p>
        </w:tc>
        <w:tc>
          <w:tcPr>
            <w:tcW w:w="3118" w:type="dxa"/>
            <w:vMerge w:val="restart"/>
            <w:tcBorders>
              <w:tl2br w:val="nil"/>
              <w:tr2bl w:val="nil"/>
            </w:tcBorders>
            <w:shd w:val="clear" w:color="auto" w:fill="auto"/>
            <w:tcMar>
              <w:left w:w="108" w:type="dxa"/>
              <w:right w:w="108" w:type="dxa"/>
            </w:tcMar>
            <w:vAlign w:val="center"/>
          </w:tcPr>
          <w:p w14:paraId="162EC04C">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关于桃胶等15种“三新食品”的公告</w:t>
            </w:r>
          </w:p>
        </w:tc>
        <w:tc>
          <w:tcPr>
            <w:tcW w:w="1871" w:type="dxa"/>
            <w:tcBorders>
              <w:tl2br w:val="nil"/>
              <w:tr2bl w:val="nil"/>
            </w:tcBorders>
            <w:shd w:val="clear" w:color="auto" w:fill="auto"/>
            <w:tcMar>
              <w:left w:w="108" w:type="dxa"/>
              <w:right w:w="108" w:type="dxa"/>
            </w:tcMar>
            <w:vAlign w:val="center"/>
          </w:tcPr>
          <w:p w14:paraId="62D2DCB2">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5009.3</w:t>
            </w:r>
          </w:p>
        </w:tc>
      </w:tr>
      <w:tr w14:paraId="74673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72841F0D">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4</w:t>
            </w:r>
          </w:p>
        </w:tc>
        <w:tc>
          <w:tcPr>
            <w:tcW w:w="1701" w:type="dxa"/>
            <w:tcBorders>
              <w:tl2br w:val="nil"/>
              <w:tr2bl w:val="nil"/>
            </w:tcBorders>
            <w:shd w:val="clear" w:color="auto" w:fill="auto"/>
            <w:tcMar>
              <w:left w:w="108" w:type="dxa"/>
              <w:right w:w="108" w:type="dxa"/>
            </w:tcMar>
            <w:vAlign w:val="center"/>
          </w:tcPr>
          <w:p w14:paraId="749A9D74">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灰分</w:t>
            </w:r>
          </w:p>
        </w:tc>
        <w:tc>
          <w:tcPr>
            <w:tcW w:w="1701" w:type="dxa"/>
            <w:vMerge w:val="continue"/>
            <w:tcBorders>
              <w:tl2br w:val="nil"/>
              <w:tr2bl w:val="nil"/>
            </w:tcBorders>
            <w:shd w:val="clear" w:color="auto" w:fill="auto"/>
            <w:tcMar>
              <w:left w:w="108" w:type="dxa"/>
              <w:right w:w="108" w:type="dxa"/>
            </w:tcMar>
            <w:vAlign w:val="center"/>
          </w:tcPr>
          <w:p w14:paraId="7EB6B462">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3B37057D">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7381DCAA">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5009.</w:t>
            </w:r>
            <w:r>
              <w:rPr>
                <w:rFonts w:hint="eastAsia" w:ascii="Times New Roman" w:hAnsi="Times New Roman" w:eastAsia="方正仿宋_GBK" w:cs="Times New Roman"/>
                <w:color w:val="000000"/>
                <w:kern w:val="0"/>
                <w:sz w:val="24"/>
              </w:rPr>
              <w:t>4</w:t>
            </w:r>
          </w:p>
        </w:tc>
      </w:tr>
      <w:tr w14:paraId="65CFB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2B8F2C85">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5</w:t>
            </w:r>
          </w:p>
        </w:tc>
        <w:tc>
          <w:tcPr>
            <w:tcW w:w="1701" w:type="dxa"/>
            <w:tcBorders>
              <w:tl2br w:val="nil"/>
              <w:tr2bl w:val="nil"/>
            </w:tcBorders>
            <w:shd w:val="clear" w:color="auto" w:fill="auto"/>
            <w:tcMar>
              <w:left w:w="108" w:type="dxa"/>
              <w:right w:w="108" w:type="dxa"/>
            </w:tcMar>
            <w:vAlign w:val="center"/>
          </w:tcPr>
          <w:p w14:paraId="590C98DA">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粗多糖</w:t>
            </w:r>
          </w:p>
        </w:tc>
        <w:tc>
          <w:tcPr>
            <w:tcW w:w="1701" w:type="dxa"/>
            <w:vMerge w:val="continue"/>
            <w:tcBorders>
              <w:tl2br w:val="nil"/>
              <w:tr2bl w:val="nil"/>
            </w:tcBorders>
            <w:shd w:val="clear" w:color="auto" w:fill="auto"/>
            <w:tcMar>
              <w:left w:w="108" w:type="dxa"/>
              <w:right w:w="108" w:type="dxa"/>
            </w:tcMar>
            <w:vAlign w:val="center"/>
          </w:tcPr>
          <w:p w14:paraId="7D0FE75A">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4FEAEA99">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06F9D907">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SN/T 4260</w:t>
            </w:r>
          </w:p>
        </w:tc>
      </w:tr>
      <w:tr w14:paraId="18A3F7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1F420100">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6</w:t>
            </w:r>
          </w:p>
        </w:tc>
        <w:tc>
          <w:tcPr>
            <w:tcW w:w="1701" w:type="dxa"/>
            <w:tcBorders>
              <w:tl2br w:val="nil"/>
              <w:tr2bl w:val="nil"/>
            </w:tcBorders>
            <w:shd w:val="clear" w:color="auto" w:fill="auto"/>
            <w:tcMar>
              <w:left w:w="108" w:type="dxa"/>
              <w:right w:w="108" w:type="dxa"/>
            </w:tcMar>
            <w:vAlign w:val="center"/>
          </w:tcPr>
          <w:p w14:paraId="591FB2C6">
            <w:pPr>
              <w:spacing w:line="360" w:lineRule="exact"/>
              <w:jc w:val="center"/>
              <w:rPr>
                <w:rFonts w:ascii="Times New Roman" w:hAnsi="Times New Roman" w:eastAsia="方正仿宋_GBK" w:cs="Times New Roman"/>
                <w:color w:val="000000"/>
                <w:kern w:val="0"/>
                <w:sz w:val="24"/>
                <w:lang w:eastAsia="en-US"/>
              </w:rPr>
            </w:pPr>
            <w:r>
              <w:rPr>
                <w:rFonts w:hint="eastAsia" w:ascii="Times New Roman" w:hAnsi="Times New Roman" w:eastAsia="方正仿宋_GBK" w:cs="Times New Roman"/>
                <w:color w:val="000000"/>
                <w:kern w:val="0"/>
                <w:sz w:val="24"/>
              </w:rPr>
              <w:t>铅</w:t>
            </w:r>
            <w:r>
              <w:rPr>
                <w:rFonts w:ascii="Times New Roman" w:hAnsi="Times New Roman" w:eastAsia="方正仿宋_GBK" w:cs="Times New Roman"/>
                <w:color w:val="000000"/>
                <w:kern w:val="0"/>
                <w:sz w:val="24"/>
                <w:lang w:eastAsia="en-US"/>
              </w:rPr>
              <w:t>（以Pb计）</w:t>
            </w:r>
          </w:p>
        </w:tc>
        <w:tc>
          <w:tcPr>
            <w:tcW w:w="1701" w:type="dxa"/>
            <w:vMerge w:val="continue"/>
            <w:tcBorders>
              <w:tl2br w:val="nil"/>
              <w:tr2bl w:val="nil"/>
            </w:tcBorders>
            <w:shd w:val="clear" w:color="auto" w:fill="auto"/>
            <w:tcMar>
              <w:left w:w="108" w:type="dxa"/>
              <w:right w:w="108" w:type="dxa"/>
            </w:tcMar>
            <w:vAlign w:val="center"/>
          </w:tcPr>
          <w:p w14:paraId="16E34CB6">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223D7300">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7E602DD8">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5009.12</w:t>
            </w:r>
          </w:p>
        </w:tc>
      </w:tr>
      <w:tr w14:paraId="4F7AC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5A4E7CB2">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7</w:t>
            </w:r>
          </w:p>
        </w:tc>
        <w:tc>
          <w:tcPr>
            <w:tcW w:w="1701" w:type="dxa"/>
            <w:tcBorders>
              <w:tl2br w:val="nil"/>
              <w:tr2bl w:val="nil"/>
            </w:tcBorders>
            <w:shd w:val="clear" w:color="auto" w:fill="auto"/>
            <w:tcMar>
              <w:left w:w="108" w:type="dxa"/>
              <w:right w:w="108" w:type="dxa"/>
            </w:tcMar>
            <w:vAlign w:val="center"/>
          </w:tcPr>
          <w:p w14:paraId="2006BD1C">
            <w:pPr>
              <w:spacing w:line="360" w:lineRule="exact"/>
              <w:jc w:val="center"/>
              <w:rPr>
                <w:rFonts w:ascii="Times New Roman" w:hAnsi="Times New Roman" w:eastAsia="方正仿宋_GBK" w:cs="Times New Roman"/>
                <w:color w:val="000000"/>
                <w:kern w:val="0"/>
                <w:sz w:val="24"/>
                <w:lang w:eastAsia="en-US"/>
              </w:rPr>
            </w:pPr>
            <w:r>
              <w:rPr>
                <w:rFonts w:hint="eastAsia" w:ascii="Times New Roman" w:hAnsi="Times New Roman" w:eastAsia="方正仿宋_GBK" w:cs="Times New Roman"/>
                <w:color w:val="000000"/>
                <w:kern w:val="0"/>
                <w:sz w:val="24"/>
              </w:rPr>
              <w:t>总</w:t>
            </w:r>
            <w:r>
              <w:rPr>
                <w:rFonts w:ascii="Times New Roman" w:hAnsi="Times New Roman" w:eastAsia="方正仿宋_GBK" w:cs="Times New Roman"/>
                <w:color w:val="000000"/>
                <w:kern w:val="0"/>
                <w:sz w:val="24"/>
                <w:lang w:eastAsia="en-US"/>
              </w:rPr>
              <w:t>砷（以As计）</w:t>
            </w:r>
          </w:p>
        </w:tc>
        <w:tc>
          <w:tcPr>
            <w:tcW w:w="1701" w:type="dxa"/>
            <w:vMerge w:val="continue"/>
            <w:tcBorders>
              <w:tl2br w:val="nil"/>
              <w:tr2bl w:val="nil"/>
            </w:tcBorders>
            <w:shd w:val="clear" w:color="auto" w:fill="auto"/>
            <w:tcMar>
              <w:left w:w="108" w:type="dxa"/>
              <w:right w:w="108" w:type="dxa"/>
            </w:tcMar>
            <w:vAlign w:val="center"/>
          </w:tcPr>
          <w:p w14:paraId="6370034C">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5FD55D9D">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5C1CB853">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5009.11</w:t>
            </w:r>
          </w:p>
        </w:tc>
      </w:tr>
      <w:tr w14:paraId="1B27F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690D944D">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8</w:t>
            </w:r>
          </w:p>
        </w:tc>
        <w:tc>
          <w:tcPr>
            <w:tcW w:w="1701" w:type="dxa"/>
            <w:tcBorders>
              <w:tl2br w:val="nil"/>
              <w:tr2bl w:val="nil"/>
            </w:tcBorders>
            <w:shd w:val="clear" w:color="auto" w:fill="auto"/>
            <w:tcMar>
              <w:left w:w="108" w:type="dxa"/>
              <w:right w:w="108" w:type="dxa"/>
            </w:tcMar>
            <w:vAlign w:val="center"/>
          </w:tcPr>
          <w:p w14:paraId="0B920C42">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lang w:eastAsia="en-US"/>
              </w:rPr>
              <w:t>赭曲霉毒素A</w:t>
            </w:r>
          </w:p>
        </w:tc>
        <w:tc>
          <w:tcPr>
            <w:tcW w:w="1701" w:type="dxa"/>
            <w:vMerge w:val="continue"/>
            <w:tcBorders>
              <w:tl2br w:val="nil"/>
              <w:tr2bl w:val="nil"/>
            </w:tcBorders>
            <w:shd w:val="clear" w:color="auto" w:fill="auto"/>
            <w:tcMar>
              <w:left w:w="108" w:type="dxa"/>
              <w:right w:w="108" w:type="dxa"/>
            </w:tcMar>
            <w:vAlign w:val="center"/>
          </w:tcPr>
          <w:p w14:paraId="5CB4A2C3">
            <w:pPr>
              <w:spacing w:line="360" w:lineRule="exact"/>
              <w:jc w:val="center"/>
              <w:rPr>
                <w:rFonts w:ascii="Times New Roman" w:hAnsi="Times New Roman" w:eastAsia="方正仿宋_GBK" w:cs="Times New Roman"/>
                <w:color w:val="000000"/>
                <w:kern w:val="0"/>
                <w:sz w:val="24"/>
                <w:lang w:eastAsia="en-US"/>
              </w:rPr>
            </w:pPr>
          </w:p>
        </w:tc>
        <w:tc>
          <w:tcPr>
            <w:tcW w:w="3118" w:type="dxa"/>
            <w:vMerge w:val="continue"/>
            <w:tcBorders>
              <w:tl2br w:val="nil"/>
              <w:tr2bl w:val="nil"/>
            </w:tcBorders>
            <w:shd w:val="clear" w:color="auto" w:fill="auto"/>
            <w:tcMar>
              <w:left w:w="108" w:type="dxa"/>
              <w:right w:w="108" w:type="dxa"/>
            </w:tcMar>
            <w:vAlign w:val="center"/>
          </w:tcPr>
          <w:p w14:paraId="018AFB1F">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611CAC3C">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5009.96</w:t>
            </w:r>
            <w:r>
              <w:rPr>
                <w:rFonts w:hint="eastAsia" w:ascii="Times New Roman" w:hAnsi="Times New Roman" w:eastAsia="方正仿宋_GBK" w:cs="Times New Roman"/>
                <w:color w:val="000000"/>
                <w:kern w:val="0"/>
                <w:sz w:val="24"/>
              </w:rPr>
              <w:t xml:space="preserve"> </w:t>
            </w:r>
          </w:p>
        </w:tc>
      </w:tr>
      <w:tr w14:paraId="11446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3C6DEA48">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9</w:t>
            </w:r>
          </w:p>
        </w:tc>
        <w:tc>
          <w:tcPr>
            <w:tcW w:w="1701" w:type="dxa"/>
            <w:tcBorders>
              <w:tl2br w:val="nil"/>
              <w:tr2bl w:val="nil"/>
            </w:tcBorders>
            <w:shd w:val="clear" w:color="auto" w:fill="auto"/>
            <w:tcMar>
              <w:left w:w="108" w:type="dxa"/>
              <w:right w:w="108" w:type="dxa"/>
            </w:tcMar>
            <w:vAlign w:val="center"/>
          </w:tcPr>
          <w:p w14:paraId="0D415C7D">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大肠菌群</w:t>
            </w:r>
          </w:p>
        </w:tc>
        <w:tc>
          <w:tcPr>
            <w:tcW w:w="1701" w:type="dxa"/>
            <w:vMerge w:val="continue"/>
            <w:tcBorders>
              <w:tl2br w:val="nil"/>
              <w:tr2bl w:val="nil"/>
            </w:tcBorders>
            <w:shd w:val="clear" w:color="auto" w:fill="auto"/>
            <w:tcMar>
              <w:left w:w="108" w:type="dxa"/>
              <w:right w:w="108" w:type="dxa"/>
            </w:tcMar>
            <w:vAlign w:val="center"/>
          </w:tcPr>
          <w:p w14:paraId="4EB5A435">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7CD2EE52">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0640E8CB">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lang w:eastAsia="en-US"/>
              </w:rPr>
              <w:t>GB4789.</w:t>
            </w:r>
            <w:r>
              <w:rPr>
                <w:rFonts w:hint="eastAsia" w:ascii="Times New Roman" w:hAnsi="Times New Roman" w:eastAsia="方正仿宋_GBK" w:cs="Times New Roman"/>
                <w:color w:val="000000"/>
                <w:kern w:val="0"/>
                <w:sz w:val="24"/>
              </w:rPr>
              <w:t>3</w:t>
            </w:r>
          </w:p>
        </w:tc>
      </w:tr>
      <w:tr w14:paraId="559FF2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36457B06">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10</w:t>
            </w:r>
          </w:p>
        </w:tc>
        <w:tc>
          <w:tcPr>
            <w:tcW w:w="1701" w:type="dxa"/>
            <w:tcBorders>
              <w:tl2br w:val="nil"/>
              <w:tr2bl w:val="nil"/>
            </w:tcBorders>
            <w:shd w:val="clear" w:color="auto" w:fill="auto"/>
            <w:tcMar>
              <w:left w:w="108" w:type="dxa"/>
              <w:right w:w="108" w:type="dxa"/>
            </w:tcMar>
            <w:vAlign w:val="center"/>
          </w:tcPr>
          <w:p w14:paraId="0EC7DD0E">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lang w:eastAsia="en-US"/>
              </w:rPr>
              <w:t>霉菌和酵母</w:t>
            </w:r>
            <w:r>
              <w:rPr>
                <w:rFonts w:hint="eastAsia" w:ascii="Times New Roman" w:hAnsi="Times New Roman" w:eastAsia="方正仿宋_GBK" w:cs="Times New Roman"/>
                <w:color w:val="000000"/>
                <w:kern w:val="0"/>
                <w:sz w:val="24"/>
              </w:rPr>
              <w:t>菌</w:t>
            </w:r>
          </w:p>
        </w:tc>
        <w:tc>
          <w:tcPr>
            <w:tcW w:w="1701" w:type="dxa"/>
            <w:vMerge w:val="continue"/>
            <w:tcBorders>
              <w:tl2br w:val="nil"/>
              <w:tr2bl w:val="nil"/>
            </w:tcBorders>
            <w:shd w:val="clear" w:color="auto" w:fill="auto"/>
            <w:tcMar>
              <w:left w:w="108" w:type="dxa"/>
              <w:right w:w="108" w:type="dxa"/>
            </w:tcMar>
            <w:vAlign w:val="center"/>
          </w:tcPr>
          <w:p w14:paraId="4841B693">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15101560">
            <w:pPr>
              <w:spacing w:line="360" w:lineRule="exact"/>
              <w:jc w:val="center"/>
              <w:rPr>
                <w:rFonts w:ascii="Times New Roman" w:hAnsi="Times New Roman" w:eastAsia="方正仿宋_GBK" w:cs="Times New Roman"/>
                <w:color w:val="000000"/>
                <w:kern w:val="0"/>
                <w:sz w:val="24"/>
                <w:lang w:eastAsia="en-US"/>
              </w:rPr>
            </w:pPr>
          </w:p>
        </w:tc>
        <w:tc>
          <w:tcPr>
            <w:tcW w:w="1871" w:type="dxa"/>
            <w:tcBorders>
              <w:tl2br w:val="nil"/>
              <w:tr2bl w:val="nil"/>
            </w:tcBorders>
            <w:shd w:val="clear" w:color="auto" w:fill="auto"/>
            <w:tcMar>
              <w:left w:w="108" w:type="dxa"/>
              <w:right w:w="108" w:type="dxa"/>
            </w:tcMar>
            <w:vAlign w:val="center"/>
          </w:tcPr>
          <w:p w14:paraId="7C1C6BA8">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lang w:eastAsia="en-US"/>
              </w:rPr>
              <w:t>GB 4789.15</w:t>
            </w:r>
          </w:p>
        </w:tc>
      </w:tr>
      <w:tr w14:paraId="62094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70F289AF">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11</w:t>
            </w:r>
          </w:p>
        </w:tc>
        <w:tc>
          <w:tcPr>
            <w:tcW w:w="1701" w:type="dxa"/>
            <w:tcBorders>
              <w:tl2br w:val="nil"/>
              <w:tr2bl w:val="nil"/>
            </w:tcBorders>
            <w:shd w:val="clear" w:color="auto" w:fill="auto"/>
            <w:tcMar>
              <w:left w:w="108" w:type="dxa"/>
              <w:right w:w="108" w:type="dxa"/>
            </w:tcMar>
            <w:vAlign w:val="center"/>
          </w:tcPr>
          <w:p w14:paraId="4BF2F5B5">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沙门氏菌</w:t>
            </w:r>
          </w:p>
        </w:tc>
        <w:tc>
          <w:tcPr>
            <w:tcW w:w="1701" w:type="dxa"/>
            <w:vMerge w:val="continue"/>
            <w:tcBorders>
              <w:tl2br w:val="nil"/>
              <w:tr2bl w:val="nil"/>
            </w:tcBorders>
            <w:shd w:val="clear" w:color="auto" w:fill="auto"/>
            <w:tcMar>
              <w:left w:w="108" w:type="dxa"/>
              <w:right w:w="108" w:type="dxa"/>
            </w:tcMar>
            <w:vAlign w:val="center"/>
          </w:tcPr>
          <w:p w14:paraId="1BF799CB">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6A1F725D">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33645581">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4789.4</w:t>
            </w:r>
          </w:p>
        </w:tc>
      </w:tr>
      <w:tr w14:paraId="0C93F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63CAB25B">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12</w:t>
            </w:r>
          </w:p>
        </w:tc>
        <w:tc>
          <w:tcPr>
            <w:tcW w:w="1701" w:type="dxa"/>
            <w:tcBorders>
              <w:tl2br w:val="nil"/>
              <w:tr2bl w:val="nil"/>
            </w:tcBorders>
            <w:shd w:val="clear" w:color="auto" w:fill="auto"/>
            <w:tcMar>
              <w:left w:w="108" w:type="dxa"/>
              <w:right w:w="108" w:type="dxa"/>
            </w:tcMar>
            <w:vAlign w:val="center"/>
          </w:tcPr>
          <w:p w14:paraId="0B6A63B4">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 xml:space="preserve">金黄色葡萄球菌  </w:t>
            </w:r>
          </w:p>
        </w:tc>
        <w:tc>
          <w:tcPr>
            <w:tcW w:w="1701" w:type="dxa"/>
            <w:vMerge w:val="continue"/>
            <w:tcBorders>
              <w:tl2br w:val="nil"/>
              <w:tr2bl w:val="nil"/>
            </w:tcBorders>
            <w:shd w:val="clear" w:color="auto" w:fill="auto"/>
            <w:tcMar>
              <w:left w:w="108" w:type="dxa"/>
              <w:right w:w="108" w:type="dxa"/>
            </w:tcMar>
            <w:vAlign w:val="center"/>
          </w:tcPr>
          <w:p w14:paraId="4AE901DC">
            <w:pPr>
              <w:spacing w:line="360" w:lineRule="exact"/>
              <w:jc w:val="center"/>
              <w:rPr>
                <w:rFonts w:ascii="Times New Roman" w:hAnsi="Times New Roman" w:eastAsia="方正仿宋_GBK" w:cs="Times New Roman"/>
                <w:color w:val="000000"/>
                <w:kern w:val="0"/>
                <w:sz w:val="24"/>
              </w:rPr>
            </w:pPr>
          </w:p>
        </w:tc>
        <w:tc>
          <w:tcPr>
            <w:tcW w:w="3118" w:type="dxa"/>
            <w:vMerge w:val="continue"/>
            <w:tcBorders>
              <w:tl2br w:val="nil"/>
              <w:tr2bl w:val="nil"/>
            </w:tcBorders>
            <w:shd w:val="clear" w:color="auto" w:fill="auto"/>
            <w:tcMar>
              <w:left w:w="108" w:type="dxa"/>
              <w:right w:w="108" w:type="dxa"/>
            </w:tcMar>
            <w:vAlign w:val="center"/>
          </w:tcPr>
          <w:p w14:paraId="76102A00">
            <w:pPr>
              <w:spacing w:line="360" w:lineRule="exact"/>
              <w:jc w:val="center"/>
              <w:rPr>
                <w:rFonts w:ascii="Times New Roman" w:hAnsi="Times New Roman" w:eastAsia="方正仿宋_GBK" w:cs="Times New Roman"/>
                <w:color w:val="000000"/>
                <w:kern w:val="0"/>
                <w:sz w:val="24"/>
              </w:rPr>
            </w:pPr>
          </w:p>
        </w:tc>
        <w:tc>
          <w:tcPr>
            <w:tcW w:w="1871" w:type="dxa"/>
            <w:tcBorders>
              <w:tl2br w:val="nil"/>
              <w:tr2bl w:val="nil"/>
            </w:tcBorders>
            <w:shd w:val="clear" w:color="auto" w:fill="auto"/>
            <w:tcMar>
              <w:left w:w="108" w:type="dxa"/>
              <w:right w:w="108" w:type="dxa"/>
            </w:tcMar>
            <w:vAlign w:val="center"/>
          </w:tcPr>
          <w:p w14:paraId="178DE942">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GB 4789.10</w:t>
            </w:r>
          </w:p>
        </w:tc>
      </w:tr>
      <w:tr w14:paraId="75F9E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20281982">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13</w:t>
            </w:r>
          </w:p>
        </w:tc>
        <w:tc>
          <w:tcPr>
            <w:tcW w:w="1701" w:type="dxa"/>
            <w:tcBorders>
              <w:tl2br w:val="nil"/>
              <w:tr2bl w:val="nil"/>
            </w:tcBorders>
            <w:shd w:val="clear" w:color="auto" w:fill="auto"/>
            <w:tcMar>
              <w:left w:w="108" w:type="dxa"/>
              <w:right w:w="108" w:type="dxa"/>
            </w:tcMar>
            <w:vAlign w:val="center"/>
          </w:tcPr>
          <w:p w14:paraId="04E0422D">
            <w:pPr>
              <w:spacing w:line="360" w:lineRule="exact"/>
              <w:jc w:val="center"/>
              <w:rPr>
                <w:rFonts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lang w:eastAsia="en-US"/>
              </w:rPr>
              <w:t>食品添加剂</w:t>
            </w:r>
          </w:p>
        </w:tc>
        <w:tc>
          <w:tcPr>
            <w:tcW w:w="1701" w:type="dxa"/>
            <w:tcBorders>
              <w:tl2br w:val="nil"/>
              <w:tr2bl w:val="nil"/>
            </w:tcBorders>
            <w:shd w:val="clear" w:color="auto" w:fill="auto"/>
            <w:tcMar>
              <w:left w:w="108" w:type="dxa"/>
              <w:right w:w="108" w:type="dxa"/>
            </w:tcMar>
            <w:vAlign w:val="center"/>
          </w:tcPr>
          <w:p w14:paraId="6D3326A7">
            <w:pPr>
              <w:spacing w:line="360" w:lineRule="exact"/>
              <w:jc w:val="center"/>
              <w:rPr>
                <w:rFonts w:ascii="Times New Roman" w:hAnsi="Times New Roman" w:eastAsia="方正仿宋_GBK" w:cs="Times New Roman"/>
                <w:color w:val="000000"/>
                <w:kern w:val="0"/>
                <w:sz w:val="24"/>
                <w:lang w:eastAsia="en-US"/>
              </w:rPr>
            </w:pPr>
            <w:r>
              <w:fldChar w:fldCharType="begin"/>
            </w:r>
            <w:r>
              <w:instrText xml:space="preserve"> HYPERLINK "http://220.181.176.160/stdlinfo/servlet/com.sac.sacQuery.GjbzcxDetailServlet?std_code=GB%202759.2-2003" </w:instrText>
            </w:r>
            <w:r>
              <w:fldChar w:fldCharType="separate"/>
            </w:r>
            <w:r>
              <w:rPr>
                <w:rFonts w:ascii="Times New Roman" w:hAnsi="Times New Roman" w:eastAsia="方正仿宋_GBK" w:cs="Times New Roman"/>
                <w:color w:val="000000"/>
                <w:kern w:val="0"/>
                <w:sz w:val="24"/>
                <w:lang w:eastAsia="en-US"/>
              </w:rPr>
              <w:t>GB 2</w:t>
            </w:r>
            <w:r>
              <w:rPr>
                <w:rFonts w:ascii="Times New Roman" w:hAnsi="Times New Roman" w:eastAsia="方正仿宋_GBK" w:cs="Times New Roman"/>
                <w:color w:val="000000"/>
                <w:kern w:val="0"/>
                <w:sz w:val="24"/>
                <w:lang w:eastAsia="en-US"/>
              </w:rPr>
              <w:fldChar w:fldCharType="end"/>
            </w:r>
            <w:r>
              <w:rPr>
                <w:rFonts w:ascii="Times New Roman" w:hAnsi="Times New Roman" w:eastAsia="方正仿宋_GBK" w:cs="Times New Roman"/>
                <w:color w:val="000000"/>
                <w:kern w:val="0"/>
                <w:sz w:val="24"/>
                <w:lang w:eastAsia="en-US"/>
              </w:rPr>
              <w:t>760</w:t>
            </w:r>
          </w:p>
        </w:tc>
        <w:tc>
          <w:tcPr>
            <w:tcW w:w="3118" w:type="dxa"/>
            <w:tcBorders>
              <w:tl2br w:val="nil"/>
              <w:tr2bl w:val="nil"/>
            </w:tcBorders>
            <w:shd w:val="clear" w:color="auto" w:fill="auto"/>
            <w:tcMar>
              <w:left w:w="108" w:type="dxa"/>
              <w:right w:w="108" w:type="dxa"/>
            </w:tcMar>
            <w:vAlign w:val="center"/>
          </w:tcPr>
          <w:p w14:paraId="0EBE5C84">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食品安全国家标准</w:t>
            </w:r>
          </w:p>
          <w:p w14:paraId="132E1F3B">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食品添加剂使用标准</w:t>
            </w:r>
          </w:p>
        </w:tc>
        <w:tc>
          <w:tcPr>
            <w:tcW w:w="1871" w:type="dxa"/>
            <w:tcBorders>
              <w:tl2br w:val="nil"/>
              <w:tr2bl w:val="nil"/>
            </w:tcBorders>
            <w:shd w:val="clear" w:color="auto" w:fill="auto"/>
            <w:tcMar>
              <w:left w:w="108" w:type="dxa"/>
              <w:right w:w="108" w:type="dxa"/>
            </w:tcMar>
            <w:vAlign w:val="center"/>
          </w:tcPr>
          <w:p w14:paraId="19DA2673">
            <w:pPr>
              <w:spacing w:line="360" w:lineRule="exact"/>
              <w:jc w:val="center"/>
              <w:rPr>
                <w:rFonts w:hint="eastAsia"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按照对应</w:t>
            </w:r>
            <w:r>
              <w:rPr>
                <w:rFonts w:ascii="Times New Roman" w:hAnsi="Times New Roman" w:eastAsia="方正仿宋_GBK" w:cs="Times New Roman"/>
                <w:color w:val="000000"/>
                <w:kern w:val="0"/>
                <w:sz w:val="24"/>
              </w:rPr>
              <w:t>标准</w:t>
            </w:r>
          </w:p>
        </w:tc>
      </w:tr>
      <w:tr w14:paraId="068AA8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6C354615">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14</w:t>
            </w:r>
          </w:p>
        </w:tc>
        <w:tc>
          <w:tcPr>
            <w:tcW w:w="1701" w:type="dxa"/>
            <w:tcBorders>
              <w:tl2br w:val="nil"/>
              <w:tr2bl w:val="nil"/>
            </w:tcBorders>
            <w:shd w:val="clear" w:color="auto" w:fill="auto"/>
            <w:tcMar>
              <w:left w:w="108" w:type="dxa"/>
              <w:right w:w="108" w:type="dxa"/>
            </w:tcMar>
            <w:vAlign w:val="center"/>
          </w:tcPr>
          <w:p w14:paraId="04ADE2C8">
            <w:pPr>
              <w:spacing w:line="360" w:lineRule="exact"/>
              <w:jc w:val="center"/>
              <w:rPr>
                <w:rFonts w:hint="eastAsia" w:ascii="Times New Roman" w:hAnsi="Times New Roman" w:eastAsia="方正仿宋_GBK" w:cs="Times New Roman"/>
                <w:color w:val="000000"/>
                <w:kern w:val="0"/>
                <w:sz w:val="24"/>
              </w:rPr>
            </w:pPr>
            <w:r>
              <w:rPr>
                <w:rFonts w:hint="eastAsia" w:ascii="Times New Roman" w:hAnsi="Times New Roman" w:eastAsia="方正仿宋_GBK" w:cs="Times New Roman"/>
                <w:color w:val="000000"/>
                <w:kern w:val="0"/>
                <w:sz w:val="24"/>
              </w:rPr>
              <w:t>标签</w:t>
            </w:r>
          </w:p>
        </w:tc>
        <w:tc>
          <w:tcPr>
            <w:tcW w:w="1701" w:type="dxa"/>
            <w:tcBorders>
              <w:tl2br w:val="nil"/>
              <w:tr2bl w:val="nil"/>
            </w:tcBorders>
            <w:shd w:val="clear" w:color="auto" w:fill="auto"/>
            <w:tcMar>
              <w:left w:w="108" w:type="dxa"/>
              <w:right w:w="108" w:type="dxa"/>
            </w:tcMar>
            <w:vAlign w:val="center"/>
          </w:tcPr>
          <w:p w14:paraId="653CF5D8">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GB 7718</w:t>
            </w:r>
          </w:p>
        </w:tc>
        <w:tc>
          <w:tcPr>
            <w:tcW w:w="3118" w:type="dxa"/>
            <w:tcBorders>
              <w:tl2br w:val="nil"/>
              <w:tr2bl w:val="nil"/>
            </w:tcBorders>
            <w:shd w:val="clear" w:color="auto" w:fill="auto"/>
            <w:tcMar>
              <w:left w:w="108" w:type="dxa"/>
              <w:right w:w="108" w:type="dxa"/>
            </w:tcMar>
            <w:vAlign w:val="center"/>
          </w:tcPr>
          <w:p w14:paraId="12A0C2E1">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食品安全国家标准</w:t>
            </w:r>
          </w:p>
          <w:p w14:paraId="23555833">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预包装食品标签通则</w:t>
            </w:r>
          </w:p>
        </w:tc>
        <w:tc>
          <w:tcPr>
            <w:tcW w:w="1871" w:type="dxa"/>
            <w:tcBorders>
              <w:tl2br w:val="nil"/>
              <w:tr2bl w:val="nil"/>
            </w:tcBorders>
            <w:shd w:val="clear" w:color="auto" w:fill="auto"/>
            <w:tcMar>
              <w:left w:w="108" w:type="dxa"/>
              <w:right w:w="108" w:type="dxa"/>
            </w:tcMar>
            <w:vAlign w:val="center"/>
          </w:tcPr>
          <w:p w14:paraId="11FB5E10">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GB 7718</w:t>
            </w:r>
          </w:p>
        </w:tc>
      </w:tr>
      <w:tr w14:paraId="1C36A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 w:type="dxa"/>
            <w:bottom w:w="0" w:type="dxa"/>
            <w:right w:w="10" w:type="dxa"/>
          </w:tblCellMar>
        </w:tblPrEx>
        <w:trPr>
          <w:trHeight w:val="850" w:hRule="atLeast"/>
          <w:jc w:val="center"/>
        </w:trPr>
        <w:tc>
          <w:tcPr>
            <w:tcW w:w="850" w:type="dxa"/>
            <w:tcBorders>
              <w:tl2br w:val="nil"/>
              <w:tr2bl w:val="nil"/>
            </w:tcBorders>
            <w:shd w:val="clear" w:color="000000" w:fill="FFFFFF"/>
            <w:tcMar>
              <w:left w:w="108" w:type="dxa"/>
              <w:right w:w="108" w:type="dxa"/>
            </w:tcMar>
            <w:vAlign w:val="center"/>
          </w:tcPr>
          <w:p w14:paraId="6140DF52">
            <w:pPr>
              <w:spacing w:line="360" w:lineRule="exact"/>
              <w:jc w:val="center"/>
              <w:rPr>
                <w:rFonts w:ascii="Times New Roman" w:hAnsi="Times New Roman" w:eastAsia="方正仿宋_GBK" w:cs="Times New Roman"/>
                <w:sz w:val="24"/>
              </w:rPr>
            </w:pPr>
            <w:r>
              <w:rPr>
                <w:rFonts w:hint="eastAsia" w:ascii="Times New Roman" w:hAnsi="Times New Roman" w:eastAsia="方正仿宋_GBK" w:cs="Times New Roman"/>
                <w:sz w:val="24"/>
              </w:rPr>
              <w:t>15</w:t>
            </w:r>
          </w:p>
        </w:tc>
        <w:tc>
          <w:tcPr>
            <w:tcW w:w="1701" w:type="dxa"/>
            <w:tcBorders>
              <w:tl2br w:val="nil"/>
              <w:tr2bl w:val="nil"/>
            </w:tcBorders>
            <w:shd w:val="clear" w:color="auto" w:fill="auto"/>
            <w:tcMar>
              <w:left w:w="108" w:type="dxa"/>
              <w:right w:w="108" w:type="dxa"/>
            </w:tcMar>
            <w:vAlign w:val="center"/>
          </w:tcPr>
          <w:p w14:paraId="6BDC2959">
            <w:pPr>
              <w:spacing w:line="360" w:lineRule="exact"/>
              <w:jc w:val="center"/>
              <w:rPr>
                <w:rFonts w:ascii="Times New Roman" w:hAnsi="Times New Roman" w:eastAsia="方正仿宋_GBK" w:cs="Times New Roman"/>
                <w:color w:val="000000"/>
                <w:kern w:val="0"/>
                <w:sz w:val="24"/>
              </w:rPr>
            </w:pPr>
            <w:r>
              <w:rPr>
                <w:rFonts w:ascii="Times New Roman" w:hAnsi="Times New Roman" w:eastAsia="方正仿宋_GBK" w:cs="Times New Roman"/>
                <w:color w:val="000000"/>
                <w:kern w:val="0"/>
                <w:sz w:val="24"/>
                <w:lang w:eastAsia="en-US"/>
              </w:rPr>
              <w:t>营养标签</w:t>
            </w:r>
          </w:p>
        </w:tc>
        <w:tc>
          <w:tcPr>
            <w:tcW w:w="1701" w:type="dxa"/>
            <w:tcBorders>
              <w:tl2br w:val="nil"/>
              <w:tr2bl w:val="nil"/>
            </w:tcBorders>
            <w:shd w:val="clear" w:color="auto" w:fill="auto"/>
            <w:tcMar>
              <w:left w:w="108" w:type="dxa"/>
              <w:right w:w="108" w:type="dxa"/>
            </w:tcMar>
            <w:vAlign w:val="center"/>
          </w:tcPr>
          <w:p w14:paraId="068BB6FA">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GB 28050</w:t>
            </w:r>
          </w:p>
        </w:tc>
        <w:tc>
          <w:tcPr>
            <w:tcW w:w="3118" w:type="dxa"/>
            <w:tcBorders>
              <w:tl2br w:val="nil"/>
              <w:tr2bl w:val="nil"/>
            </w:tcBorders>
            <w:shd w:val="clear" w:color="auto" w:fill="auto"/>
            <w:tcMar>
              <w:left w:w="108" w:type="dxa"/>
              <w:right w:w="108" w:type="dxa"/>
            </w:tcMar>
            <w:vAlign w:val="center"/>
          </w:tcPr>
          <w:p w14:paraId="111EC2A6">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食品安全国家标准</w:t>
            </w:r>
          </w:p>
          <w:p w14:paraId="04AAB39A">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预包装食品菅养标签通则</w:t>
            </w:r>
          </w:p>
        </w:tc>
        <w:tc>
          <w:tcPr>
            <w:tcW w:w="1871" w:type="dxa"/>
            <w:tcBorders>
              <w:tl2br w:val="nil"/>
              <w:tr2bl w:val="nil"/>
            </w:tcBorders>
            <w:shd w:val="clear" w:color="auto" w:fill="auto"/>
            <w:tcMar>
              <w:left w:w="108" w:type="dxa"/>
              <w:right w:w="108" w:type="dxa"/>
            </w:tcMar>
            <w:vAlign w:val="center"/>
          </w:tcPr>
          <w:p w14:paraId="01268F18">
            <w:pPr>
              <w:spacing w:line="360" w:lineRule="exact"/>
              <w:jc w:val="center"/>
              <w:rPr>
                <w:rFonts w:ascii="Times New Roman" w:hAnsi="Times New Roman" w:eastAsia="方正仿宋_GBK" w:cs="Times New Roman"/>
                <w:color w:val="000000"/>
                <w:kern w:val="0"/>
                <w:sz w:val="24"/>
                <w:lang w:eastAsia="en-US"/>
              </w:rPr>
            </w:pPr>
            <w:r>
              <w:rPr>
                <w:rFonts w:ascii="Times New Roman" w:hAnsi="Times New Roman" w:eastAsia="方正仿宋_GBK" w:cs="Times New Roman"/>
                <w:color w:val="000000"/>
                <w:kern w:val="0"/>
                <w:sz w:val="24"/>
                <w:lang w:eastAsia="en-US"/>
              </w:rPr>
              <w:t>GB 28050</w:t>
            </w:r>
          </w:p>
        </w:tc>
      </w:tr>
    </w:tbl>
    <w:p w14:paraId="165AEFED">
      <w:pPr>
        <w:widowControl/>
        <w:spacing w:line="360" w:lineRule="exact"/>
        <w:rPr>
          <w:rFonts w:ascii="方正仿宋_GBK" w:hAnsi="方正仿宋_GBK" w:eastAsia="方正仿宋_GBK" w:cs="方正仿宋_GBK"/>
          <w:sz w:val="24"/>
        </w:rPr>
      </w:pPr>
    </w:p>
    <w:sectPr>
      <w:footerReference r:id="rId3" w:type="default"/>
      <w:pgSz w:w="11906" w:h="16838"/>
      <w:pgMar w:top="1984" w:right="1474" w:bottom="164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55F76">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C6FF7">
                          <w:pPr>
                            <w:pStyle w:val="7"/>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49C6FF7">
                    <w:pPr>
                      <w:pStyle w:val="7"/>
                    </w:pPr>
                    <w:r>
                      <w:fldChar w:fldCharType="begin"/>
                    </w:r>
                    <w:r>
                      <w:instrText xml:space="preserve"> PAGE  \* MERGEFORMAT </w:instrText>
                    </w:r>
                    <w:r>
                      <w:fldChar w:fldCharType="separate"/>
                    </w:r>
                    <w:r>
                      <w:t>10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14378E2"/>
    <w:multiLevelType w:val="multilevel"/>
    <w:tmpl w:val="714378E2"/>
    <w:lvl w:ilvl="0" w:tentative="0">
      <w:start w:val="1"/>
      <w:numFmt w:val="chineseCountingThousand"/>
      <w:lvlText w:val="第%1条  "/>
      <w:lvlJc w:val="left"/>
      <w:pPr>
        <w:ind w:left="1065" w:hanging="420"/>
      </w:pPr>
      <w:rPr>
        <w:rFonts w:hint="eastAsia" w:eastAsia="方正黑体_GBK"/>
        <w:b w:val="0"/>
        <w:i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I0YWIzYTlkYmM3N2FkODgyZGQ3NTRjYmYyNGNhOTQifQ=="/>
  </w:docVars>
  <w:rsids>
    <w:rsidRoot w:val="51A22F97"/>
    <w:rsid w:val="000407E6"/>
    <w:rsid w:val="000471E4"/>
    <w:rsid w:val="00054BB3"/>
    <w:rsid w:val="000A0A75"/>
    <w:rsid w:val="000E65FF"/>
    <w:rsid w:val="00147E52"/>
    <w:rsid w:val="00163B21"/>
    <w:rsid w:val="00180480"/>
    <w:rsid w:val="00183125"/>
    <w:rsid w:val="001906A8"/>
    <w:rsid w:val="001A5D0A"/>
    <w:rsid w:val="001D50CC"/>
    <w:rsid w:val="001D50D9"/>
    <w:rsid w:val="001D76EC"/>
    <w:rsid w:val="002345C7"/>
    <w:rsid w:val="002C4B98"/>
    <w:rsid w:val="002D0C90"/>
    <w:rsid w:val="002D6189"/>
    <w:rsid w:val="002D79BE"/>
    <w:rsid w:val="002F7562"/>
    <w:rsid w:val="00315D3F"/>
    <w:rsid w:val="00315FDE"/>
    <w:rsid w:val="003435E5"/>
    <w:rsid w:val="00345E97"/>
    <w:rsid w:val="00373245"/>
    <w:rsid w:val="003808FD"/>
    <w:rsid w:val="003956A1"/>
    <w:rsid w:val="003D71D6"/>
    <w:rsid w:val="003F4828"/>
    <w:rsid w:val="00414174"/>
    <w:rsid w:val="004144E0"/>
    <w:rsid w:val="00415CE5"/>
    <w:rsid w:val="004206F3"/>
    <w:rsid w:val="00426A02"/>
    <w:rsid w:val="00434F8C"/>
    <w:rsid w:val="004976DC"/>
    <w:rsid w:val="004A5D0C"/>
    <w:rsid w:val="004D1564"/>
    <w:rsid w:val="004F50AD"/>
    <w:rsid w:val="00540CF8"/>
    <w:rsid w:val="00546D47"/>
    <w:rsid w:val="00557C4A"/>
    <w:rsid w:val="00573C4C"/>
    <w:rsid w:val="005850F3"/>
    <w:rsid w:val="005862EB"/>
    <w:rsid w:val="005961BC"/>
    <w:rsid w:val="005F25BE"/>
    <w:rsid w:val="00615E5C"/>
    <w:rsid w:val="006469F0"/>
    <w:rsid w:val="00667DB6"/>
    <w:rsid w:val="006926F2"/>
    <w:rsid w:val="006F3B9C"/>
    <w:rsid w:val="007167C5"/>
    <w:rsid w:val="0073163E"/>
    <w:rsid w:val="007363F4"/>
    <w:rsid w:val="007641BD"/>
    <w:rsid w:val="00784CC6"/>
    <w:rsid w:val="007D6DA7"/>
    <w:rsid w:val="007E7E9F"/>
    <w:rsid w:val="00832E12"/>
    <w:rsid w:val="00842E53"/>
    <w:rsid w:val="00856BB1"/>
    <w:rsid w:val="0088269F"/>
    <w:rsid w:val="00885B62"/>
    <w:rsid w:val="008A37A7"/>
    <w:rsid w:val="008C58ED"/>
    <w:rsid w:val="008C6A18"/>
    <w:rsid w:val="009103D6"/>
    <w:rsid w:val="00942F82"/>
    <w:rsid w:val="00966C6E"/>
    <w:rsid w:val="00976A2B"/>
    <w:rsid w:val="00982851"/>
    <w:rsid w:val="009A1C3D"/>
    <w:rsid w:val="009B4FAA"/>
    <w:rsid w:val="009C17D8"/>
    <w:rsid w:val="009C523D"/>
    <w:rsid w:val="009E0DD9"/>
    <w:rsid w:val="00A1212B"/>
    <w:rsid w:val="00AA52BA"/>
    <w:rsid w:val="00AB0225"/>
    <w:rsid w:val="00AC78B0"/>
    <w:rsid w:val="00AE35BA"/>
    <w:rsid w:val="00B23213"/>
    <w:rsid w:val="00B306AF"/>
    <w:rsid w:val="00B436E7"/>
    <w:rsid w:val="00B86D56"/>
    <w:rsid w:val="00BC3FA5"/>
    <w:rsid w:val="00BD20FD"/>
    <w:rsid w:val="00BD3BF4"/>
    <w:rsid w:val="00C11DE3"/>
    <w:rsid w:val="00C20DAA"/>
    <w:rsid w:val="00C27107"/>
    <w:rsid w:val="00C62D40"/>
    <w:rsid w:val="00C719E5"/>
    <w:rsid w:val="00C80154"/>
    <w:rsid w:val="00CB4EFC"/>
    <w:rsid w:val="00CC06E9"/>
    <w:rsid w:val="00D070E8"/>
    <w:rsid w:val="00D36E57"/>
    <w:rsid w:val="00D36FF2"/>
    <w:rsid w:val="00D6621D"/>
    <w:rsid w:val="00D738BB"/>
    <w:rsid w:val="00DA4F4E"/>
    <w:rsid w:val="00DB598C"/>
    <w:rsid w:val="00DC5895"/>
    <w:rsid w:val="00DE151A"/>
    <w:rsid w:val="00DE7D20"/>
    <w:rsid w:val="00E116CA"/>
    <w:rsid w:val="00E13A60"/>
    <w:rsid w:val="00E332F8"/>
    <w:rsid w:val="00E959E0"/>
    <w:rsid w:val="00EA7FC5"/>
    <w:rsid w:val="00EB3F28"/>
    <w:rsid w:val="00EC3108"/>
    <w:rsid w:val="00F02187"/>
    <w:rsid w:val="00F11350"/>
    <w:rsid w:val="00F312BC"/>
    <w:rsid w:val="00F32634"/>
    <w:rsid w:val="00F33E23"/>
    <w:rsid w:val="00F52584"/>
    <w:rsid w:val="00F552A2"/>
    <w:rsid w:val="00F7646B"/>
    <w:rsid w:val="00F97C44"/>
    <w:rsid w:val="00FB6681"/>
    <w:rsid w:val="00FE1158"/>
    <w:rsid w:val="00FF4899"/>
    <w:rsid w:val="010D2342"/>
    <w:rsid w:val="0189697C"/>
    <w:rsid w:val="01BB675B"/>
    <w:rsid w:val="02881E0B"/>
    <w:rsid w:val="033E4BBF"/>
    <w:rsid w:val="04161698"/>
    <w:rsid w:val="04C22CA0"/>
    <w:rsid w:val="04C83C5C"/>
    <w:rsid w:val="04DB3FE3"/>
    <w:rsid w:val="04DB77CA"/>
    <w:rsid w:val="052D4EEB"/>
    <w:rsid w:val="05762682"/>
    <w:rsid w:val="061B11E8"/>
    <w:rsid w:val="06622973"/>
    <w:rsid w:val="066F6E3E"/>
    <w:rsid w:val="06A025E5"/>
    <w:rsid w:val="06A116ED"/>
    <w:rsid w:val="07D433FC"/>
    <w:rsid w:val="0828192C"/>
    <w:rsid w:val="083E4D1A"/>
    <w:rsid w:val="09F4422A"/>
    <w:rsid w:val="0A1026E6"/>
    <w:rsid w:val="0AD100C7"/>
    <w:rsid w:val="0ADD0E44"/>
    <w:rsid w:val="0CF500A9"/>
    <w:rsid w:val="0D774F56"/>
    <w:rsid w:val="0DC339FB"/>
    <w:rsid w:val="0DED6FC6"/>
    <w:rsid w:val="0E8F2773"/>
    <w:rsid w:val="109C4CD3"/>
    <w:rsid w:val="10A35B8B"/>
    <w:rsid w:val="11E3705D"/>
    <w:rsid w:val="11FA43A7"/>
    <w:rsid w:val="120314AE"/>
    <w:rsid w:val="12957C2C"/>
    <w:rsid w:val="13092D75"/>
    <w:rsid w:val="139D0B46"/>
    <w:rsid w:val="14D070E5"/>
    <w:rsid w:val="1584460A"/>
    <w:rsid w:val="15FC6940"/>
    <w:rsid w:val="16BF796D"/>
    <w:rsid w:val="16E92100"/>
    <w:rsid w:val="17B9260F"/>
    <w:rsid w:val="197E141A"/>
    <w:rsid w:val="1B0057E4"/>
    <w:rsid w:val="1C7C6848"/>
    <w:rsid w:val="1CDC3027"/>
    <w:rsid w:val="1CE1063D"/>
    <w:rsid w:val="1CE617B0"/>
    <w:rsid w:val="1D562E49"/>
    <w:rsid w:val="1D69418F"/>
    <w:rsid w:val="1DF24184"/>
    <w:rsid w:val="1E234E5B"/>
    <w:rsid w:val="210C292A"/>
    <w:rsid w:val="22327245"/>
    <w:rsid w:val="22914836"/>
    <w:rsid w:val="22D93B65"/>
    <w:rsid w:val="23063000"/>
    <w:rsid w:val="232A43C0"/>
    <w:rsid w:val="23A41C54"/>
    <w:rsid w:val="23EE3640"/>
    <w:rsid w:val="241C58CA"/>
    <w:rsid w:val="24DC2221"/>
    <w:rsid w:val="24F353B2"/>
    <w:rsid w:val="26945DB3"/>
    <w:rsid w:val="27B23302"/>
    <w:rsid w:val="28812CD5"/>
    <w:rsid w:val="2886198F"/>
    <w:rsid w:val="2900009D"/>
    <w:rsid w:val="29076A6D"/>
    <w:rsid w:val="292755F4"/>
    <w:rsid w:val="2A375D41"/>
    <w:rsid w:val="2AE61515"/>
    <w:rsid w:val="2AF05EF0"/>
    <w:rsid w:val="2B58394C"/>
    <w:rsid w:val="2B684383"/>
    <w:rsid w:val="2B907BF1"/>
    <w:rsid w:val="2BA411B4"/>
    <w:rsid w:val="2BAE77C2"/>
    <w:rsid w:val="2BD11C89"/>
    <w:rsid w:val="2BFC0FF0"/>
    <w:rsid w:val="2DD87A37"/>
    <w:rsid w:val="2EDB06A7"/>
    <w:rsid w:val="2F7125AE"/>
    <w:rsid w:val="2FD7142C"/>
    <w:rsid w:val="2FF41FDE"/>
    <w:rsid w:val="312A215B"/>
    <w:rsid w:val="320329AC"/>
    <w:rsid w:val="32146967"/>
    <w:rsid w:val="328115C0"/>
    <w:rsid w:val="35A13F7A"/>
    <w:rsid w:val="35E46651"/>
    <w:rsid w:val="37180CA8"/>
    <w:rsid w:val="37921F90"/>
    <w:rsid w:val="38296BB0"/>
    <w:rsid w:val="384D4981"/>
    <w:rsid w:val="38AF1198"/>
    <w:rsid w:val="390344BB"/>
    <w:rsid w:val="390A0869"/>
    <w:rsid w:val="392D482D"/>
    <w:rsid w:val="3A5C193A"/>
    <w:rsid w:val="3B5F675C"/>
    <w:rsid w:val="3BEB0739"/>
    <w:rsid w:val="3C6504EB"/>
    <w:rsid w:val="3D864BBD"/>
    <w:rsid w:val="3E402DA2"/>
    <w:rsid w:val="3EAA6689"/>
    <w:rsid w:val="400973E0"/>
    <w:rsid w:val="407C4056"/>
    <w:rsid w:val="407E15A8"/>
    <w:rsid w:val="40E81BE4"/>
    <w:rsid w:val="40FA1EA6"/>
    <w:rsid w:val="41BF069E"/>
    <w:rsid w:val="421F0AF0"/>
    <w:rsid w:val="423A2219"/>
    <w:rsid w:val="424B3CDF"/>
    <w:rsid w:val="427908F8"/>
    <w:rsid w:val="438D0328"/>
    <w:rsid w:val="470E79D1"/>
    <w:rsid w:val="471E2D2A"/>
    <w:rsid w:val="473164C4"/>
    <w:rsid w:val="477C7AFE"/>
    <w:rsid w:val="48D2515B"/>
    <w:rsid w:val="490F7AE8"/>
    <w:rsid w:val="49C5081B"/>
    <w:rsid w:val="49ED4B3F"/>
    <w:rsid w:val="4C6F4332"/>
    <w:rsid w:val="4D267823"/>
    <w:rsid w:val="4DB743FA"/>
    <w:rsid w:val="4E9338FE"/>
    <w:rsid w:val="4F890067"/>
    <w:rsid w:val="51154438"/>
    <w:rsid w:val="515B223B"/>
    <w:rsid w:val="51A22F97"/>
    <w:rsid w:val="54A95135"/>
    <w:rsid w:val="55BE547F"/>
    <w:rsid w:val="56293EE0"/>
    <w:rsid w:val="56C105BC"/>
    <w:rsid w:val="56F53225"/>
    <w:rsid w:val="57A2244C"/>
    <w:rsid w:val="580B4AB4"/>
    <w:rsid w:val="58607961"/>
    <w:rsid w:val="58831FCD"/>
    <w:rsid w:val="58FF4CFF"/>
    <w:rsid w:val="592425D8"/>
    <w:rsid w:val="594116A0"/>
    <w:rsid w:val="59A22D38"/>
    <w:rsid w:val="5AD92379"/>
    <w:rsid w:val="5BD24811"/>
    <w:rsid w:val="5DCA571A"/>
    <w:rsid w:val="5EE81D52"/>
    <w:rsid w:val="600F407A"/>
    <w:rsid w:val="60624BBE"/>
    <w:rsid w:val="60F872D1"/>
    <w:rsid w:val="6175705B"/>
    <w:rsid w:val="61EF75BD"/>
    <w:rsid w:val="62516C98"/>
    <w:rsid w:val="629F6D69"/>
    <w:rsid w:val="64025BB2"/>
    <w:rsid w:val="642D3B9D"/>
    <w:rsid w:val="65674A25"/>
    <w:rsid w:val="658A024A"/>
    <w:rsid w:val="6679056C"/>
    <w:rsid w:val="672A358C"/>
    <w:rsid w:val="679D472E"/>
    <w:rsid w:val="67B71CEF"/>
    <w:rsid w:val="69643755"/>
    <w:rsid w:val="69F329A9"/>
    <w:rsid w:val="69FB083C"/>
    <w:rsid w:val="6A9848DD"/>
    <w:rsid w:val="6B5A5463"/>
    <w:rsid w:val="6C2471CC"/>
    <w:rsid w:val="6DC24EEE"/>
    <w:rsid w:val="6F4F456C"/>
    <w:rsid w:val="6F7E3097"/>
    <w:rsid w:val="6FB66710"/>
    <w:rsid w:val="6FCA1CAF"/>
    <w:rsid w:val="70763D6E"/>
    <w:rsid w:val="719F355D"/>
    <w:rsid w:val="73ED4347"/>
    <w:rsid w:val="74820F33"/>
    <w:rsid w:val="7591000A"/>
    <w:rsid w:val="75BC582D"/>
    <w:rsid w:val="75BE243F"/>
    <w:rsid w:val="76856AB9"/>
    <w:rsid w:val="76933589"/>
    <w:rsid w:val="775546DD"/>
    <w:rsid w:val="775A1CF3"/>
    <w:rsid w:val="78412EB3"/>
    <w:rsid w:val="79212D4A"/>
    <w:rsid w:val="7AB21792"/>
    <w:rsid w:val="7B2A386F"/>
    <w:rsid w:val="7B75534E"/>
    <w:rsid w:val="7CDF5B9C"/>
    <w:rsid w:val="7F5160D2"/>
    <w:rsid w:val="7FC632C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qFormat="1" w:unhideWhenUsed="0" w:uiPriority="99" w:semiHidden="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Body Text 3"/>
    <w:basedOn w:val="1"/>
    <w:next w:val="4"/>
    <w:qFormat/>
    <w:uiPriority w:val="99"/>
    <w:pPr>
      <w:spacing w:after="120"/>
    </w:pPr>
    <w:rPr>
      <w:rFonts w:ascii="Times New Roman" w:hAnsi="Times New Roman" w:eastAsia="仿宋_GB2312"/>
      <w:sz w:val="16"/>
      <w:szCs w:val="16"/>
    </w:rPr>
  </w:style>
  <w:style w:type="paragraph" w:customStyle="1" w:styleId="4">
    <w:name w:val="Char1"/>
    <w:basedOn w:val="1"/>
    <w:qFormat/>
    <w:uiPriority w:val="99"/>
    <w:pPr>
      <w:tabs>
        <w:tab w:val="left" w:pos="840"/>
      </w:tabs>
      <w:ind w:left="840" w:hanging="420"/>
    </w:pPr>
    <w:rPr>
      <w:rFonts w:ascii="Times New Roman" w:hAnsi="Times New Roman" w:eastAsia="仿宋_GB2312"/>
      <w:sz w:val="24"/>
    </w:rPr>
  </w:style>
  <w:style w:type="paragraph" w:styleId="5">
    <w:name w:val="Body Text"/>
    <w:basedOn w:val="1"/>
    <w:semiHidden/>
    <w:qFormat/>
    <w:uiPriority w:val="0"/>
    <w:rPr>
      <w:rFonts w:ascii="宋体" w:hAnsi="宋体" w:eastAsia="宋体" w:cs="宋体"/>
      <w:sz w:val="31"/>
      <w:szCs w:val="31"/>
      <w:lang w:eastAsia="en-US"/>
    </w:rPr>
  </w:style>
  <w:style w:type="paragraph" w:styleId="6">
    <w:name w:val="Balloon Text"/>
    <w:basedOn w:val="1"/>
    <w:link w:val="18"/>
    <w:semiHidden/>
    <w:unhideWhenUsed/>
    <w:qFormat/>
    <w:uiPriority w:val="0"/>
    <w:rPr>
      <w:sz w:val="18"/>
      <w:szCs w:val="18"/>
    </w:rPr>
  </w:style>
  <w:style w:type="paragraph" w:styleId="7">
    <w:name w:val="footer"/>
    <w:basedOn w:val="1"/>
    <w:link w:val="16"/>
    <w:qFormat/>
    <w:uiPriority w:val="0"/>
    <w:pPr>
      <w:tabs>
        <w:tab w:val="center" w:pos="4153"/>
        <w:tab w:val="right" w:pos="8306"/>
      </w:tabs>
      <w:snapToGrid w:val="0"/>
      <w:jc w:val="left"/>
    </w:pPr>
    <w:rPr>
      <w:sz w:val="18"/>
      <w:szCs w:val="18"/>
    </w:rPr>
  </w:style>
  <w:style w:type="paragraph" w:styleId="8">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spacing w:beforeAutospacing="1" w:afterAutospacing="1"/>
      <w:jc w:val="left"/>
    </w:pPr>
    <w:rPr>
      <w:rFonts w:ascii="Calibri" w:hAnsi="Calibri" w:eastAsia="仿宋_GB2312" w:cs="Times New Roman"/>
      <w:kern w:val="0"/>
      <w:sz w:val="24"/>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Table Text"/>
    <w:basedOn w:val="1"/>
    <w:semiHidden/>
    <w:qFormat/>
    <w:uiPriority w:val="0"/>
    <w:rPr>
      <w:rFonts w:ascii="微软雅黑" w:hAnsi="微软雅黑" w:eastAsia="微软雅黑" w:cs="微软雅黑"/>
      <w:sz w:val="19"/>
      <w:szCs w:val="19"/>
      <w:lang w:eastAsia="en-US"/>
    </w:rPr>
  </w:style>
  <w:style w:type="table" w:customStyle="1" w:styleId="14">
    <w:name w:val="Table Normal"/>
    <w:semiHidden/>
    <w:unhideWhenUsed/>
    <w:qFormat/>
    <w:uiPriority w:val="0"/>
    <w:tblPr>
      <w:tblCellMar>
        <w:top w:w="0" w:type="dxa"/>
        <w:left w:w="0" w:type="dxa"/>
        <w:bottom w:w="0" w:type="dxa"/>
        <w:right w:w="0" w:type="dxa"/>
      </w:tblCellMar>
    </w:tblPr>
  </w:style>
  <w:style w:type="character" w:customStyle="1" w:styleId="15">
    <w:name w:val="页眉 字符"/>
    <w:basedOn w:val="12"/>
    <w:link w:val="8"/>
    <w:qFormat/>
    <w:uiPriority w:val="0"/>
    <w:rPr>
      <w:rFonts w:asciiTheme="minorHAnsi" w:hAnsiTheme="minorHAnsi" w:eastAsiaTheme="minorEastAsia" w:cstheme="minorBidi"/>
      <w:kern w:val="2"/>
      <w:sz w:val="18"/>
      <w:szCs w:val="18"/>
    </w:rPr>
  </w:style>
  <w:style w:type="character" w:customStyle="1" w:styleId="16">
    <w:name w:val="页脚 字符"/>
    <w:basedOn w:val="12"/>
    <w:link w:val="7"/>
    <w:qFormat/>
    <w:uiPriority w:val="0"/>
    <w:rPr>
      <w:rFonts w:asciiTheme="minorHAnsi" w:hAnsiTheme="minorHAnsi" w:eastAsiaTheme="minorEastAsia" w:cstheme="minorBidi"/>
      <w:kern w:val="2"/>
      <w:sz w:val="18"/>
      <w:szCs w:val="18"/>
    </w:rPr>
  </w:style>
  <w:style w:type="paragraph" w:styleId="17">
    <w:name w:val="List Paragraph"/>
    <w:basedOn w:val="1"/>
    <w:qFormat/>
    <w:uiPriority w:val="34"/>
    <w:pPr>
      <w:ind w:firstLine="420" w:firstLineChars="200"/>
    </w:pPr>
  </w:style>
  <w:style w:type="character" w:customStyle="1" w:styleId="18">
    <w:name w:val="批注框文本 字符"/>
    <w:basedOn w:val="12"/>
    <w:link w:val="6"/>
    <w:semiHidden/>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123xz.org</Company>
  <Pages>10</Pages>
  <Words>3565</Words>
  <Characters>3685</Characters>
  <Lines>28</Lines>
  <Paragraphs>8</Paragraphs>
  <TotalTime>47</TotalTime>
  <ScaleCrop>false</ScaleCrop>
  <LinksUpToDate>false</LinksUpToDate>
  <CharactersWithSpaces>3734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2025-01-27T01:05:00Z</dcterms:created>
  <dc:creator>崔伟</dc:creator>
  <cp:lastModifiedBy>JZY</cp:lastModifiedBy>
  <dcterms:modified xsi:type="dcterms:W3CDTF">2025-03-10T01:07:08Z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85FA925A89D546E6974D54495BEA0964_13</vt:lpwstr>
  </property>
  <property fmtid="{D5CDD505-2E9C-101B-9397-08002B2CF9AE}" pid="4" name="KSOTemplateDocerSaveRecord">
    <vt:lpwstr>eyJoZGlkIjoiZGE0OTIyNmMwMzgzYTBkM2M4ODljYTg0OTlmNTllYjkifQ==</vt:lpwstr>
  </property>
</Properties>
</file>