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5AE33">
      <w:pPr>
        <w:jc w:val="center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平台赋能</w:t>
      </w:r>
      <w:r>
        <w:rPr>
          <w:rFonts w:hint="eastAsia" w:ascii="黑体" w:hAnsi="黑体" w:eastAsia="黑体" w:cs="黑体"/>
          <w:sz w:val="32"/>
          <w:szCs w:val="40"/>
        </w:rPr>
        <w:t>行业典型场景</w:t>
      </w:r>
    </w:p>
    <w:p w14:paraId="73571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5B4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一、场景名称+解决方案名称</w:t>
      </w:r>
    </w:p>
    <w:p w14:paraId="5187C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 w14:paraId="3F40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</w:rPr>
        <w:t>痛点问题</w:t>
      </w:r>
    </w:p>
    <w:p w14:paraId="76885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44EA7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5F909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）解决方案</w:t>
      </w:r>
    </w:p>
    <w:p w14:paraId="04C65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6F5CE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0BF62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）成效</w:t>
      </w:r>
    </w:p>
    <w:p w14:paraId="3C103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6B1C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27085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二、场景名称+解决方案名称</w:t>
      </w:r>
    </w:p>
    <w:p w14:paraId="297AB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 w14:paraId="1B24F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</w:rPr>
        <w:t>痛点问题</w:t>
      </w:r>
    </w:p>
    <w:p w14:paraId="32E3A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4130E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0BF77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）解决方案</w:t>
      </w:r>
    </w:p>
    <w:p w14:paraId="51F59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52F47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5B996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）成效</w:t>
      </w:r>
    </w:p>
    <w:p w14:paraId="4327C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35B1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E4BB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三、场景名称+解决方案名称</w:t>
      </w:r>
    </w:p>
    <w:p w14:paraId="5509F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 w14:paraId="00212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</w:rPr>
        <w:t>痛点问题</w:t>
      </w:r>
    </w:p>
    <w:p w14:paraId="2C0A5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4DB7D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749AC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）解决方案</w:t>
      </w:r>
    </w:p>
    <w:p w14:paraId="2AF8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6669F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6FC31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）成效</w:t>
      </w:r>
    </w:p>
    <w:p w14:paraId="75920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60B5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07576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bookmarkStart w:id="0" w:name="_GoBack"/>
      <w:bookmarkEnd w:id="0"/>
    </w:p>
    <w:p w14:paraId="09A1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07CA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9EEA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E1E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  <w:lang w:eastAsia="zh-CN"/>
        </w:rPr>
      </w:pP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注：本项重点说明</w:t>
      </w:r>
      <w:r>
        <w:rPr>
          <w:rFonts w:hint="eastAsia" w:ascii="Times New Roman" w:hAnsi="Times New Roman" w:eastAsia="仿宋"/>
          <w:sz w:val="24"/>
          <w:szCs w:val="32"/>
        </w:rPr>
        <w:t>平台面向行业典型场景，提供</w:t>
      </w:r>
      <w:r>
        <w:rPr>
          <w:rFonts w:hint="eastAsia" w:ascii="Times New Roman" w:hAnsi="Times New Roman" w:eastAsia="仿宋"/>
          <w:b/>
          <w:bCs/>
          <w:color w:val="C00000"/>
          <w:sz w:val="24"/>
          <w:szCs w:val="32"/>
        </w:rPr>
        <w:t>安全生产、质量管控、供应链管理、研发设计、生产制造、运营管理、仓储物流、运维服务、AI融合应用</w:t>
      </w:r>
      <w:r>
        <w:rPr>
          <w:rFonts w:hint="eastAsia" w:ascii="Times New Roman" w:hAnsi="Times New Roman" w:eastAsia="仿宋"/>
          <w:sz w:val="24"/>
          <w:szCs w:val="32"/>
        </w:rPr>
        <w:t>等标准化解决方案，并提供相关案例不超过3个</w:t>
      </w:r>
      <w:r>
        <w:rPr>
          <w:rFonts w:hint="eastAsia" w:ascii="Times New Roman" w:hAnsi="Times New Roman" w:eastAsia="仿宋"/>
          <w:sz w:val="24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C3C4E"/>
    <w:rsid w:val="07B142BA"/>
    <w:rsid w:val="2A16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2</TotalTime>
  <ScaleCrop>false</ScaleCrop>
  <LinksUpToDate>false</LinksUpToDate>
  <CharactersWithSpaces>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2025-03-03T05:28:00Z</dcterms:created>
  <dc:creator>Harve</dc:creator>
  <cp:lastModifiedBy>HuaweiMu</cp:lastModifiedBy>
  <dcterms:modified xsi:type="dcterms:W3CDTF">2025-03-03T05:53:23Z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eyJoZGlkIjoiNDY5OTI3ZTFjNTczZDU1ZmMzY2I3M2E0MGRmMjI1YzUiLCJ1c2VySWQiOiIzOTUzNjA0MjIifQ==</vt:lpwstr>
  </property>
  <property fmtid="{D5CDD505-2E9C-101B-9397-08002B2CF9AE}" pid="4" name="ICV">
    <vt:lpwstr>6026B817B98A490DB5E38775AA452429_12</vt:lpwstr>
  </property>
</Properties>
</file>