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60" w:lineRule="exact"/>
        <w:rPr>
          <w:rFonts w:hint="eastAsia" w:ascii="黑体" w:hAnsi="黑体" w:eastAsia="黑体" w:cs="黑体"/>
          <w:b w:val="0"/>
          <w:bCs w:val="0"/>
          <w:color w:val="auto"/>
          <w:kern w:val="0"/>
          <w:sz w:val="32"/>
          <w:szCs w:val="32"/>
          <w:highlight w:val="none"/>
          <w:lang w:val="en-US" w:eastAsia="zh-CN"/>
        </w:rPr>
      </w:pPr>
      <w:r>
        <w:rPr>
          <w:rFonts w:hint="eastAsia" w:ascii="黑体" w:hAnsi="黑体" w:eastAsia="黑体" w:cs="黑体"/>
          <w:b w:val="0"/>
          <w:bCs w:val="0"/>
          <w:color w:val="auto"/>
          <w:kern w:val="0"/>
          <w:sz w:val="32"/>
          <w:szCs w:val="32"/>
          <w:highlight w:val="none"/>
        </w:rPr>
        <w:t>附件</w:t>
      </w:r>
      <w:r>
        <w:rPr>
          <w:rFonts w:hint="eastAsia" w:ascii="黑体" w:hAnsi="黑体" w:eastAsia="黑体" w:cs="黑体"/>
          <w:b w:val="0"/>
          <w:bCs w:val="0"/>
          <w:color w:val="auto"/>
          <w:kern w:val="0"/>
          <w:sz w:val="32"/>
          <w:szCs w:val="32"/>
          <w:highlight w:val="none"/>
          <w:lang w:val="en-US" w:eastAsia="zh-CN"/>
        </w:rPr>
        <w:t>3</w:t>
      </w:r>
    </w:p>
    <w:p>
      <w:pPr>
        <w:pStyle w:val="2"/>
        <w:rPr>
          <w:rFonts w:hint="eastAsia"/>
          <w:color w:val="auto"/>
          <w:highlight w:val="none"/>
          <w:lang w:val="en-US" w:eastAsia="zh-CN"/>
        </w:rPr>
      </w:pPr>
    </w:p>
    <w:p>
      <w:pPr>
        <w:pStyle w:val="10"/>
        <w:keepNext w:val="0"/>
        <w:keepLines w:val="0"/>
        <w:widowControl/>
        <w:suppressLineNumbers w:val="0"/>
        <w:spacing w:before="0" w:beforeAutospacing="0" w:after="0" w:afterAutospacing="0"/>
        <w:ind w:left="0" w:right="0" w:firstLine="0"/>
        <w:jc w:val="center"/>
        <w:rPr>
          <w:rFonts w:hint="eastAsia" w:ascii="青鸟华光简小标宋" w:hAnsi="青鸟华光简小标宋" w:eastAsia="青鸟华光简小标宋" w:cs="青鸟华光简小标宋"/>
          <w:color w:val="auto"/>
          <w:sz w:val="44"/>
          <w:szCs w:val="44"/>
          <w:highlight w:val="none"/>
          <w:lang w:eastAsia="zh-CN"/>
        </w:rPr>
      </w:pPr>
      <w:r>
        <w:rPr>
          <w:rFonts w:hint="eastAsia" w:ascii="青鸟华光简小标宋" w:hAnsi="青鸟华光简小标宋" w:eastAsia="青鸟华光简小标宋" w:cs="青鸟华光简小标宋"/>
          <w:color w:val="auto"/>
          <w:sz w:val="44"/>
          <w:szCs w:val="44"/>
          <w:highlight w:val="none"/>
        </w:rPr>
        <w:t>宝安区社区集体经济综合监管系统2.0版数据运营服务（2025年）项目</w:t>
      </w:r>
      <w:r>
        <w:rPr>
          <w:rFonts w:hint="eastAsia" w:ascii="青鸟华光简小标宋" w:hAnsi="青鸟华光简小标宋" w:eastAsia="青鸟华光简小标宋" w:cs="青鸟华光简小标宋"/>
          <w:color w:val="auto"/>
          <w:sz w:val="44"/>
          <w:szCs w:val="44"/>
          <w:highlight w:val="none"/>
          <w:lang w:eastAsia="zh-CN"/>
        </w:rPr>
        <w:t>评分标准</w:t>
      </w:r>
    </w:p>
    <w:p>
      <w:pPr>
        <w:spacing w:line="560" w:lineRule="exact"/>
        <w:jc w:val="center"/>
        <w:rPr>
          <w:rFonts w:ascii="宋体" w:hAnsi="宋体"/>
          <w:color w:val="auto"/>
          <w:sz w:val="28"/>
          <w:szCs w:val="28"/>
          <w:highlight w:val="none"/>
        </w:rPr>
      </w:pPr>
    </w:p>
    <w:p>
      <w:pPr>
        <w:pStyle w:val="25"/>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0"/>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lang w:val="en-US" w:eastAsia="zh-CN"/>
        </w:rPr>
        <w:t>一、采购方</w:t>
      </w:r>
      <w:r>
        <w:rPr>
          <w:rFonts w:hint="eastAsia" w:ascii="黑体" w:hAnsi="黑体" w:eastAsia="黑体" w:cs="黑体"/>
          <w:b w:val="0"/>
          <w:bCs/>
          <w:color w:val="auto"/>
          <w:sz w:val="32"/>
          <w:szCs w:val="32"/>
          <w:highlight w:val="none"/>
        </w:rPr>
        <w:t>对</w:t>
      </w:r>
      <w:r>
        <w:rPr>
          <w:rFonts w:hint="eastAsia" w:ascii="黑体" w:hAnsi="黑体" w:eastAsia="黑体" w:cs="黑体"/>
          <w:b w:val="0"/>
          <w:bCs/>
          <w:color w:val="auto"/>
          <w:sz w:val="32"/>
          <w:szCs w:val="32"/>
          <w:highlight w:val="none"/>
          <w:lang w:val="en-US" w:eastAsia="zh-CN"/>
        </w:rPr>
        <w:t>投标</w:t>
      </w:r>
      <w:r>
        <w:rPr>
          <w:rFonts w:hint="eastAsia" w:ascii="黑体" w:hAnsi="黑体" w:eastAsia="黑体" w:cs="黑体"/>
          <w:b w:val="0"/>
          <w:bCs/>
          <w:color w:val="auto"/>
          <w:sz w:val="32"/>
          <w:szCs w:val="32"/>
          <w:highlight w:val="none"/>
        </w:rPr>
        <w:t>文件进行资格与符合性初审</w:t>
      </w:r>
    </w:p>
    <w:p>
      <w:pPr>
        <w:pStyle w:val="25"/>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(一)投标人必须严格按照《资格性审查表》《符合性审查表》的评审内容的要求如实提供证明材料，若投标人不满足《资格性审查表》《符合性审查表》中任何情形之一的，则其投标无效。</w:t>
      </w:r>
    </w:p>
    <w:p>
      <w:pPr>
        <w:pStyle w:val="25"/>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(二)资格性、符合性审查内容详见《资格性审查表》《符合性审查表》。</w:t>
      </w:r>
    </w:p>
    <w:p>
      <w:pPr>
        <w:spacing w:before="87" w:line="222" w:lineRule="auto"/>
        <w:ind w:left="3718"/>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pacing w:val="-9"/>
          <w:sz w:val="32"/>
          <w:szCs w:val="32"/>
          <w:highlight w:val="none"/>
        </w:rPr>
        <w:t>投标文件初审</w:t>
      </w:r>
    </w:p>
    <w:p>
      <w:pPr>
        <w:spacing w:line="114" w:lineRule="exact"/>
        <w:rPr>
          <w:color w:val="auto"/>
          <w:highlight w:val="none"/>
        </w:rPr>
      </w:pPr>
    </w:p>
    <w:tbl>
      <w:tblPr>
        <w:tblStyle w:val="26"/>
        <w:tblW w:w="499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000"/>
        <w:gridCol w:w="78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trPr>
        <w:tc>
          <w:tcPr>
            <w:tcW w:w="565"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黑体" w:hAnsi="黑体" w:eastAsia="黑体" w:cs="黑体"/>
                <w:b w:val="0"/>
                <w:bCs w:val="0"/>
                <w:color w:val="auto"/>
                <w:sz w:val="24"/>
                <w:szCs w:val="24"/>
                <w:highlight w:val="none"/>
              </w:rPr>
            </w:pPr>
            <w:r>
              <w:rPr>
                <w:rFonts w:hint="eastAsia" w:ascii="黑体" w:hAnsi="黑体" w:eastAsia="黑体" w:cs="黑体"/>
                <w:b w:val="0"/>
                <w:bCs w:val="0"/>
                <w:color w:val="auto"/>
                <w:spacing w:val="-5"/>
                <w:sz w:val="24"/>
                <w:szCs w:val="24"/>
                <w:highlight w:val="none"/>
              </w:rPr>
              <w:t>序号</w:t>
            </w:r>
          </w:p>
        </w:tc>
        <w:tc>
          <w:tcPr>
            <w:tcW w:w="4434"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rPr>
                <w:rFonts w:hint="eastAsia" w:ascii="黑体" w:hAnsi="黑体" w:eastAsia="黑体" w:cs="黑体"/>
                <w:b w:val="0"/>
                <w:bCs w:val="0"/>
                <w:color w:val="auto"/>
                <w:sz w:val="24"/>
                <w:szCs w:val="24"/>
                <w:highlight w:val="none"/>
              </w:rPr>
            </w:pPr>
            <w:r>
              <w:rPr>
                <w:rFonts w:hint="eastAsia" w:ascii="黑体" w:hAnsi="黑体" w:eastAsia="黑体" w:cs="黑体"/>
                <w:b w:val="0"/>
                <w:bCs w:val="0"/>
                <w:color w:val="auto"/>
                <w:spacing w:val="10"/>
                <w:sz w:val="24"/>
                <w:szCs w:val="24"/>
                <w:highlight w:val="none"/>
              </w:rPr>
              <w:t>资格性审查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65"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pacing w:val="16"/>
                <w:sz w:val="21"/>
                <w:szCs w:val="21"/>
                <w:highlight w:val="none"/>
              </w:rPr>
              <w:t>(</w:t>
            </w:r>
            <w:r>
              <w:rPr>
                <w:rFonts w:hint="eastAsia" w:ascii="仿宋_GB2312" w:hAnsi="仿宋_GB2312" w:eastAsia="仿宋_GB2312" w:cs="仿宋_GB2312"/>
                <w:color w:val="auto"/>
                <w:spacing w:val="16"/>
                <w:sz w:val="21"/>
                <w:szCs w:val="21"/>
                <w:highlight w:val="none"/>
                <w:lang w:eastAsia="zh-CN"/>
              </w:rPr>
              <w:t>一</w:t>
            </w:r>
            <w:r>
              <w:rPr>
                <w:rFonts w:hint="eastAsia" w:ascii="仿宋_GB2312" w:hAnsi="仿宋_GB2312" w:eastAsia="仿宋_GB2312" w:cs="仿宋_GB2312"/>
                <w:color w:val="auto"/>
                <w:spacing w:val="16"/>
                <w:sz w:val="21"/>
                <w:szCs w:val="21"/>
                <w:highlight w:val="none"/>
              </w:rPr>
              <w:t>)</w:t>
            </w:r>
          </w:p>
        </w:tc>
        <w:tc>
          <w:tcPr>
            <w:tcW w:w="4434"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right="0" w:firstLine="0"/>
              <w:jc w:val="left"/>
              <w:textAlignment w:val="auto"/>
              <w:rPr>
                <w:rFonts w:hint="eastAsia" w:ascii="仿宋_GB2312" w:hAnsi="仿宋_GB2312" w:eastAsia="仿宋_GB2312" w:cs="仿宋_GB2312"/>
                <w:color w:val="auto"/>
                <w:spacing w:val="7"/>
                <w:sz w:val="21"/>
                <w:szCs w:val="21"/>
                <w:highlight w:val="none"/>
                <w:lang w:eastAsia="zh-CN"/>
              </w:rPr>
            </w:pPr>
            <w:r>
              <w:rPr>
                <w:rFonts w:hint="eastAsia" w:ascii="仿宋_GB2312" w:hAnsi="仿宋_GB2312" w:eastAsia="仿宋_GB2312" w:cs="仿宋_GB2312"/>
                <w:color w:val="auto"/>
                <w:spacing w:val="7"/>
                <w:sz w:val="21"/>
                <w:szCs w:val="21"/>
                <w:highlight w:val="none"/>
              </w:rPr>
              <w:t>具备《中华人民共和国政府采购法》第二十二条规定的条件</w:t>
            </w:r>
            <w:r>
              <w:rPr>
                <w:rFonts w:hint="eastAsia" w:ascii="仿宋_GB2312" w:hAnsi="仿宋_GB2312" w:eastAsia="仿宋_GB2312" w:cs="仿宋_GB2312"/>
                <w:color w:val="auto"/>
                <w:spacing w:val="7"/>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left="0" w:right="0" w:firstLine="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pacing w:val="7"/>
                <w:sz w:val="21"/>
                <w:szCs w:val="21"/>
                <w:highlight w:val="none"/>
              </w:rPr>
              <w:t>(提供《投标及履约承诺函》)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565"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pacing w:val="16"/>
                <w:sz w:val="21"/>
                <w:szCs w:val="21"/>
                <w:highlight w:val="none"/>
              </w:rPr>
              <w:t>(二)</w:t>
            </w:r>
          </w:p>
        </w:tc>
        <w:tc>
          <w:tcPr>
            <w:tcW w:w="4434"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pacing w:val="6"/>
                <w:sz w:val="21"/>
                <w:szCs w:val="21"/>
                <w:highlight w:val="none"/>
              </w:rPr>
              <w:t>单位负责人为同一人或者存在直接控股、管理关系的不同供应商，不得参加同</w:t>
            </w:r>
            <w:r>
              <w:rPr>
                <w:rFonts w:hint="eastAsia" w:ascii="仿宋_GB2312" w:hAnsi="仿宋_GB2312" w:eastAsia="仿宋_GB2312" w:cs="仿宋_GB2312"/>
                <w:color w:val="auto"/>
                <w:spacing w:val="19"/>
                <w:sz w:val="21"/>
                <w:szCs w:val="21"/>
                <w:highlight w:val="none"/>
              </w:rPr>
              <w:t>一合同项下的政府采购活动</w:t>
            </w:r>
            <w:r>
              <w:rPr>
                <w:rFonts w:hint="eastAsia" w:ascii="仿宋_GB2312" w:hAnsi="仿宋_GB2312" w:eastAsia="仿宋_GB2312" w:cs="仿宋_GB2312"/>
                <w:color w:val="auto"/>
                <w:spacing w:val="18"/>
                <w:sz w:val="21"/>
                <w:szCs w:val="21"/>
                <w:highlight w:val="none"/>
                <w:lang w:eastAsia="zh-CN"/>
              </w:rPr>
              <w:t>。</w:t>
            </w:r>
            <w:r>
              <w:rPr>
                <w:rFonts w:hint="eastAsia" w:ascii="仿宋_GB2312" w:hAnsi="仿宋_GB2312" w:eastAsia="仿宋_GB2312" w:cs="仿宋_GB2312"/>
                <w:color w:val="auto"/>
                <w:spacing w:val="19"/>
                <w:sz w:val="21"/>
                <w:szCs w:val="21"/>
                <w:highlight w:val="none"/>
              </w:rPr>
              <w:t>(提供</w:t>
            </w:r>
            <w:r>
              <w:rPr>
                <w:rFonts w:hint="eastAsia" w:ascii="仿宋_GB2312" w:hAnsi="仿宋_GB2312" w:eastAsia="仿宋_GB2312" w:cs="仿宋_GB2312"/>
                <w:color w:val="auto"/>
                <w:spacing w:val="19"/>
                <w:sz w:val="21"/>
                <w:szCs w:val="21"/>
                <w:highlight w:val="none"/>
                <w:lang w:val="en-US"/>
              </w:rPr>
              <w:t>《投标及履约承诺函》</w:t>
            </w:r>
            <w:r>
              <w:rPr>
                <w:rFonts w:hint="eastAsia" w:ascii="仿宋_GB2312" w:hAnsi="仿宋_GB2312" w:eastAsia="仿宋_GB2312" w:cs="仿宋_GB2312"/>
                <w:color w:val="auto"/>
                <w:spacing w:val="18"/>
                <w:sz w:val="21"/>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9" w:hRule="atLeast"/>
        </w:trPr>
        <w:tc>
          <w:tcPr>
            <w:tcW w:w="565"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pacing w:val="16"/>
                <w:sz w:val="21"/>
                <w:szCs w:val="21"/>
                <w:highlight w:val="none"/>
              </w:rPr>
              <w:t>(三)</w:t>
            </w:r>
          </w:p>
        </w:tc>
        <w:tc>
          <w:tcPr>
            <w:tcW w:w="4434"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pacing w:val="6"/>
                <w:sz w:val="21"/>
                <w:szCs w:val="21"/>
                <w:highlight w:val="none"/>
              </w:rPr>
              <w:t>参与政府采购项目投标的供应商未被列入失信被执行人、重大税收违</w:t>
            </w:r>
            <w:r>
              <w:rPr>
                <w:rFonts w:hint="eastAsia" w:ascii="仿宋_GB2312" w:hAnsi="仿宋_GB2312" w:eastAsia="仿宋_GB2312" w:cs="仿宋_GB2312"/>
                <w:color w:val="auto"/>
                <w:spacing w:val="5"/>
                <w:sz w:val="21"/>
                <w:szCs w:val="21"/>
                <w:highlight w:val="none"/>
              </w:rPr>
              <w:t>法案件当</w:t>
            </w:r>
            <w:r>
              <w:rPr>
                <w:rFonts w:hint="eastAsia" w:ascii="仿宋_GB2312" w:hAnsi="仿宋_GB2312" w:eastAsia="仿宋_GB2312" w:cs="仿宋_GB2312"/>
                <w:color w:val="auto"/>
                <w:spacing w:val="9"/>
                <w:sz w:val="21"/>
                <w:szCs w:val="21"/>
                <w:highlight w:val="none"/>
              </w:rPr>
              <w:t>事人名单(税收违法黑名单)、政府采购严重违法失信行为记录名单</w:t>
            </w:r>
            <w:r>
              <w:rPr>
                <w:rFonts w:hint="eastAsia" w:ascii="仿宋_GB2312" w:hAnsi="仿宋_GB2312" w:eastAsia="仿宋_GB2312" w:cs="仿宋_GB2312"/>
                <w:color w:val="auto"/>
                <w:spacing w:val="24"/>
                <w:sz w:val="21"/>
                <w:szCs w:val="21"/>
                <w:highlight w:val="none"/>
                <w:lang w:eastAsia="zh-CN"/>
              </w:rPr>
              <w:t>。</w:t>
            </w:r>
            <w:r>
              <w:rPr>
                <w:rFonts w:hint="eastAsia" w:ascii="仿宋_GB2312" w:hAnsi="仿宋_GB2312" w:eastAsia="仿宋_GB2312" w:cs="仿宋_GB2312"/>
                <w:color w:val="auto"/>
                <w:spacing w:val="9"/>
                <w:sz w:val="21"/>
                <w:szCs w:val="21"/>
                <w:highlight w:val="none"/>
              </w:rPr>
              <w:t>(提供</w:t>
            </w:r>
            <w:r>
              <w:rPr>
                <w:rFonts w:hint="eastAsia" w:ascii="仿宋_GB2312" w:hAnsi="仿宋_GB2312" w:eastAsia="仿宋_GB2312" w:cs="仿宋_GB2312"/>
                <w:color w:val="auto"/>
                <w:spacing w:val="9"/>
                <w:sz w:val="21"/>
                <w:szCs w:val="21"/>
                <w:highlight w:val="none"/>
                <w:lang w:val="en-US"/>
              </w:rPr>
              <w:t>《投标及履约承诺函》</w:t>
            </w:r>
            <w:r>
              <w:rPr>
                <w:rFonts w:hint="eastAsia" w:ascii="仿宋_GB2312" w:hAnsi="仿宋_GB2312" w:eastAsia="仿宋_GB2312" w:cs="仿宋_GB2312"/>
                <w:color w:val="auto"/>
                <w:spacing w:val="24"/>
                <w:sz w:val="21"/>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9" w:hRule="atLeast"/>
        </w:trPr>
        <w:tc>
          <w:tcPr>
            <w:tcW w:w="565"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pacing w:val="16"/>
                <w:sz w:val="21"/>
                <w:szCs w:val="21"/>
                <w:highlight w:val="none"/>
              </w:rPr>
              <w:t>(四)</w:t>
            </w:r>
          </w:p>
        </w:tc>
        <w:tc>
          <w:tcPr>
            <w:tcW w:w="4434"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仿宋_GB2312" w:hAnsi="仿宋_GB2312" w:eastAsia="仿宋_GB2312" w:cs="仿宋_GB2312"/>
                <w:color w:val="auto"/>
                <w:spacing w:val="6"/>
                <w:sz w:val="21"/>
                <w:szCs w:val="21"/>
                <w:highlight w:val="none"/>
              </w:rPr>
            </w:pPr>
            <w:r>
              <w:rPr>
                <w:rFonts w:hint="eastAsia" w:ascii="仿宋_GB2312" w:hAnsi="仿宋_GB2312" w:eastAsia="仿宋_GB2312" w:cs="仿宋_GB2312"/>
                <w:color w:val="auto"/>
                <w:spacing w:val="6"/>
                <w:sz w:val="21"/>
                <w:szCs w:val="21"/>
                <w:highlight w:val="none"/>
              </w:rPr>
              <w:t>参与本项目政府采购活动时未被有关部门禁止参与政府采购活动且在有效期内的情况（</w:t>
            </w:r>
            <w:r>
              <w:rPr>
                <w:rFonts w:hint="eastAsia" w:ascii="仿宋_GB2312" w:hAnsi="仿宋_GB2312" w:eastAsia="仿宋_GB2312" w:cs="仿宋_GB2312"/>
                <w:color w:val="auto"/>
                <w:spacing w:val="9"/>
                <w:sz w:val="21"/>
                <w:szCs w:val="21"/>
                <w:highlight w:val="none"/>
              </w:rPr>
              <w:t>提供</w:t>
            </w:r>
            <w:r>
              <w:rPr>
                <w:rFonts w:hint="eastAsia" w:ascii="仿宋_GB2312" w:hAnsi="仿宋_GB2312" w:eastAsia="仿宋_GB2312" w:cs="仿宋_GB2312"/>
                <w:color w:val="auto"/>
                <w:spacing w:val="9"/>
                <w:sz w:val="21"/>
                <w:szCs w:val="21"/>
                <w:highlight w:val="none"/>
                <w:lang w:val="en-US"/>
              </w:rPr>
              <w:t>《投标及履约承诺函》</w:t>
            </w:r>
            <w:r>
              <w:rPr>
                <w:rFonts w:hint="eastAsia" w:ascii="仿宋_GB2312" w:hAnsi="仿宋_GB2312" w:eastAsia="仿宋_GB2312" w:cs="仿宋_GB2312"/>
                <w:color w:val="auto"/>
                <w:spacing w:val="6"/>
                <w:sz w:val="21"/>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3" w:hRule="atLeast"/>
        </w:trPr>
        <w:tc>
          <w:tcPr>
            <w:tcW w:w="565"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pacing w:val="16"/>
                <w:sz w:val="21"/>
                <w:szCs w:val="21"/>
                <w:highlight w:val="none"/>
              </w:rPr>
              <w:t>(五)</w:t>
            </w:r>
          </w:p>
        </w:tc>
        <w:tc>
          <w:tcPr>
            <w:tcW w:w="4434"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pacing w:val="5"/>
                <w:sz w:val="21"/>
                <w:szCs w:val="21"/>
                <w:highlight w:val="none"/>
              </w:rPr>
              <w:t>本项目不接受联合体投标，不得转包、分包。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565"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（六）</w:t>
            </w:r>
          </w:p>
        </w:tc>
        <w:tc>
          <w:tcPr>
            <w:tcW w:w="4434"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pacing w:val="8"/>
                <w:sz w:val="21"/>
                <w:szCs w:val="21"/>
                <w:highlight w:val="none"/>
                <w:lang w:val="en-US"/>
              </w:rPr>
              <w:t>《投标及履约承诺函》</w:t>
            </w:r>
            <w:r>
              <w:rPr>
                <w:rFonts w:hint="eastAsia" w:ascii="仿宋_GB2312" w:hAnsi="仿宋_GB2312" w:eastAsia="仿宋_GB2312" w:cs="仿宋_GB2312"/>
                <w:color w:val="auto"/>
                <w:spacing w:val="8"/>
                <w:sz w:val="21"/>
                <w:szCs w:val="21"/>
                <w:highlight w:val="none"/>
              </w:rPr>
              <w:t>已提交并符合</w:t>
            </w:r>
            <w:r>
              <w:rPr>
                <w:rFonts w:hint="eastAsia" w:ascii="仿宋_GB2312" w:hAnsi="仿宋_GB2312" w:eastAsia="仿宋_GB2312" w:cs="仿宋_GB2312"/>
                <w:color w:val="auto"/>
                <w:spacing w:val="8"/>
                <w:sz w:val="21"/>
                <w:szCs w:val="21"/>
                <w:highlight w:val="none"/>
                <w:lang w:eastAsia="zh-CN"/>
              </w:rPr>
              <w:t>需求公示</w:t>
            </w:r>
            <w:r>
              <w:rPr>
                <w:rFonts w:hint="eastAsia" w:ascii="仿宋_GB2312" w:hAnsi="仿宋_GB2312" w:eastAsia="仿宋_GB2312" w:cs="仿宋_GB2312"/>
                <w:color w:val="auto"/>
                <w:spacing w:val="7"/>
                <w:sz w:val="21"/>
                <w:szCs w:val="21"/>
                <w:highlight w:val="none"/>
              </w:rPr>
              <w:t>要求的。</w:t>
            </w:r>
          </w:p>
        </w:tc>
      </w:tr>
    </w:tbl>
    <w:p>
      <w:pPr>
        <w:pStyle w:val="2"/>
        <w:rPr>
          <w:rFonts w:hint="eastAsia"/>
          <w:color w:val="auto"/>
          <w:highlight w:val="none"/>
        </w:rPr>
      </w:pPr>
    </w:p>
    <w:tbl>
      <w:tblPr>
        <w:tblStyle w:val="26"/>
        <w:tblW w:w="499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965"/>
        <w:gridCol w:w="78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545" w:type="pc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黑体" w:hAnsi="黑体" w:eastAsia="黑体" w:cs="黑体"/>
                <w:b w:val="0"/>
                <w:bCs w:val="0"/>
                <w:color w:val="auto"/>
                <w:sz w:val="24"/>
                <w:szCs w:val="24"/>
                <w:highlight w:val="none"/>
                <w:lang w:eastAsia="zh-CN"/>
              </w:rPr>
            </w:pPr>
            <w:r>
              <w:rPr>
                <w:rFonts w:hint="eastAsia" w:ascii="黑体" w:hAnsi="黑体" w:eastAsia="黑体" w:cs="黑体"/>
                <w:b w:val="0"/>
                <w:bCs w:val="0"/>
                <w:color w:val="auto"/>
                <w:sz w:val="24"/>
                <w:szCs w:val="24"/>
                <w:highlight w:val="none"/>
                <w:lang w:eastAsia="zh-CN"/>
              </w:rPr>
              <w:t>序号</w:t>
            </w:r>
          </w:p>
        </w:tc>
        <w:tc>
          <w:tcPr>
            <w:tcW w:w="4454" w:type="pc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黑体" w:hAnsi="黑体" w:eastAsia="黑体" w:cs="黑体"/>
                <w:b w:val="0"/>
                <w:bCs w:val="0"/>
                <w:color w:val="auto"/>
                <w:sz w:val="24"/>
                <w:szCs w:val="24"/>
                <w:highlight w:val="none"/>
                <w:lang w:eastAsia="zh-CN"/>
              </w:rPr>
            </w:pPr>
            <w:r>
              <w:rPr>
                <w:rFonts w:hint="eastAsia" w:ascii="黑体" w:hAnsi="黑体" w:eastAsia="黑体" w:cs="黑体"/>
                <w:b w:val="0"/>
                <w:bCs w:val="0"/>
                <w:color w:val="auto"/>
                <w:sz w:val="24"/>
                <w:szCs w:val="24"/>
                <w:highlight w:val="none"/>
                <w:lang w:eastAsia="zh-CN"/>
              </w:rPr>
              <w:t>符合性审查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trPr>
        <w:tc>
          <w:tcPr>
            <w:tcW w:w="545" w:type="pc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lang w:eastAsia="zh-CN"/>
              </w:rPr>
              <w:t>(一)</w:t>
            </w:r>
          </w:p>
        </w:tc>
        <w:tc>
          <w:tcPr>
            <w:tcW w:w="4454" w:type="pc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400" w:lineRule="exact"/>
              <w:jc w:val="left"/>
              <w:textAlignment w:val="auto"/>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lang w:eastAsia="zh-CN"/>
              </w:rPr>
              <w:t>投标函已提交并符合需求公示要求的，且投标有效期不少于需求公示中载明的投标有效期。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545" w:type="pc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lang w:eastAsia="zh-CN"/>
              </w:rPr>
              <w:t>(二)</w:t>
            </w:r>
          </w:p>
        </w:tc>
        <w:tc>
          <w:tcPr>
            <w:tcW w:w="4454" w:type="pc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400" w:lineRule="exact"/>
              <w:jc w:val="left"/>
              <w:textAlignment w:val="auto"/>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lang w:eastAsia="zh-CN"/>
              </w:rPr>
              <w:t>投标报价按照招标文件要求进行报价的；分项报价或投标总价未超过本项目最高限价的；投标文件未出现选择性报价或有附加条件报价的情形。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545" w:type="pc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lang w:eastAsia="zh-CN"/>
              </w:rPr>
              <w:t>(三)</w:t>
            </w:r>
          </w:p>
        </w:tc>
        <w:tc>
          <w:tcPr>
            <w:tcW w:w="4454" w:type="pc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400" w:lineRule="exact"/>
              <w:jc w:val="left"/>
              <w:textAlignment w:val="auto"/>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lang w:eastAsia="zh-CN"/>
              </w:rPr>
              <w:t>投标文件电子文档未带病毒。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545" w:type="pc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lang w:eastAsia="zh-CN"/>
              </w:rPr>
              <w:t>(四)</w:t>
            </w:r>
          </w:p>
        </w:tc>
        <w:tc>
          <w:tcPr>
            <w:tcW w:w="4454" w:type="pc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400" w:lineRule="exact"/>
              <w:jc w:val="left"/>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lang w:eastAsia="zh-CN"/>
              </w:rPr>
              <w:t>投标文件完全满足招标文件的实质性条款无负偏离的。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545" w:type="pc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lang w:eastAsia="zh-CN"/>
              </w:rPr>
              <w:t>(五)</w:t>
            </w:r>
          </w:p>
        </w:tc>
        <w:tc>
          <w:tcPr>
            <w:tcW w:w="4454" w:type="pc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400" w:lineRule="exact"/>
              <w:jc w:val="left"/>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lang w:eastAsia="zh-CN"/>
              </w:rPr>
              <w:t>投标文件没有招标文件中规定的其它无效投标条款的。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545" w:type="pc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lang w:eastAsia="zh-CN"/>
              </w:rPr>
              <w:t>(六)</w:t>
            </w:r>
          </w:p>
        </w:tc>
        <w:tc>
          <w:tcPr>
            <w:tcW w:w="4454" w:type="pc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400" w:lineRule="exact"/>
              <w:jc w:val="left"/>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lang w:eastAsia="zh-CN"/>
              </w:rPr>
              <w:t>按有关法律、法规、规章不属于投标无效的</w:t>
            </w:r>
            <w:r>
              <w:rPr>
                <w:rFonts w:hint="eastAsia" w:ascii="仿宋_GB2312" w:hAnsi="仿宋_GB2312" w:eastAsia="仿宋_GB2312" w:cs="仿宋_GB2312"/>
                <w:color w:val="auto"/>
                <w:sz w:val="21"/>
                <w:szCs w:val="21"/>
                <w:highlight w:val="none"/>
                <w:lang w:val="en-US" w:eastAsia="zh-CN"/>
              </w:rPr>
              <w:t>。</w:t>
            </w:r>
          </w:p>
        </w:tc>
      </w:tr>
    </w:tbl>
    <w:p>
      <w:pPr>
        <w:pStyle w:val="23"/>
        <w:spacing w:line="360" w:lineRule="auto"/>
        <w:ind w:firstLine="480" w:firstLineChars="0"/>
        <w:rPr>
          <w:rFonts w:ascii="仿宋_GB2312" w:hAnsi="仿宋_GB2312" w:cs="仿宋_GB2312"/>
          <w:color w:val="auto"/>
          <w:sz w:val="24"/>
          <w:szCs w:val="24"/>
          <w:highlight w:val="none"/>
        </w:rPr>
        <w:sectPr>
          <w:pgSz w:w="11906" w:h="16838"/>
          <w:pgMar w:top="1985" w:right="1474" w:bottom="1985" w:left="1588" w:header="851" w:footer="992" w:gutter="0"/>
          <w:cols w:space="720" w:num="1"/>
          <w:docGrid w:type="lines" w:linePitch="312" w:charSpace="0"/>
        </w:sectPr>
      </w:pPr>
      <w:r>
        <w:rPr>
          <w:rFonts w:hint="eastAsia" w:ascii="仿宋_GB2312" w:hAnsi="仿宋_GB2312" w:eastAsia="仿宋_GB2312" w:cs="仿宋_GB2312"/>
          <w:b w:val="0"/>
          <w:bCs/>
          <w:color w:val="auto"/>
          <w:sz w:val="24"/>
          <w:szCs w:val="24"/>
          <w:highlight w:val="none"/>
          <w:lang w:val="en-US" w:eastAsia="zh-CN"/>
        </w:rPr>
        <w:t>注：投标人</w:t>
      </w:r>
      <w:r>
        <w:rPr>
          <w:rFonts w:hint="eastAsia" w:ascii="仿宋_GB2312" w:hAnsi="仿宋_GB2312" w:eastAsia="仿宋_GB2312" w:cs="仿宋_GB2312"/>
          <w:b w:val="0"/>
          <w:bCs/>
          <w:color w:val="auto"/>
          <w:sz w:val="24"/>
          <w:szCs w:val="24"/>
          <w:highlight w:val="none"/>
        </w:rPr>
        <w:t>需严格按</w:t>
      </w:r>
      <w:r>
        <w:rPr>
          <w:rFonts w:hint="eastAsia" w:ascii="仿宋_GB2312" w:hAnsi="仿宋_GB2312" w:eastAsia="仿宋_GB2312" w:cs="仿宋_GB2312"/>
          <w:b w:val="0"/>
          <w:bCs/>
          <w:color w:val="auto"/>
          <w:sz w:val="24"/>
          <w:szCs w:val="24"/>
          <w:highlight w:val="none"/>
          <w:lang w:val="en-US" w:eastAsia="zh-CN"/>
        </w:rPr>
        <w:t>照投标文件初审及采购需求公示</w:t>
      </w:r>
      <w:r>
        <w:rPr>
          <w:rFonts w:hint="eastAsia" w:ascii="仿宋_GB2312" w:hAnsi="仿宋_GB2312" w:eastAsia="仿宋_GB2312" w:cs="仿宋_GB2312"/>
          <w:b w:val="0"/>
          <w:bCs/>
          <w:color w:val="auto"/>
          <w:sz w:val="24"/>
          <w:szCs w:val="24"/>
          <w:highlight w:val="none"/>
        </w:rPr>
        <w:t>要求如实提供证明材料，对缺漏或不符合项将直接导致</w:t>
      </w:r>
      <w:r>
        <w:rPr>
          <w:rFonts w:hint="eastAsia" w:ascii="仿宋_GB2312" w:hAnsi="仿宋_GB2312" w:eastAsia="仿宋_GB2312" w:cs="仿宋_GB2312"/>
          <w:b w:val="0"/>
          <w:bCs/>
          <w:color w:val="auto"/>
          <w:sz w:val="24"/>
          <w:szCs w:val="24"/>
          <w:highlight w:val="none"/>
          <w:lang w:val="en-US" w:eastAsia="zh-CN"/>
        </w:rPr>
        <w:t>投标</w:t>
      </w:r>
      <w:r>
        <w:rPr>
          <w:rFonts w:hint="eastAsia" w:ascii="仿宋_GB2312" w:hAnsi="仿宋_GB2312" w:eastAsia="仿宋_GB2312" w:cs="仿宋_GB2312"/>
          <w:b w:val="0"/>
          <w:bCs/>
          <w:color w:val="auto"/>
          <w:sz w:val="24"/>
          <w:szCs w:val="24"/>
          <w:highlight w:val="none"/>
        </w:rPr>
        <w:t>无效。不通过初审的</w:t>
      </w:r>
      <w:r>
        <w:rPr>
          <w:rFonts w:hint="eastAsia" w:ascii="仿宋_GB2312" w:hAnsi="仿宋_GB2312" w:eastAsia="仿宋_GB2312" w:cs="仿宋_GB2312"/>
          <w:b w:val="0"/>
          <w:bCs/>
          <w:color w:val="auto"/>
          <w:sz w:val="24"/>
          <w:szCs w:val="24"/>
          <w:highlight w:val="none"/>
          <w:lang w:val="en-US" w:eastAsia="zh-CN"/>
        </w:rPr>
        <w:t>投标人</w:t>
      </w:r>
      <w:r>
        <w:rPr>
          <w:rFonts w:hint="eastAsia" w:ascii="仿宋_GB2312" w:hAnsi="仿宋_GB2312" w:eastAsia="仿宋_GB2312" w:cs="仿宋_GB2312"/>
          <w:b w:val="0"/>
          <w:bCs/>
          <w:color w:val="auto"/>
          <w:sz w:val="24"/>
          <w:szCs w:val="24"/>
          <w:highlight w:val="none"/>
        </w:rPr>
        <w:t>，不进入后续综合评分。</w:t>
      </w:r>
    </w:p>
    <w:tbl>
      <w:tblPr>
        <w:tblStyle w:val="13"/>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7"/>
        <w:gridCol w:w="636"/>
        <w:gridCol w:w="636"/>
        <w:gridCol w:w="427"/>
        <w:gridCol w:w="4542"/>
        <w:gridCol w:w="2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blHeader/>
        </w:trPr>
        <w:tc>
          <w:tcPr>
            <w:tcW w:w="235" w:type="pct"/>
            <w:tcBorders>
              <w:top w:val="single" w:color="auto" w:sz="4" w:space="0"/>
              <w:left w:val="single" w:color="auto" w:sz="4" w:space="0"/>
              <w:bottom w:val="single" w:color="auto" w:sz="4" w:space="0"/>
              <w:right w:val="single" w:color="auto" w:sz="4" w:space="0"/>
            </w:tcBorders>
            <w:vAlign w:val="center"/>
          </w:tcPr>
          <w:p>
            <w:pPr>
              <w:jc w:val="center"/>
              <w:rPr>
                <w:rStyle w:val="22"/>
                <w:rFonts w:hint="eastAsia" w:ascii="仿宋_GB2312" w:hAnsi="仿宋_GB2312" w:eastAsia="仿宋_GB2312" w:cs="仿宋_GB2312"/>
                <w:color w:val="auto"/>
                <w:sz w:val="21"/>
                <w:szCs w:val="21"/>
                <w:highlight w:val="none"/>
              </w:rPr>
            </w:pPr>
            <w:r>
              <w:rPr>
                <w:rStyle w:val="22"/>
                <w:rFonts w:hint="eastAsia" w:ascii="仿宋_GB2312" w:hAnsi="仿宋_GB2312" w:eastAsia="仿宋_GB2312" w:cs="仿宋_GB2312"/>
                <w:color w:val="auto"/>
                <w:sz w:val="21"/>
                <w:szCs w:val="21"/>
                <w:highlight w:val="none"/>
              </w:rPr>
              <w:t>序号</w:t>
            </w:r>
          </w:p>
        </w:tc>
        <w:tc>
          <w:tcPr>
            <w:tcW w:w="351" w:type="pct"/>
            <w:tcBorders>
              <w:top w:val="single" w:color="auto" w:sz="4" w:space="0"/>
              <w:left w:val="nil"/>
              <w:bottom w:val="single" w:color="auto" w:sz="4" w:space="0"/>
              <w:right w:val="single" w:color="auto" w:sz="4" w:space="0"/>
            </w:tcBorders>
            <w:vAlign w:val="center"/>
          </w:tcPr>
          <w:p>
            <w:pPr>
              <w:jc w:val="center"/>
              <w:rPr>
                <w:rStyle w:val="22"/>
                <w:rFonts w:hint="eastAsia" w:ascii="仿宋_GB2312" w:hAnsi="仿宋_GB2312" w:eastAsia="仿宋_GB2312" w:cs="仿宋_GB2312"/>
                <w:color w:val="auto"/>
                <w:sz w:val="21"/>
                <w:szCs w:val="21"/>
                <w:highlight w:val="none"/>
              </w:rPr>
            </w:pPr>
            <w:r>
              <w:rPr>
                <w:rStyle w:val="22"/>
                <w:rFonts w:hint="eastAsia" w:ascii="仿宋_GB2312" w:hAnsi="仿宋_GB2312" w:eastAsia="仿宋_GB2312" w:cs="仿宋_GB2312"/>
                <w:color w:val="auto"/>
                <w:sz w:val="21"/>
                <w:szCs w:val="21"/>
                <w:highlight w:val="none"/>
              </w:rPr>
              <w:t>一级指标</w:t>
            </w:r>
          </w:p>
        </w:tc>
        <w:tc>
          <w:tcPr>
            <w:tcW w:w="351" w:type="pct"/>
            <w:tcBorders>
              <w:top w:val="single" w:color="auto" w:sz="4" w:space="0"/>
              <w:left w:val="nil"/>
              <w:bottom w:val="single" w:color="auto" w:sz="4" w:space="0"/>
              <w:right w:val="single" w:color="auto" w:sz="4" w:space="0"/>
            </w:tcBorders>
            <w:vAlign w:val="center"/>
          </w:tcPr>
          <w:p>
            <w:pPr>
              <w:jc w:val="center"/>
              <w:rPr>
                <w:rStyle w:val="22"/>
                <w:rFonts w:hint="eastAsia" w:ascii="仿宋_GB2312" w:hAnsi="仿宋_GB2312" w:eastAsia="仿宋_GB2312" w:cs="仿宋_GB2312"/>
                <w:color w:val="auto"/>
                <w:sz w:val="21"/>
                <w:szCs w:val="21"/>
                <w:highlight w:val="none"/>
              </w:rPr>
            </w:pPr>
            <w:r>
              <w:rPr>
                <w:rStyle w:val="22"/>
                <w:rFonts w:hint="eastAsia" w:ascii="仿宋_GB2312" w:hAnsi="仿宋_GB2312" w:eastAsia="仿宋_GB2312" w:cs="仿宋_GB2312"/>
                <w:color w:val="auto"/>
                <w:sz w:val="21"/>
                <w:szCs w:val="21"/>
                <w:highlight w:val="none"/>
              </w:rPr>
              <w:t>二级指标</w:t>
            </w:r>
          </w:p>
        </w:tc>
        <w:tc>
          <w:tcPr>
            <w:tcW w:w="235" w:type="pct"/>
            <w:tcBorders>
              <w:top w:val="single" w:color="auto" w:sz="4" w:space="0"/>
              <w:left w:val="nil"/>
              <w:bottom w:val="single" w:color="auto" w:sz="4" w:space="0"/>
              <w:right w:val="single" w:color="auto" w:sz="4" w:space="0"/>
            </w:tcBorders>
            <w:vAlign w:val="center"/>
          </w:tcPr>
          <w:p>
            <w:pPr>
              <w:jc w:val="center"/>
              <w:rPr>
                <w:rStyle w:val="22"/>
                <w:rFonts w:hint="eastAsia" w:ascii="仿宋_GB2312" w:hAnsi="仿宋_GB2312" w:eastAsia="仿宋_GB2312" w:cs="仿宋_GB2312"/>
                <w:color w:val="auto"/>
                <w:sz w:val="21"/>
                <w:szCs w:val="21"/>
                <w:highlight w:val="none"/>
              </w:rPr>
            </w:pPr>
            <w:r>
              <w:rPr>
                <w:rStyle w:val="22"/>
                <w:rFonts w:hint="eastAsia" w:ascii="仿宋_GB2312" w:hAnsi="仿宋_GB2312" w:eastAsia="仿宋_GB2312" w:cs="仿宋_GB2312"/>
                <w:color w:val="auto"/>
                <w:sz w:val="21"/>
                <w:szCs w:val="21"/>
                <w:highlight w:val="none"/>
              </w:rPr>
              <w:t>权重</w:t>
            </w:r>
          </w:p>
        </w:tc>
        <w:tc>
          <w:tcPr>
            <w:tcW w:w="2508" w:type="pct"/>
            <w:tcBorders>
              <w:top w:val="single" w:color="auto" w:sz="4" w:space="0"/>
              <w:left w:val="nil"/>
              <w:bottom w:val="single" w:color="auto" w:sz="4" w:space="0"/>
              <w:right w:val="single" w:color="auto" w:sz="4" w:space="0"/>
            </w:tcBorders>
            <w:vAlign w:val="center"/>
          </w:tcPr>
          <w:p>
            <w:pPr>
              <w:jc w:val="center"/>
              <w:rPr>
                <w:rStyle w:val="22"/>
                <w:rFonts w:hint="eastAsia" w:ascii="仿宋_GB2312" w:hAnsi="仿宋_GB2312" w:eastAsia="仿宋_GB2312" w:cs="仿宋_GB2312"/>
                <w:color w:val="auto"/>
                <w:sz w:val="21"/>
                <w:szCs w:val="21"/>
                <w:highlight w:val="none"/>
              </w:rPr>
            </w:pPr>
            <w:r>
              <w:rPr>
                <w:rStyle w:val="22"/>
                <w:rFonts w:hint="eastAsia" w:ascii="仿宋_GB2312" w:hAnsi="仿宋_GB2312" w:eastAsia="仿宋_GB2312" w:cs="仿宋_GB2312"/>
                <w:color w:val="auto"/>
                <w:sz w:val="21"/>
                <w:szCs w:val="21"/>
                <w:highlight w:val="none"/>
              </w:rPr>
              <w:t>评分准则</w:t>
            </w:r>
          </w:p>
        </w:tc>
        <w:tc>
          <w:tcPr>
            <w:tcW w:w="1318" w:type="pct"/>
            <w:tcBorders>
              <w:top w:val="single" w:color="auto" w:sz="4" w:space="0"/>
              <w:left w:val="nil"/>
              <w:bottom w:val="single" w:color="auto" w:sz="4" w:space="0"/>
              <w:right w:val="single" w:color="auto" w:sz="4" w:space="0"/>
            </w:tcBorders>
            <w:vAlign w:val="center"/>
          </w:tcPr>
          <w:p>
            <w:pPr>
              <w:jc w:val="center"/>
              <w:rPr>
                <w:rStyle w:val="22"/>
                <w:rFonts w:hint="eastAsia" w:ascii="仿宋_GB2312" w:hAnsi="仿宋_GB2312" w:eastAsia="仿宋_GB2312" w:cs="仿宋_GB2312"/>
                <w:color w:val="auto"/>
                <w:sz w:val="21"/>
                <w:szCs w:val="21"/>
                <w:highlight w:val="none"/>
              </w:rPr>
            </w:pPr>
            <w:r>
              <w:rPr>
                <w:rStyle w:val="22"/>
                <w:rFonts w:hint="eastAsia" w:ascii="仿宋_GB2312" w:hAnsi="仿宋_GB2312" w:eastAsia="仿宋_GB2312" w:cs="仿宋_GB2312"/>
                <w:color w:val="auto"/>
                <w:sz w:val="21"/>
                <w:szCs w:val="21"/>
                <w:highlight w:val="none"/>
              </w:rPr>
              <w:t>投标人需提供证明材料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7" w:hRule="atLeast"/>
        </w:trPr>
        <w:tc>
          <w:tcPr>
            <w:tcW w:w="235"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w:t>
            </w:r>
          </w:p>
        </w:tc>
        <w:tc>
          <w:tcPr>
            <w:tcW w:w="351" w:type="pct"/>
            <w:tcBorders>
              <w:top w:val="single" w:color="auto" w:sz="4" w:space="0"/>
              <w:left w:val="nil"/>
              <w:bottom w:val="single" w:color="auto" w:sz="4" w:space="0"/>
              <w:right w:val="single" w:color="auto" w:sz="4" w:space="0"/>
            </w:tcBorders>
            <w:vAlign w:val="center"/>
          </w:tcPr>
          <w:p>
            <w:pPr>
              <w:snapToGrid w:val="0"/>
              <w:jc w:val="center"/>
              <w:rPr>
                <w:rStyle w:val="22"/>
                <w:rFonts w:hint="eastAsia" w:ascii="仿宋_GB2312" w:hAnsi="仿宋_GB2312" w:eastAsia="仿宋_GB2312" w:cs="仿宋_GB2312"/>
                <w:b w:val="0"/>
                <w:bCs w:val="0"/>
                <w:color w:val="auto"/>
                <w:sz w:val="21"/>
                <w:szCs w:val="21"/>
                <w:highlight w:val="none"/>
              </w:rPr>
            </w:pPr>
            <w:r>
              <w:rPr>
                <w:rStyle w:val="22"/>
                <w:rFonts w:hint="eastAsia" w:ascii="仿宋_GB2312" w:hAnsi="仿宋_GB2312" w:eastAsia="仿宋_GB2312" w:cs="仿宋_GB2312"/>
                <w:b w:val="0"/>
                <w:bCs w:val="0"/>
                <w:color w:val="auto"/>
                <w:sz w:val="21"/>
                <w:szCs w:val="21"/>
                <w:highlight w:val="none"/>
              </w:rPr>
              <w:t>报价（</w:t>
            </w:r>
            <w:r>
              <w:rPr>
                <w:rStyle w:val="22"/>
                <w:rFonts w:hint="eastAsia" w:ascii="仿宋_GB2312" w:hAnsi="仿宋_GB2312" w:eastAsia="仿宋_GB2312" w:cs="仿宋_GB2312"/>
                <w:b w:val="0"/>
                <w:bCs w:val="0"/>
                <w:color w:val="auto"/>
                <w:sz w:val="21"/>
                <w:szCs w:val="21"/>
                <w:highlight w:val="none"/>
                <w:lang w:val="en-US" w:eastAsia="zh-CN"/>
              </w:rPr>
              <w:t>1</w:t>
            </w:r>
            <w:r>
              <w:rPr>
                <w:rStyle w:val="22"/>
                <w:rFonts w:hint="eastAsia" w:ascii="仿宋_GB2312" w:hAnsi="仿宋_GB2312" w:cs="仿宋_GB2312"/>
                <w:b w:val="0"/>
                <w:bCs w:val="0"/>
                <w:color w:val="auto"/>
                <w:sz w:val="21"/>
                <w:szCs w:val="21"/>
                <w:highlight w:val="none"/>
                <w:lang w:val="en-US" w:eastAsia="zh-CN"/>
              </w:rPr>
              <w:t>5</w:t>
            </w:r>
            <w:r>
              <w:rPr>
                <w:rStyle w:val="22"/>
                <w:rFonts w:hint="eastAsia" w:ascii="仿宋_GB2312" w:hAnsi="仿宋_GB2312" w:eastAsia="仿宋_GB2312" w:cs="仿宋_GB2312"/>
                <w:b w:val="0"/>
                <w:bCs w:val="0"/>
                <w:color w:val="auto"/>
                <w:sz w:val="21"/>
                <w:szCs w:val="21"/>
                <w:highlight w:val="none"/>
              </w:rPr>
              <w:t>分）</w:t>
            </w:r>
          </w:p>
        </w:tc>
        <w:tc>
          <w:tcPr>
            <w:tcW w:w="351" w:type="pct"/>
            <w:tcBorders>
              <w:top w:val="single" w:color="auto" w:sz="4" w:space="0"/>
              <w:left w:val="nil"/>
              <w:bottom w:val="single" w:color="auto" w:sz="4" w:space="0"/>
              <w:right w:val="single" w:color="auto" w:sz="4" w:space="0"/>
            </w:tcBorders>
            <w:vAlign w:val="center"/>
          </w:tcPr>
          <w:p>
            <w:pPr>
              <w:snapToGrid w:val="0"/>
              <w:jc w:val="center"/>
              <w:rPr>
                <w:rStyle w:val="22"/>
                <w:rFonts w:hint="eastAsia" w:ascii="仿宋_GB2312" w:hAnsi="仿宋_GB2312" w:eastAsia="仿宋_GB2312" w:cs="仿宋_GB2312"/>
                <w:b w:val="0"/>
                <w:bCs w:val="0"/>
                <w:color w:val="auto"/>
                <w:sz w:val="21"/>
                <w:szCs w:val="21"/>
                <w:highlight w:val="none"/>
              </w:rPr>
            </w:pPr>
            <w:r>
              <w:rPr>
                <w:rStyle w:val="22"/>
                <w:rFonts w:hint="eastAsia" w:ascii="仿宋_GB2312" w:hAnsi="仿宋_GB2312" w:eastAsia="仿宋_GB2312" w:cs="仿宋_GB2312"/>
                <w:b w:val="0"/>
                <w:bCs w:val="0"/>
                <w:color w:val="auto"/>
                <w:sz w:val="21"/>
                <w:szCs w:val="21"/>
                <w:highlight w:val="none"/>
              </w:rPr>
              <w:t>项目报价</w:t>
            </w:r>
          </w:p>
        </w:tc>
        <w:tc>
          <w:tcPr>
            <w:tcW w:w="235" w:type="pct"/>
            <w:tcBorders>
              <w:top w:val="single" w:color="auto" w:sz="4" w:space="0"/>
              <w:left w:val="nil"/>
              <w:bottom w:val="single" w:color="auto" w:sz="4" w:space="0"/>
              <w:right w:val="single" w:color="auto" w:sz="4" w:space="0"/>
            </w:tcBorders>
            <w:vAlign w:val="center"/>
          </w:tcPr>
          <w:p>
            <w:pPr>
              <w:snapToGrid w:val="0"/>
              <w:jc w:val="center"/>
              <w:rPr>
                <w:rStyle w:val="22"/>
                <w:rFonts w:hint="default" w:ascii="仿宋_GB2312" w:hAnsi="仿宋_GB2312" w:eastAsia="仿宋_GB2312" w:cs="仿宋_GB2312"/>
                <w:b w:val="0"/>
                <w:bCs w:val="0"/>
                <w:color w:val="auto"/>
                <w:sz w:val="21"/>
                <w:szCs w:val="21"/>
                <w:highlight w:val="none"/>
                <w:lang w:val="en-US" w:eastAsia="zh-CN"/>
              </w:rPr>
            </w:pPr>
            <w:r>
              <w:rPr>
                <w:rStyle w:val="22"/>
                <w:rFonts w:hint="eastAsia" w:ascii="仿宋_GB2312" w:hAnsi="仿宋_GB2312" w:eastAsia="仿宋_GB2312" w:cs="仿宋_GB2312"/>
                <w:b w:val="0"/>
                <w:bCs w:val="0"/>
                <w:color w:val="auto"/>
                <w:sz w:val="21"/>
                <w:szCs w:val="21"/>
                <w:highlight w:val="none"/>
                <w:lang w:val="en-US" w:eastAsia="zh-CN"/>
              </w:rPr>
              <w:t>1</w:t>
            </w:r>
            <w:r>
              <w:rPr>
                <w:rStyle w:val="22"/>
                <w:rFonts w:hint="eastAsia" w:ascii="仿宋_GB2312" w:hAnsi="仿宋_GB2312" w:cs="仿宋_GB2312"/>
                <w:b w:val="0"/>
                <w:bCs w:val="0"/>
                <w:color w:val="auto"/>
                <w:sz w:val="21"/>
                <w:szCs w:val="21"/>
                <w:highlight w:val="none"/>
                <w:lang w:val="en-US" w:eastAsia="zh-CN"/>
              </w:rPr>
              <w:t>5</w:t>
            </w:r>
          </w:p>
        </w:tc>
        <w:tc>
          <w:tcPr>
            <w:tcW w:w="2508"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20" w:lineRule="exact"/>
              <w:jc w:val="both"/>
              <w:textAlignment w:val="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kern w:val="44"/>
                <w:sz w:val="21"/>
                <w:szCs w:val="21"/>
                <w:highlight w:val="none"/>
              </w:rPr>
              <w:t>采用低价优先法计算，即满足招标文件要求且投标价格最低的投标报价为评标基准价，其价格分为满分。不接受“0”元报价。</w:t>
            </w:r>
          </w:p>
          <w:p>
            <w:pPr>
              <w:keepNext w:val="0"/>
              <w:keepLines w:val="0"/>
              <w:pageBreakBefore w:val="0"/>
              <w:widowControl w:val="0"/>
              <w:kinsoku/>
              <w:wordWrap/>
              <w:overflowPunct/>
              <w:topLinePunct w:val="0"/>
              <w:autoSpaceDE/>
              <w:autoSpaceDN/>
              <w:bidi w:val="0"/>
              <w:adjustRightInd/>
              <w:spacing w:line="320" w:lineRule="exact"/>
              <w:jc w:val="both"/>
              <w:textAlignment w:val="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kern w:val="44"/>
                <w:sz w:val="21"/>
                <w:szCs w:val="21"/>
                <w:highlight w:val="none"/>
              </w:rPr>
              <w:t>其他投标人的价格分统一按照下列公式计算：</w:t>
            </w:r>
          </w:p>
          <w:p>
            <w:pPr>
              <w:snapToGrid w:val="0"/>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b w:val="0"/>
                <w:bCs w:val="0"/>
                <w:color w:val="auto"/>
                <w:kern w:val="44"/>
                <w:sz w:val="21"/>
                <w:szCs w:val="21"/>
                <w:highlight w:val="none"/>
              </w:rPr>
              <w:t>投标报价得分=(评标基准价／投标报价)×</w:t>
            </w:r>
            <w:r>
              <w:rPr>
                <w:rFonts w:hint="eastAsia" w:ascii="仿宋_GB2312" w:hAnsi="仿宋_GB2312" w:eastAsia="仿宋_GB2312" w:cs="仿宋_GB2312"/>
                <w:b w:val="0"/>
                <w:bCs w:val="0"/>
                <w:color w:val="auto"/>
                <w:kern w:val="44"/>
                <w:sz w:val="21"/>
                <w:szCs w:val="21"/>
                <w:highlight w:val="none"/>
                <w:lang w:val="en-US" w:eastAsia="zh-CN"/>
              </w:rPr>
              <w:t>15</w:t>
            </w:r>
          </w:p>
        </w:tc>
        <w:tc>
          <w:tcPr>
            <w:tcW w:w="1318" w:type="pct"/>
            <w:tcBorders>
              <w:top w:val="single" w:color="auto" w:sz="4" w:space="0"/>
              <w:left w:val="nil"/>
              <w:bottom w:val="single" w:color="auto" w:sz="4" w:space="0"/>
              <w:right w:val="single" w:color="auto" w:sz="4" w:space="0"/>
            </w:tcBorders>
            <w:vAlign w:val="center"/>
          </w:tcPr>
          <w:p>
            <w:pPr>
              <w:snapToGrid w:val="0"/>
              <w:jc w:val="left"/>
              <w:rPr>
                <w:rStyle w:val="22"/>
                <w:rFonts w:hint="eastAsia" w:ascii="仿宋_GB2312" w:hAnsi="仿宋_GB2312" w:eastAsia="仿宋_GB2312" w:cs="仿宋_GB2312"/>
                <w:b w:val="0"/>
                <w:bCs w:val="0"/>
                <w:color w:val="auto"/>
                <w:sz w:val="21"/>
                <w:szCs w:val="21"/>
                <w:highlight w:val="none"/>
              </w:rPr>
            </w:pPr>
            <w:r>
              <w:rPr>
                <w:rStyle w:val="22"/>
                <w:rFonts w:hint="eastAsia" w:ascii="仿宋_GB2312" w:hAnsi="仿宋_GB2312" w:eastAsia="仿宋_GB2312" w:cs="仿宋_GB2312"/>
                <w:b w:val="0"/>
                <w:bCs w:val="0"/>
                <w:color w:val="auto"/>
                <w:sz w:val="21"/>
                <w:szCs w:val="21"/>
                <w:highlight w:val="none"/>
              </w:rPr>
              <w:t>报价清单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9" w:hRule="atLeast"/>
        </w:trPr>
        <w:tc>
          <w:tcPr>
            <w:tcW w:w="235" w:type="pct"/>
            <w:vMerge w:val="restart"/>
            <w:tcBorders>
              <w:left w:val="single" w:color="auto" w:sz="4" w:space="0"/>
              <w:right w:val="single" w:color="auto" w:sz="4" w:space="0"/>
            </w:tcBorders>
            <w:vAlign w:val="center"/>
          </w:tcPr>
          <w:p>
            <w:pPr>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w:t>
            </w:r>
          </w:p>
        </w:tc>
        <w:tc>
          <w:tcPr>
            <w:tcW w:w="351" w:type="pct"/>
            <w:vMerge w:val="restart"/>
            <w:tcBorders>
              <w:left w:val="nil"/>
              <w:right w:val="single" w:color="auto" w:sz="4" w:space="0"/>
            </w:tcBorders>
            <w:vAlign w:val="center"/>
          </w:tcPr>
          <w:p>
            <w:pPr>
              <w:adjustRightInd w:val="0"/>
              <w:snapToGrid w:val="0"/>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项目实施</w:t>
            </w:r>
            <w:r>
              <w:rPr>
                <w:rFonts w:hint="eastAsia" w:ascii="仿宋_GB2312" w:hAnsi="仿宋_GB2312" w:eastAsia="仿宋_GB2312" w:cs="仿宋_GB2312"/>
                <w:color w:val="auto"/>
                <w:kern w:val="0"/>
                <w:sz w:val="21"/>
                <w:szCs w:val="21"/>
                <w:highlight w:val="none"/>
              </w:rPr>
              <w:t>方案（</w:t>
            </w:r>
            <w:r>
              <w:rPr>
                <w:rFonts w:hint="eastAsia" w:ascii="仿宋_GB2312" w:hAnsi="仿宋_GB2312" w:cs="仿宋_GB2312"/>
                <w:color w:val="auto"/>
                <w:kern w:val="0"/>
                <w:sz w:val="21"/>
                <w:szCs w:val="21"/>
                <w:highlight w:val="none"/>
                <w:lang w:val="en-US" w:eastAsia="zh-CN"/>
              </w:rPr>
              <w:t>50</w:t>
            </w:r>
            <w:r>
              <w:rPr>
                <w:rFonts w:hint="eastAsia" w:ascii="仿宋_GB2312" w:hAnsi="仿宋_GB2312" w:eastAsia="仿宋_GB2312" w:cs="仿宋_GB2312"/>
                <w:color w:val="auto"/>
                <w:kern w:val="0"/>
                <w:sz w:val="21"/>
                <w:szCs w:val="21"/>
                <w:highlight w:val="none"/>
              </w:rPr>
              <w:t>分）</w:t>
            </w:r>
          </w:p>
        </w:tc>
        <w:tc>
          <w:tcPr>
            <w:tcW w:w="351" w:type="pct"/>
            <w:tcBorders>
              <w:top w:val="single" w:color="auto" w:sz="4" w:space="0"/>
              <w:left w:val="nil"/>
              <w:right w:val="single" w:color="auto" w:sz="4" w:space="0"/>
            </w:tcBorders>
            <w:vAlign w:val="center"/>
          </w:tcPr>
          <w:p>
            <w:pPr>
              <w:adjustRightInd w:val="0"/>
              <w:snapToGrid w:val="0"/>
              <w:jc w:val="center"/>
              <w:rPr>
                <w:rFonts w:hint="eastAsia" w:ascii="仿宋_GB2312" w:hAnsi="仿宋_GB2312" w:eastAsia="仿宋_GB2312" w:cs="仿宋_GB2312"/>
                <w:color w:val="auto"/>
                <w:kern w:val="0"/>
                <w:sz w:val="21"/>
                <w:szCs w:val="21"/>
                <w:highlight w:val="none"/>
              </w:rPr>
            </w:pPr>
            <w:r>
              <w:rPr>
                <w:rStyle w:val="22"/>
                <w:rFonts w:hint="eastAsia" w:ascii="仿宋_GB2312" w:hAnsi="仿宋_GB2312" w:eastAsia="仿宋_GB2312" w:cs="仿宋_GB2312"/>
                <w:b w:val="0"/>
                <w:bCs w:val="0"/>
                <w:color w:val="auto"/>
                <w:sz w:val="21"/>
                <w:szCs w:val="21"/>
                <w:highlight w:val="none"/>
                <w:lang w:eastAsia="zh-CN"/>
              </w:rPr>
              <w:t>重难点分析情况</w:t>
            </w:r>
          </w:p>
        </w:tc>
        <w:tc>
          <w:tcPr>
            <w:tcW w:w="235" w:type="pct"/>
            <w:tcBorders>
              <w:top w:val="single" w:color="auto" w:sz="4" w:space="0"/>
              <w:left w:val="nil"/>
              <w:right w:val="single" w:color="auto" w:sz="4" w:space="0"/>
            </w:tcBorders>
            <w:vAlign w:val="center"/>
          </w:tcPr>
          <w:p>
            <w:pPr>
              <w:adjustRightInd w:val="0"/>
              <w:snapToGrid w:val="0"/>
              <w:jc w:val="center"/>
              <w:rPr>
                <w:rFonts w:hint="default" w:ascii="仿宋_GB2312" w:hAnsi="仿宋_GB2312" w:eastAsia="仿宋_GB2312" w:cs="仿宋_GB2312"/>
                <w:color w:val="auto"/>
                <w:kern w:val="0"/>
                <w:sz w:val="21"/>
                <w:szCs w:val="21"/>
                <w:highlight w:val="none"/>
                <w:lang w:val="en-US" w:eastAsia="zh-CN"/>
              </w:rPr>
            </w:pPr>
            <w:r>
              <w:rPr>
                <w:rFonts w:hint="eastAsia" w:ascii="仿宋_GB2312" w:hAnsi="仿宋_GB2312" w:cs="仿宋_GB2312"/>
                <w:color w:val="auto"/>
                <w:kern w:val="0"/>
                <w:sz w:val="21"/>
                <w:szCs w:val="21"/>
                <w:highlight w:val="none"/>
                <w:lang w:val="en-US" w:eastAsia="zh-CN"/>
              </w:rPr>
              <w:t>20</w:t>
            </w:r>
          </w:p>
        </w:tc>
        <w:tc>
          <w:tcPr>
            <w:tcW w:w="2508"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b w:val="0"/>
                <w:bCs w:val="0"/>
                <w:color w:val="auto"/>
                <w:kern w:val="44"/>
                <w:sz w:val="21"/>
                <w:szCs w:val="21"/>
                <w:highlight w:val="none"/>
              </w:rPr>
            </w:pPr>
            <w:r>
              <w:rPr>
                <w:rFonts w:hint="eastAsia" w:ascii="仿宋_GB2312" w:hAnsi="仿宋_GB2312" w:eastAsia="仿宋_GB2312" w:cs="仿宋_GB2312"/>
                <w:b w:val="0"/>
                <w:bCs w:val="0"/>
                <w:color w:val="auto"/>
                <w:kern w:val="44"/>
                <w:sz w:val="21"/>
                <w:szCs w:val="21"/>
                <w:highlight w:val="none"/>
              </w:rPr>
              <w:t>对投标人提供的《</w:t>
            </w:r>
            <w:r>
              <w:rPr>
                <w:rFonts w:hint="eastAsia" w:ascii="仿宋_GB2312" w:hAnsi="仿宋_GB2312" w:eastAsia="仿宋_GB2312" w:cs="仿宋_GB2312"/>
                <w:b w:val="0"/>
                <w:bCs w:val="0"/>
                <w:color w:val="auto"/>
                <w:kern w:val="44"/>
                <w:sz w:val="21"/>
                <w:szCs w:val="21"/>
                <w:highlight w:val="none"/>
                <w:lang w:eastAsia="zh-CN"/>
              </w:rPr>
              <w:t>项目实施</w:t>
            </w:r>
            <w:r>
              <w:rPr>
                <w:rFonts w:hint="eastAsia" w:ascii="仿宋_GB2312" w:hAnsi="仿宋_GB2312" w:eastAsia="仿宋_GB2312" w:cs="仿宋_GB2312"/>
                <w:b w:val="0"/>
                <w:bCs w:val="0"/>
                <w:color w:val="auto"/>
                <w:kern w:val="44"/>
                <w:sz w:val="21"/>
                <w:szCs w:val="21"/>
                <w:highlight w:val="none"/>
              </w:rPr>
              <w:t>方案》</w:t>
            </w:r>
            <w:r>
              <w:rPr>
                <w:rFonts w:hint="eastAsia" w:ascii="仿宋_GB2312" w:hAnsi="仿宋_GB2312" w:eastAsia="仿宋_GB2312" w:cs="仿宋_GB2312"/>
                <w:b w:val="0"/>
                <w:bCs w:val="0"/>
                <w:color w:val="auto"/>
                <w:kern w:val="44"/>
                <w:sz w:val="21"/>
                <w:szCs w:val="21"/>
                <w:highlight w:val="none"/>
                <w:lang w:eastAsia="zh-CN"/>
              </w:rPr>
              <w:t>体现</w:t>
            </w:r>
            <w:r>
              <w:rPr>
                <w:rFonts w:hint="eastAsia" w:ascii="仿宋_GB2312" w:hAnsi="仿宋_GB2312" w:eastAsia="仿宋_GB2312" w:cs="仿宋_GB2312"/>
                <w:b w:val="0"/>
                <w:bCs w:val="0"/>
                <w:color w:val="auto"/>
                <w:kern w:val="44"/>
                <w:sz w:val="21"/>
                <w:szCs w:val="21"/>
                <w:highlight w:val="none"/>
              </w:rPr>
              <w:t>对本项目的需求了解程度，从需求</w:t>
            </w:r>
            <w:r>
              <w:rPr>
                <w:rFonts w:hint="eastAsia" w:ascii="仿宋_GB2312" w:hAnsi="仿宋_GB2312" w:cs="仿宋_GB2312"/>
                <w:b w:val="0"/>
                <w:bCs w:val="0"/>
                <w:color w:val="auto"/>
                <w:kern w:val="44"/>
                <w:sz w:val="21"/>
                <w:szCs w:val="21"/>
                <w:highlight w:val="none"/>
                <w:lang w:eastAsia="zh-CN"/>
              </w:rPr>
              <w:t>分析</w:t>
            </w:r>
            <w:r>
              <w:rPr>
                <w:rFonts w:hint="eastAsia" w:ascii="仿宋_GB2312" w:hAnsi="仿宋_GB2312" w:eastAsia="仿宋_GB2312" w:cs="仿宋_GB2312"/>
                <w:b w:val="0"/>
                <w:bCs w:val="0"/>
                <w:color w:val="auto"/>
                <w:kern w:val="44"/>
                <w:sz w:val="21"/>
                <w:szCs w:val="21"/>
                <w:highlight w:val="none"/>
              </w:rPr>
              <w:t>、重难点分析</w:t>
            </w:r>
            <w:r>
              <w:rPr>
                <w:rFonts w:hint="eastAsia" w:ascii="仿宋_GB2312" w:hAnsi="仿宋_GB2312" w:eastAsia="仿宋_GB2312" w:cs="仿宋_GB2312"/>
                <w:b w:val="0"/>
                <w:bCs w:val="0"/>
                <w:color w:val="auto"/>
                <w:kern w:val="44"/>
                <w:sz w:val="21"/>
                <w:szCs w:val="21"/>
                <w:highlight w:val="none"/>
                <w:lang w:eastAsia="zh-CN"/>
              </w:rPr>
              <w:t>、应对措施</w:t>
            </w:r>
            <w:r>
              <w:rPr>
                <w:rFonts w:hint="eastAsia" w:ascii="仿宋_GB2312" w:hAnsi="仿宋_GB2312" w:eastAsia="仿宋_GB2312" w:cs="仿宋_GB2312"/>
                <w:b w:val="0"/>
                <w:bCs w:val="0"/>
                <w:color w:val="auto"/>
                <w:kern w:val="44"/>
                <w:sz w:val="21"/>
                <w:szCs w:val="21"/>
                <w:highlight w:val="none"/>
              </w:rPr>
              <w:t>等</w:t>
            </w:r>
            <w:r>
              <w:rPr>
                <w:rFonts w:hint="eastAsia" w:ascii="仿宋_GB2312" w:hAnsi="仿宋_GB2312" w:eastAsia="仿宋_GB2312" w:cs="仿宋_GB2312"/>
                <w:b w:val="0"/>
                <w:bCs w:val="0"/>
                <w:color w:val="auto"/>
                <w:kern w:val="44"/>
                <w:sz w:val="21"/>
                <w:szCs w:val="21"/>
                <w:highlight w:val="none"/>
                <w:lang w:eastAsia="zh-CN"/>
              </w:rPr>
              <w:t>开展</w:t>
            </w:r>
            <w:r>
              <w:rPr>
                <w:rFonts w:hint="eastAsia" w:ascii="仿宋_GB2312" w:hAnsi="仿宋_GB2312" w:eastAsia="仿宋_GB2312" w:cs="仿宋_GB2312"/>
                <w:b w:val="0"/>
                <w:bCs w:val="0"/>
                <w:color w:val="auto"/>
                <w:kern w:val="44"/>
                <w:sz w:val="21"/>
                <w:szCs w:val="21"/>
                <w:highlight w:val="none"/>
              </w:rPr>
              <w:t>评价：</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b w:val="0"/>
                <w:bCs w:val="0"/>
                <w:color w:val="auto"/>
                <w:kern w:val="44"/>
                <w:sz w:val="21"/>
                <w:szCs w:val="21"/>
                <w:highlight w:val="none"/>
              </w:rPr>
            </w:pPr>
            <w:r>
              <w:rPr>
                <w:rFonts w:hint="eastAsia" w:ascii="仿宋_GB2312" w:hAnsi="仿宋_GB2312" w:eastAsia="仿宋_GB2312" w:cs="仿宋_GB2312"/>
                <w:b w:val="0"/>
                <w:bCs w:val="0"/>
                <w:color w:val="auto"/>
                <w:kern w:val="44"/>
                <w:sz w:val="21"/>
                <w:szCs w:val="21"/>
                <w:highlight w:val="none"/>
              </w:rPr>
              <w:t>1.分析项目需求；</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b w:val="0"/>
                <w:bCs w:val="0"/>
                <w:color w:val="auto"/>
                <w:kern w:val="44"/>
                <w:sz w:val="21"/>
                <w:szCs w:val="21"/>
                <w:highlight w:val="none"/>
              </w:rPr>
            </w:pPr>
            <w:r>
              <w:rPr>
                <w:rFonts w:hint="eastAsia" w:ascii="仿宋_GB2312" w:hAnsi="仿宋_GB2312" w:eastAsia="仿宋_GB2312" w:cs="仿宋_GB2312"/>
                <w:b w:val="0"/>
                <w:bCs w:val="0"/>
                <w:color w:val="auto"/>
                <w:kern w:val="44"/>
                <w:sz w:val="21"/>
                <w:szCs w:val="21"/>
                <w:highlight w:val="none"/>
              </w:rPr>
              <w:t>2.项目重点难点分析；</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b w:val="0"/>
                <w:bCs w:val="0"/>
                <w:color w:val="auto"/>
                <w:kern w:val="44"/>
                <w:sz w:val="21"/>
                <w:szCs w:val="21"/>
                <w:highlight w:val="none"/>
              </w:rPr>
            </w:pPr>
            <w:r>
              <w:rPr>
                <w:rFonts w:hint="eastAsia" w:ascii="仿宋_GB2312" w:hAnsi="仿宋_GB2312" w:eastAsia="仿宋_GB2312" w:cs="仿宋_GB2312"/>
                <w:b w:val="0"/>
                <w:bCs w:val="0"/>
                <w:color w:val="auto"/>
                <w:kern w:val="44"/>
                <w:sz w:val="21"/>
                <w:szCs w:val="21"/>
                <w:highlight w:val="none"/>
              </w:rPr>
              <w:t>3.重难点项目应对措施。</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b w:val="0"/>
                <w:bCs w:val="0"/>
                <w:color w:val="auto"/>
                <w:kern w:val="44"/>
                <w:sz w:val="21"/>
                <w:szCs w:val="21"/>
                <w:highlight w:val="none"/>
              </w:rPr>
            </w:pPr>
            <w:r>
              <w:rPr>
                <w:rFonts w:hint="eastAsia" w:ascii="仿宋_GB2312" w:hAnsi="仿宋_GB2312" w:eastAsia="仿宋_GB2312" w:cs="仿宋_GB2312"/>
                <w:b w:val="0"/>
                <w:bCs w:val="0"/>
                <w:color w:val="auto"/>
                <w:kern w:val="44"/>
                <w:sz w:val="21"/>
                <w:szCs w:val="21"/>
                <w:highlight w:val="none"/>
              </w:rPr>
              <w:t>同时满足以上</w:t>
            </w:r>
            <w:r>
              <w:rPr>
                <w:rFonts w:hint="eastAsia" w:ascii="仿宋_GB2312" w:hAnsi="仿宋_GB2312" w:eastAsia="仿宋_GB2312" w:cs="仿宋_GB2312"/>
                <w:b w:val="0"/>
                <w:bCs w:val="0"/>
                <w:color w:val="auto"/>
                <w:kern w:val="44"/>
                <w:sz w:val="21"/>
                <w:szCs w:val="21"/>
                <w:highlight w:val="none"/>
                <w:lang w:eastAsia="zh-CN"/>
              </w:rPr>
              <w:t>三</w:t>
            </w:r>
            <w:r>
              <w:rPr>
                <w:rFonts w:hint="eastAsia" w:ascii="仿宋_GB2312" w:hAnsi="仿宋_GB2312" w:eastAsia="仿宋_GB2312" w:cs="仿宋_GB2312"/>
                <w:b w:val="0"/>
                <w:bCs w:val="0"/>
                <w:color w:val="auto"/>
                <w:kern w:val="44"/>
                <w:sz w:val="21"/>
                <w:szCs w:val="21"/>
                <w:highlight w:val="none"/>
              </w:rPr>
              <w:t>项要求得</w:t>
            </w:r>
            <w:r>
              <w:rPr>
                <w:rFonts w:hint="eastAsia" w:ascii="仿宋_GB2312" w:hAnsi="仿宋_GB2312" w:cs="仿宋_GB2312"/>
                <w:b w:val="0"/>
                <w:bCs w:val="0"/>
                <w:color w:val="auto"/>
                <w:kern w:val="44"/>
                <w:sz w:val="21"/>
                <w:szCs w:val="21"/>
                <w:highlight w:val="none"/>
                <w:lang w:val="en-US" w:eastAsia="zh-CN"/>
              </w:rPr>
              <w:t>8</w:t>
            </w:r>
            <w:r>
              <w:rPr>
                <w:rFonts w:hint="eastAsia" w:ascii="仿宋_GB2312" w:hAnsi="仿宋_GB2312" w:eastAsia="仿宋_GB2312" w:cs="仿宋_GB2312"/>
                <w:b w:val="0"/>
                <w:bCs w:val="0"/>
                <w:color w:val="auto"/>
                <w:kern w:val="44"/>
                <w:sz w:val="21"/>
                <w:szCs w:val="21"/>
                <w:highlight w:val="none"/>
              </w:rPr>
              <w:t>分;其他情况不得分。</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b w:val="0"/>
                <w:bCs w:val="0"/>
                <w:color w:val="auto"/>
                <w:kern w:val="44"/>
                <w:sz w:val="21"/>
                <w:szCs w:val="21"/>
                <w:highlight w:val="none"/>
              </w:rPr>
            </w:pPr>
            <w:r>
              <w:rPr>
                <w:rFonts w:hint="eastAsia" w:ascii="仿宋_GB2312" w:hAnsi="仿宋_GB2312" w:eastAsia="仿宋_GB2312" w:cs="仿宋_GB2312"/>
                <w:b w:val="0"/>
                <w:bCs w:val="0"/>
                <w:color w:val="auto"/>
                <w:kern w:val="44"/>
                <w:sz w:val="21"/>
                <w:szCs w:val="21"/>
                <w:highlight w:val="none"/>
              </w:rPr>
              <w:t>在此基础上，根据各投标人提供的具体内容按照量化的评审因素指标进一步评审：</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b w:val="0"/>
                <w:bCs w:val="0"/>
                <w:color w:val="auto"/>
                <w:kern w:val="44"/>
                <w:sz w:val="21"/>
                <w:szCs w:val="21"/>
                <w:highlight w:val="none"/>
              </w:rPr>
            </w:pPr>
            <w:r>
              <w:rPr>
                <w:rFonts w:hint="eastAsia" w:ascii="仿宋_GB2312" w:hAnsi="仿宋_GB2312" w:eastAsia="仿宋_GB2312" w:cs="仿宋_GB2312"/>
                <w:b w:val="0"/>
                <w:bCs w:val="0"/>
                <w:color w:val="auto"/>
                <w:kern w:val="44"/>
                <w:sz w:val="21"/>
                <w:szCs w:val="21"/>
                <w:highlight w:val="none"/>
              </w:rPr>
              <w:t>1.优：内容详细、完整，表述清晰、严谨，科学合理、可行性强得</w:t>
            </w:r>
            <w:r>
              <w:rPr>
                <w:rFonts w:hint="eastAsia" w:ascii="仿宋_GB2312" w:hAnsi="仿宋_GB2312" w:cs="仿宋_GB2312"/>
                <w:b w:val="0"/>
                <w:bCs w:val="0"/>
                <w:color w:val="auto"/>
                <w:kern w:val="44"/>
                <w:sz w:val="21"/>
                <w:szCs w:val="21"/>
                <w:highlight w:val="none"/>
                <w:lang w:val="en-US" w:eastAsia="zh-CN"/>
              </w:rPr>
              <w:t>12</w:t>
            </w:r>
            <w:r>
              <w:rPr>
                <w:rFonts w:hint="eastAsia" w:ascii="仿宋_GB2312" w:hAnsi="仿宋_GB2312" w:eastAsia="仿宋_GB2312" w:cs="仿宋_GB2312"/>
                <w:b w:val="0"/>
                <w:bCs w:val="0"/>
                <w:color w:val="auto"/>
                <w:kern w:val="44"/>
                <w:sz w:val="21"/>
                <w:szCs w:val="21"/>
                <w:highlight w:val="none"/>
              </w:rPr>
              <w:t>分;</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b w:val="0"/>
                <w:bCs w:val="0"/>
                <w:color w:val="auto"/>
                <w:kern w:val="44"/>
                <w:sz w:val="21"/>
                <w:szCs w:val="21"/>
                <w:highlight w:val="none"/>
              </w:rPr>
            </w:pPr>
            <w:r>
              <w:rPr>
                <w:rFonts w:hint="eastAsia" w:ascii="仿宋_GB2312" w:hAnsi="仿宋_GB2312" w:eastAsia="仿宋_GB2312" w:cs="仿宋_GB2312"/>
                <w:b w:val="0"/>
                <w:bCs w:val="0"/>
                <w:color w:val="auto"/>
                <w:kern w:val="44"/>
                <w:sz w:val="21"/>
                <w:szCs w:val="21"/>
                <w:highlight w:val="none"/>
              </w:rPr>
              <w:t>2.良：内容较详细、较完整，表述较清晰、较严谨，较科学合理、可行性较强得</w:t>
            </w:r>
            <w:r>
              <w:rPr>
                <w:rFonts w:hint="eastAsia" w:ascii="仿宋_GB2312" w:hAnsi="仿宋_GB2312" w:cs="仿宋_GB2312"/>
                <w:b w:val="0"/>
                <w:bCs w:val="0"/>
                <w:color w:val="auto"/>
                <w:kern w:val="44"/>
                <w:sz w:val="21"/>
                <w:szCs w:val="21"/>
                <w:highlight w:val="none"/>
                <w:lang w:val="en-US" w:eastAsia="zh-CN"/>
              </w:rPr>
              <w:t>8</w:t>
            </w:r>
            <w:r>
              <w:rPr>
                <w:rFonts w:hint="eastAsia" w:ascii="仿宋_GB2312" w:hAnsi="仿宋_GB2312" w:eastAsia="仿宋_GB2312" w:cs="仿宋_GB2312"/>
                <w:b w:val="0"/>
                <w:bCs w:val="0"/>
                <w:color w:val="auto"/>
                <w:kern w:val="44"/>
                <w:sz w:val="21"/>
                <w:szCs w:val="21"/>
                <w:highlight w:val="none"/>
              </w:rPr>
              <w:t>分;</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b w:val="0"/>
                <w:bCs w:val="0"/>
                <w:color w:val="auto"/>
                <w:kern w:val="44"/>
                <w:sz w:val="21"/>
                <w:szCs w:val="21"/>
                <w:highlight w:val="none"/>
              </w:rPr>
            </w:pPr>
            <w:r>
              <w:rPr>
                <w:rFonts w:hint="eastAsia" w:ascii="仿宋_GB2312" w:hAnsi="仿宋_GB2312" w:eastAsia="仿宋_GB2312" w:cs="仿宋_GB2312"/>
                <w:b w:val="0"/>
                <w:bCs w:val="0"/>
                <w:color w:val="auto"/>
                <w:kern w:val="44"/>
                <w:sz w:val="21"/>
                <w:szCs w:val="21"/>
                <w:highlight w:val="none"/>
              </w:rPr>
              <w:t>3.中：内容不够详细、不够完整，表述不够清晰、不够严谨，不够合理、可行性一般得</w:t>
            </w:r>
            <w:r>
              <w:rPr>
                <w:rFonts w:hint="eastAsia" w:ascii="仿宋_GB2312" w:hAnsi="仿宋_GB2312" w:cs="仿宋_GB2312"/>
                <w:b w:val="0"/>
                <w:bCs w:val="0"/>
                <w:color w:val="auto"/>
                <w:kern w:val="44"/>
                <w:sz w:val="21"/>
                <w:szCs w:val="21"/>
                <w:highlight w:val="none"/>
                <w:lang w:val="en-US" w:eastAsia="zh-CN"/>
              </w:rPr>
              <w:t>5</w:t>
            </w:r>
            <w:r>
              <w:rPr>
                <w:rFonts w:hint="eastAsia" w:ascii="仿宋_GB2312" w:hAnsi="仿宋_GB2312" w:eastAsia="仿宋_GB2312" w:cs="仿宋_GB2312"/>
                <w:b w:val="0"/>
                <w:bCs w:val="0"/>
                <w:color w:val="auto"/>
                <w:kern w:val="44"/>
                <w:sz w:val="21"/>
                <w:szCs w:val="21"/>
                <w:highlight w:val="none"/>
              </w:rPr>
              <w:t>分；</w:t>
            </w:r>
          </w:p>
          <w:p>
            <w:pPr>
              <w:adjustRightInd w:val="0"/>
              <w:snapToGrid w:val="0"/>
              <w:jc w:val="left"/>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b w:val="0"/>
                <w:bCs w:val="0"/>
                <w:color w:val="auto"/>
                <w:kern w:val="44"/>
                <w:sz w:val="21"/>
                <w:szCs w:val="21"/>
                <w:highlight w:val="none"/>
              </w:rPr>
              <w:t>4.差：内容不详细、不完整，表述不清晰、不严谨不合理、可行性差不得分。</w:t>
            </w:r>
          </w:p>
        </w:tc>
        <w:tc>
          <w:tcPr>
            <w:tcW w:w="1318" w:type="pct"/>
            <w:vMerge w:val="restart"/>
            <w:tcBorders>
              <w:top w:val="single" w:color="auto" w:sz="4" w:space="0"/>
              <w:left w:val="nil"/>
              <w:right w:val="single" w:color="auto" w:sz="4" w:space="0"/>
            </w:tcBorders>
            <w:vAlign w:val="center"/>
          </w:tcPr>
          <w:p>
            <w:pPr>
              <w:rPr>
                <w:rStyle w:val="22"/>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color w:val="auto"/>
                <w:kern w:val="44"/>
                <w:szCs w:val="21"/>
                <w:highlight w:val="none"/>
              </w:rPr>
              <w:t>项目实施方案。请投标人根据二级指标的要求，分项说明。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235" w:type="pct"/>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color w:val="auto"/>
                <w:sz w:val="21"/>
                <w:szCs w:val="21"/>
                <w:highlight w:val="none"/>
              </w:rPr>
            </w:pPr>
          </w:p>
        </w:tc>
        <w:tc>
          <w:tcPr>
            <w:tcW w:w="351" w:type="pct"/>
            <w:vMerge w:val="continue"/>
            <w:tcBorders>
              <w:left w:val="nil"/>
              <w:right w:val="single" w:color="auto" w:sz="4" w:space="0"/>
            </w:tcBorders>
            <w:vAlign w:val="center"/>
          </w:tcPr>
          <w:p>
            <w:pPr>
              <w:adjustRightInd w:val="0"/>
              <w:snapToGrid w:val="0"/>
              <w:jc w:val="center"/>
              <w:rPr>
                <w:rFonts w:hint="eastAsia" w:ascii="仿宋_GB2312" w:hAnsi="仿宋_GB2312" w:eastAsia="仿宋_GB2312" w:cs="仿宋_GB2312"/>
                <w:color w:val="auto"/>
                <w:kern w:val="0"/>
                <w:sz w:val="21"/>
                <w:szCs w:val="21"/>
                <w:highlight w:val="none"/>
              </w:rPr>
            </w:pPr>
          </w:p>
        </w:tc>
        <w:tc>
          <w:tcPr>
            <w:tcW w:w="351" w:type="pct"/>
            <w:tcBorders>
              <w:top w:val="single" w:color="auto" w:sz="4" w:space="0"/>
              <w:left w:val="nil"/>
              <w:right w:val="single" w:color="auto" w:sz="4" w:space="0"/>
            </w:tcBorders>
            <w:shd w:val="clear" w:color="auto" w:fill="auto"/>
            <w:vAlign w:val="center"/>
          </w:tcPr>
          <w:p>
            <w:pPr>
              <w:spacing w:line="280" w:lineRule="exact"/>
              <w:jc w:val="center"/>
              <w:rPr>
                <w:rFonts w:hint="eastAsia" w:ascii="仿宋_GB2312" w:hAnsi="仿宋_GB2312" w:eastAsia="仿宋_GB2312" w:cs="仿宋_GB2312"/>
                <w:color w:val="auto"/>
                <w:kern w:val="44"/>
                <w:sz w:val="21"/>
                <w:szCs w:val="21"/>
                <w:highlight w:val="none"/>
                <w:lang w:val="en-US" w:eastAsia="zh-CN"/>
              </w:rPr>
            </w:pPr>
            <w:r>
              <w:rPr>
                <w:rFonts w:hint="eastAsia" w:ascii="仿宋_GB2312" w:hAnsi="仿宋_GB2312" w:eastAsia="仿宋_GB2312" w:cs="仿宋_GB2312"/>
                <w:color w:val="auto"/>
                <w:kern w:val="44"/>
                <w:sz w:val="21"/>
                <w:szCs w:val="21"/>
                <w:highlight w:val="none"/>
                <w:lang w:val="en-US" w:eastAsia="zh-CN"/>
              </w:rPr>
              <w:t>运营服务</w:t>
            </w:r>
            <w:r>
              <w:rPr>
                <w:rFonts w:hint="eastAsia" w:ascii="仿宋_GB2312" w:hAnsi="仿宋_GB2312" w:cs="仿宋_GB2312"/>
                <w:color w:val="auto"/>
                <w:kern w:val="44"/>
                <w:sz w:val="21"/>
                <w:szCs w:val="21"/>
                <w:highlight w:val="none"/>
                <w:lang w:val="en-US" w:eastAsia="zh-CN"/>
              </w:rPr>
              <w:t>方案</w:t>
            </w:r>
          </w:p>
        </w:tc>
        <w:tc>
          <w:tcPr>
            <w:tcW w:w="235" w:type="pct"/>
            <w:tcBorders>
              <w:top w:val="single" w:color="auto" w:sz="4" w:space="0"/>
              <w:left w:val="nil"/>
              <w:right w:val="single" w:color="auto" w:sz="4" w:space="0"/>
            </w:tcBorders>
            <w:shd w:val="clear" w:color="auto" w:fill="auto"/>
            <w:vAlign w:val="center"/>
          </w:tcPr>
          <w:p>
            <w:pPr>
              <w:spacing w:line="280" w:lineRule="exact"/>
              <w:jc w:val="center"/>
              <w:rPr>
                <w:rFonts w:hint="default" w:ascii="仿宋_GB2312" w:hAnsi="仿宋_GB2312" w:eastAsia="仿宋_GB2312" w:cs="仿宋_GB2312"/>
                <w:color w:val="auto"/>
                <w:kern w:val="44"/>
                <w:sz w:val="21"/>
                <w:szCs w:val="21"/>
                <w:highlight w:val="none"/>
                <w:lang w:val="en-US" w:eastAsia="zh-CN"/>
              </w:rPr>
            </w:pPr>
            <w:r>
              <w:rPr>
                <w:rFonts w:hint="eastAsia" w:ascii="仿宋_GB2312" w:hAnsi="仿宋_GB2312" w:cs="仿宋_GB2312"/>
                <w:color w:val="auto"/>
                <w:kern w:val="44"/>
                <w:sz w:val="21"/>
                <w:szCs w:val="21"/>
                <w:highlight w:val="none"/>
                <w:lang w:val="en-US" w:eastAsia="zh-CN"/>
              </w:rPr>
              <w:t>20</w:t>
            </w:r>
          </w:p>
        </w:tc>
        <w:tc>
          <w:tcPr>
            <w:tcW w:w="2508" w:type="pct"/>
            <w:tcBorders>
              <w:top w:val="single" w:color="auto" w:sz="4" w:space="0"/>
              <w:left w:val="nil"/>
              <w:bottom w:val="single" w:color="auto" w:sz="4" w:space="0"/>
              <w:right w:val="single" w:color="auto" w:sz="4" w:space="0"/>
            </w:tcBorders>
            <w:shd w:val="clear" w:color="auto" w:fill="auto"/>
            <w:vAlign w:val="center"/>
          </w:tcPr>
          <w:p>
            <w:pPr>
              <w:adjustRightInd w:val="0"/>
              <w:snapToGrid w:val="0"/>
              <w:jc w:val="left"/>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b w:val="0"/>
                <w:bCs w:val="0"/>
                <w:color w:val="auto"/>
                <w:kern w:val="44"/>
                <w:sz w:val="21"/>
                <w:szCs w:val="21"/>
                <w:highlight w:val="none"/>
              </w:rPr>
              <w:t>对投标人提供的《</w:t>
            </w:r>
            <w:r>
              <w:rPr>
                <w:rFonts w:hint="eastAsia" w:ascii="仿宋_GB2312" w:hAnsi="仿宋_GB2312" w:eastAsia="仿宋_GB2312" w:cs="仿宋_GB2312"/>
                <w:b w:val="0"/>
                <w:bCs w:val="0"/>
                <w:color w:val="auto"/>
                <w:kern w:val="44"/>
                <w:sz w:val="21"/>
                <w:szCs w:val="21"/>
                <w:highlight w:val="none"/>
                <w:lang w:eastAsia="zh-CN"/>
              </w:rPr>
              <w:t>项目实施</w:t>
            </w:r>
            <w:r>
              <w:rPr>
                <w:rFonts w:hint="eastAsia" w:ascii="仿宋_GB2312" w:hAnsi="仿宋_GB2312" w:eastAsia="仿宋_GB2312" w:cs="仿宋_GB2312"/>
                <w:b w:val="0"/>
                <w:bCs w:val="0"/>
                <w:color w:val="auto"/>
                <w:kern w:val="44"/>
                <w:sz w:val="21"/>
                <w:szCs w:val="21"/>
                <w:highlight w:val="none"/>
              </w:rPr>
              <w:t>方案》</w:t>
            </w:r>
            <w:r>
              <w:rPr>
                <w:rFonts w:hint="eastAsia" w:ascii="仿宋_GB2312" w:hAnsi="仿宋_GB2312" w:eastAsia="仿宋_GB2312" w:cs="仿宋_GB2312"/>
                <w:b w:val="0"/>
                <w:bCs w:val="0"/>
                <w:color w:val="auto"/>
                <w:kern w:val="44"/>
                <w:sz w:val="21"/>
                <w:szCs w:val="21"/>
                <w:highlight w:val="none"/>
                <w:lang w:eastAsia="zh-CN"/>
              </w:rPr>
              <w:t>体现</w:t>
            </w:r>
            <w:r>
              <w:rPr>
                <w:rFonts w:hint="eastAsia" w:ascii="仿宋_GB2312" w:hAnsi="仿宋_GB2312" w:eastAsia="仿宋_GB2312" w:cs="仿宋_GB2312"/>
                <w:b w:val="0"/>
                <w:bCs w:val="0"/>
                <w:color w:val="auto"/>
                <w:kern w:val="44"/>
                <w:sz w:val="21"/>
                <w:szCs w:val="21"/>
                <w:highlight w:val="none"/>
              </w:rPr>
              <w:t>对本项目的</w:t>
            </w:r>
            <w:r>
              <w:rPr>
                <w:rFonts w:hint="eastAsia" w:ascii="仿宋_GB2312" w:hAnsi="仿宋_GB2312" w:eastAsia="仿宋_GB2312" w:cs="仿宋_GB2312"/>
                <w:color w:val="auto"/>
                <w:kern w:val="0"/>
                <w:sz w:val="21"/>
                <w:szCs w:val="21"/>
                <w:highlight w:val="none"/>
                <w:lang w:val="en-US" w:eastAsia="zh-CN"/>
              </w:rPr>
              <w:t>运营</w:t>
            </w:r>
            <w:r>
              <w:rPr>
                <w:rFonts w:hint="eastAsia" w:ascii="仿宋_GB2312" w:hAnsi="仿宋_GB2312" w:eastAsia="仿宋_GB2312" w:cs="仿宋_GB2312"/>
                <w:color w:val="auto"/>
                <w:kern w:val="0"/>
                <w:sz w:val="21"/>
                <w:szCs w:val="21"/>
                <w:highlight w:val="none"/>
              </w:rPr>
              <w:t>服务方案合理性及完整性进行评分，包括但不限于：</w:t>
            </w:r>
          </w:p>
          <w:p>
            <w:pPr>
              <w:adjustRightInd w:val="0"/>
              <w:snapToGrid w:val="0"/>
              <w:jc w:val="left"/>
              <w:rPr>
                <w:rFonts w:hint="eastAsia" w:ascii="仿宋_GB2312" w:hAnsi="仿宋_GB2312" w:eastAsia="仿宋_GB2312" w:cs="仿宋_GB2312"/>
                <w:color w:val="auto"/>
                <w:kern w:val="0"/>
                <w:sz w:val="21"/>
                <w:szCs w:val="21"/>
                <w:highlight w:val="none"/>
                <w:lang w:eastAsia="zh-CN"/>
              </w:rPr>
            </w:pPr>
            <w:r>
              <w:rPr>
                <w:rFonts w:hint="eastAsia" w:ascii="仿宋_GB2312" w:hAnsi="仿宋_GB2312" w:eastAsia="仿宋_GB2312" w:cs="仿宋_GB2312"/>
                <w:color w:val="auto"/>
                <w:kern w:val="0"/>
                <w:sz w:val="21"/>
                <w:szCs w:val="21"/>
                <w:highlight w:val="none"/>
                <w:lang w:val="en-US" w:eastAsia="zh-CN"/>
              </w:rPr>
              <w:t>1.根据</w:t>
            </w:r>
            <w:r>
              <w:rPr>
                <w:rFonts w:hint="eastAsia" w:ascii="仿宋_GB2312" w:hAnsi="仿宋_GB2312" w:eastAsia="仿宋_GB2312" w:cs="仿宋_GB2312"/>
                <w:color w:val="auto"/>
                <w:kern w:val="0"/>
                <w:sz w:val="21"/>
                <w:szCs w:val="21"/>
                <w:highlight w:val="none"/>
                <w:lang w:eastAsia="zh-CN"/>
              </w:rPr>
              <w:t>数据分析提升</w:t>
            </w:r>
            <w:r>
              <w:rPr>
                <w:rFonts w:hint="eastAsia" w:ascii="仿宋_GB2312" w:hAnsi="仿宋_GB2312" w:eastAsia="仿宋_GB2312" w:cs="仿宋_GB2312"/>
                <w:color w:val="auto"/>
                <w:kern w:val="0"/>
                <w:sz w:val="21"/>
                <w:szCs w:val="21"/>
                <w:highlight w:val="none"/>
              </w:rPr>
              <w:t>集体资产交易</w:t>
            </w:r>
            <w:r>
              <w:rPr>
                <w:rFonts w:hint="eastAsia" w:ascii="仿宋_GB2312" w:hAnsi="仿宋_GB2312" w:eastAsia="仿宋_GB2312" w:cs="仿宋_GB2312"/>
                <w:color w:val="auto"/>
                <w:kern w:val="0"/>
                <w:sz w:val="21"/>
                <w:szCs w:val="21"/>
                <w:highlight w:val="none"/>
                <w:lang w:eastAsia="zh-CN"/>
              </w:rPr>
              <w:t>监管；</w:t>
            </w:r>
          </w:p>
          <w:p>
            <w:pPr>
              <w:adjustRightInd w:val="0"/>
              <w:snapToGrid w:val="0"/>
              <w:jc w:val="left"/>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2.根据数据分析提升财务监管；</w:t>
            </w:r>
          </w:p>
          <w:p>
            <w:pPr>
              <w:adjustRightInd w:val="0"/>
              <w:snapToGrid w:val="0"/>
              <w:jc w:val="left"/>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3.根据数据分析提升数据统计分析、大数据分析结果；</w:t>
            </w:r>
          </w:p>
          <w:p>
            <w:pPr>
              <w:adjustRightInd w:val="0"/>
              <w:snapToGrid w:val="0"/>
              <w:jc w:val="left"/>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4.根据系统功能应用提出合理优化建议；</w:t>
            </w:r>
          </w:p>
          <w:p>
            <w:pPr>
              <w:adjustRightInd w:val="0"/>
              <w:snapToGrid w:val="0"/>
              <w:jc w:val="left"/>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5.分析如何提高系统数据质量；</w:t>
            </w:r>
          </w:p>
          <w:p>
            <w:pPr>
              <w:adjustRightInd w:val="0"/>
              <w:snapToGrid w:val="0"/>
              <w:jc w:val="left"/>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6.分析如何提高用户</w:t>
            </w:r>
            <w:r>
              <w:rPr>
                <w:rFonts w:hint="eastAsia" w:ascii="仿宋_GB2312" w:hAnsi="仿宋_GB2312" w:cs="仿宋_GB2312"/>
                <w:color w:val="auto"/>
                <w:kern w:val="0"/>
                <w:sz w:val="21"/>
                <w:szCs w:val="21"/>
                <w:highlight w:val="none"/>
                <w:lang w:val="en-US" w:eastAsia="zh-CN"/>
              </w:rPr>
              <w:t>应用系统</w:t>
            </w:r>
            <w:r>
              <w:rPr>
                <w:rFonts w:hint="eastAsia" w:ascii="仿宋_GB2312" w:hAnsi="仿宋_GB2312" w:eastAsia="仿宋_GB2312" w:cs="仿宋_GB2312"/>
                <w:color w:val="auto"/>
                <w:kern w:val="0"/>
                <w:sz w:val="21"/>
                <w:szCs w:val="21"/>
                <w:highlight w:val="none"/>
                <w:lang w:val="en-US" w:eastAsia="zh-CN"/>
              </w:rPr>
              <w:t>水平。</w:t>
            </w:r>
          </w:p>
          <w:p>
            <w:pPr>
              <w:spacing w:line="280" w:lineRule="exact"/>
              <w:rPr>
                <w:rFonts w:hint="eastAsia" w:ascii="仿宋_GB2312" w:hAnsi="仿宋_GB2312" w:eastAsia="仿宋_GB2312" w:cs="仿宋_GB2312"/>
                <w:color w:val="auto"/>
                <w:kern w:val="44"/>
                <w:sz w:val="21"/>
                <w:szCs w:val="21"/>
                <w:highlight w:val="none"/>
              </w:rPr>
            </w:pPr>
            <w:r>
              <w:rPr>
                <w:rFonts w:hint="eastAsia" w:ascii="仿宋_GB2312" w:hAnsi="仿宋_GB2312" w:eastAsia="仿宋_GB2312" w:cs="仿宋_GB2312"/>
                <w:color w:val="auto"/>
                <w:kern w:val="44"/>
                <w:sz w:val="21"/>
                <w:szCs w:val="21"/>
                <w:highlight w:val="none"/>
              </w:rPr>
              <w:t>同时满足以上</w:t>
            </w:r>
            <w:r>
              <w:rPr>
                <w:rFonts w:hint="eastAsia" w:ascii="仿宋_GB2312" w:hAnsi="仿宋_GB2312" w:eastAsia="仿宋_GB2312" w:cs="仿宋_GB2312"/>
                <w:color w:val="auto"/>
                <w:kern w:val="44"/>
                <w:sz w:val="21"/>
                <w:szCs w:val="21"/>
                <w:highlight w:val="none"/>
                <w:lang w:val="en-US" w:eastAsia="zh-CN"/>
              </w:rPr>
              <w:t>6</w:t>
            </w:r>
            <w:r>
              <w:rPr>
                <w:rFonts w:hint="eastAsia" w:ascii="仿宋_GB2312" w:hAnsi="仿宋_GB2312" w:eastAsia="仿宋_GB2312" w:cs="仿宋_GB2312"/>
                <w:color w:val="auto"/>
                <w:kern w:val="44"/>
                <w:sz w:val="21"/>
                <w:szCs w:val="21"/>
                <w:highlight w:val="none"/>
              </w:rPr>
              <w:t>项要求得</w:t>
            </w:r>
            <w:r>
              <w:rPr>
                <w:rFonts w:hint="eastAsia" w:ascii="仿宋_GB2312" w:hAnsi="仿宋_GB2312" w:cs="仿宋_GB2312"/>
                <w:color w:val="auto"/>
                <w:kern w:val="44"/>
                <w:sz w:val="21"/>
                <w:szCs w:val="21"/>
                <w:highlight w:val="none"/>
                <w:lang w:val="en-US" w:eastAsia="zh-CN"/>
              </w:rPr>
              <w:t>8</w:t>
            </w:r>
            <w:r>
              <w:rPr>
                <w:rFonts w:hint="eastAsia" w:ascii="仿宋_GB2312" w:hAnsi="仿宋_GB2312" w:eastAsia="仿宋_GB2312" w:cs="仿宋_GB2312"/>
                <w:color w:val="auto"/>
                <w:kern w:val="44"/>
                <w:sz w:val="21"/>
                <w:szCs w:val="21"/>
                <w:highlight w:val="none"/>
              </w:rPr>
              <w:t>分;其他情况不得分。</w:t>
            </w:r>
          </w:p>
          <w:p>
            <w:pPr>
              <w:spacing w:line="280" w:lineRule="exact"/>
              <w:rPr>
                <w:rFonts w:hint="eastAsia" w:ascii="仿宋_GB2312" w:hAnsi="仿宋_GB2312" w:eastAsia="仿宋_GB2312" w:cs="仿宋_GB2312"/>
                <w:color w:val="auto"/>
                <w:kern w:val="44"/>
                <w:sz w:val="21"/>
                <w:szCs w:val="21"/>
                <w:highlight w:val="none"/>
              </w:rPr>
            </w:pPr>
            <w:r>
              <w:rPr>
                <w:rFonts w:hint="eastAsia" w:ascii="仿宋_GB2312" w:hAnsi="仿宋_GB2312" w:eastAsia="仿宋_GB2312" w:cs="仿宋_GB2312"/>
                <w:color w:val="auto"/>
                <w:kern w:val="44"/>
                <w:sz w:val="21"/>
                <w:szCs w:val="21"/>
                <w:highlight w:val="none"/>
              </w:rPr>
              <w:t>在此基础上，根据各投标人提供的具体内容按照量化的评审因素指标进一步评审：</w:t>
            </w:r>
          </w:p>
          <w:p>
            <w:pPr>
              <w:spacing w:line="280" w:lineRule="exact"/>
              <w:rPr>
                <w:rFonts w:hint="eastAsia" w:ascii="仿宋_GB2312" w:hAnsi="仿宋_GB2312" w:eastAsia="仿宋_GB2312" w:cs="仿宋_GB2312"/>
                <w:color w:val="auto"/>
                <w:kern w:val="44"/>
                <w:sz w:val="21"/>
                <w:szCs w:val="21"/>
                <w:highlight w:val="none"/>
              </w:rPr>
            </w:pPr>
            <w:r>
              <w:rPr>
                <w:rFonts w:hint="eastAsia" w:ascii="仿宋_GB2312" w:hAnsi="仿宋_GB2312" w:eastAsia="仿宋_GB2312" w:cs="仿宋_GB2312"/>
                <w:color w:val="auto"/>
                <w:kern w:val="44"/>
                <w:sz w:val="21"/>
                <w:szCs w:val="21"/>
                <w:highlight w:val="none"/>
              </w:rPr>
              <w:t>1.优：内容详细、完整，表述清晰、严谨，科学合理、可行性强得</w:t>
            </w:r>
            <w:r>
              <w:rPr>
                <w:rFonts w:hint="eastAsia" w:ascii="仿宋_GB2312" w:hAnsi="仿宋_GB2312" w:cs="仿宋_GB2312"/>
                <w:color w:val="auto"/>
                <w:kern w:val="44"/>
                <w:sz w:val="21"/>
                <w:szCs w:val="21"/>
                <w:highlight w:val="none"/>
                <w:lang w:val="en-US" w:eastAsia="zh-CN"/>
              </w:rPr>
              <w:t>12</w:t>
            </w:r>
            <w:r>
              <w:rPr>
                <w:rFonts w:hint="eastAsia" w:ascii="仿宋_GB2312" w:hAnsi="仿宋_GB2312" w:eastAsia="仿宋_GB2312" w:cs="仿宋_GB2312"/>
                <w:color w:val="auto"/>
                <w:kern w:val="44"/>
                <w:sz w:val="21"/>
                <w:szCs w:val="21"/>
                <w:highlight w:val="none"/>
              </w:rPr>
              <w:t>分;</w:t>
            </w:r>
          </w:p>
          <w:p>
            <w:pPr>
              <w:spacing w:line="280" w:lineRule="exact"/>
              <w:rPr>
                <w:rFonts w:hint="eastAsia" w:ascii="仿宋_GB2312" w:hAnsi="仿宋_GB2312" w:eastAsia="仿宋_GB2312" w:cs="仿宋_GB2312"/>
                <w:color w:val="auto"/>
                <w:kern w:val="44"/>
                <w:sz w:val="21"/>
                <w:szCs w:val="21"/>
                <w:highlight w:val="none"/>
              </w:rPr>
            </w:pPr>
            <w:r>
              <w:rPr>
                <w:rFonts w:hint="eastAsia" w:ascii="仿宋_GB2312" w:hAnsi="仿宋_GB2312" w:eastAsia="仿宋_GB2312" w:cs="仿宋_GB2312"/>
                <w:color w:val="auto"/>
                <w:kern w:val="44"/>
                <w:sz w:val="21"/>
                <w:szCs w:val="21"/>
                <w:highlight w:val="none"/>
              </w:rPr>
              <w:t>2.良：内容较详细、较完整，表述较清晰、较严谨，较科学合理、可行性较强得</w:t>
            </w:r>
            <w:r>
              <w:rPr>
                <w:rFonts w:hint="eastAsia" w:ascii="仿宋_GB2312" w:hAnsi="仿宋_GB2312" w:cs="仿宋_GB2312"/>
                <w:color w:val="auto"/>
                <w:kern w:val="44"/>
                <w:sz w:val="21"/>
                <w:szCs w:val="21"/>
                <w:highlight w:val="none"/>
                <w:lang w:val="en-US" w:eastAsia="zh-CN"/>
              </w:rPr>
              <w:t>8</w:t>
            </w:r>
            <w:r>
              <w:rPr>
                <w:rFonts w:hint="eastAsia" w:ascii="仿宋_GB2312" w:hAnsi="仿宋_GB2312" w:eastAsia="仿宋_GB2312" w:cs="仿宋_GB2312"/>
                <w:color w:val="auto"/>
                <w:kern w:val="44"/>
                <w:sz w:val="21"/>
                <w:szCs w:val="21"/>
                <w:highlight w:val="none"/>
              </w:rPr>
              <w:t>分;</w:t>
            </w:r>
          </w:p>
          <w:p>
            <w:pPr>
              <w:spacing w:line="280" w:lineRule="exact"/>
              <w:rPr>
                <w:rFonts w:hint="eastAsia" w:ascii="仿宋_GB2312" w:hAnsi="仿宋_GB2312" w:eastAsia="仿宋_GB2312" w:cs="仿宋_GB2312"/>
                <w:color w:val="auto"/>
                <w:kern w:val="44"/>
                <w:sz w:val="21"/>
                <w:szCs w:val="21"/>
                <w:highlight w:val="none"/>
              </w:rPr>
            </w:pPr>
            <w:r>
              <w:rPr>
                <w:rFonts w:hint="eastAsia" w:ascii="仿宋_GB2312" w:hAnsi="仿宋_GB2312" w:eastAsia="仿宋_GB2312" w:cs="仿宋_GB2312"/>
                <w:color w:val="auto"/>
                <w:kern w:val="44"/>
                <w:sz w:val="21"/>
                <w:szCs w:val="21"/>
                <w:highlight w:val="none"/>
              </w:rPr>
              <w:t>3.中：内容不够详细、不够完整，表述不够清晰、不够严谨，不够合理、可行性一般得</w:t>
            </w:r>
            <w:r>
              <w:rPr>
                <w:rFonts w:hint="eastAsia" w:ascii="仿宋_GB2312" w:hAnsi="仿宋_GB2312" w:cs="仿宋_GB2312"/>
                <w:color w:val="auto"/>
                <w:kern w:val="44"/>
                <w:sz w:val="21"/>
                <w:szCs w:val="21"/>
                <w:highlight w:val="none"/>
                <w:lang w:val="en-US" w:eastAsia="zh-CN"/>
              </w:rPr>
              <w:t>5</w:t>
            </w:r>
            <w:r>
              <w:rPr>
                <w:rFonts w:hint="eastAsia" w:ascii="仿宋_GB2312" w:hAnsi="仿宋_GB2312" w:eastAsia="仿宋_GB2312" w:cs="仿宋_GB2312"/>
                <w:color w:val="auto"/>
                <w:kern w:val="44"/>
                <w:sz w:val="21"/>
                <w:szCs w:val="21"/>
                <w:highlight w:val="none"/>
              </w:rPr>
              <w:t>分；</w:t>
            </w:r>
          </w:p>
          <w:p>
            <w:pPr>
              <w:spacing w:line="280" w:lineRule="exact"/>
              <w:rPr>
                <w:rFonts w:hint="eastAsia" w:ascii="仿宋_GB2312" w:hAnsi="仿宋_GB2312" w:eastAsia="仿宋_GB2312" w:cs="仿宋_GB2312"/>
                <w:color w:val="auto"/>
                <w:kern w:val="44"/>
                <w:sz w:val="21"/>
                <w:szCs w:val="21"/>
                <w:highlight w:val="none"/>
              </w:rPr>
            </w:pPr>
            <w:r>
              <w:rPr>
                <w:rFonts w:hint="eastAsia" w:ascii="仿宋_GB2312" w:hAnsi="仿宋_GB2312" w:eastAsia="仿宋_GB2312" w:cs="仿宋_GB2312"/>
                <w:color w:val="auto"/>
                <w:kern w:val="44"/>
                <w:sz w:val="21"/>
                <w:szCs w:val="21"/>
                <w:highlight w:val="none"/>
              </w:rPr>
              <w:t>4.差：内容不详细、不完整，表述不清晰、不严谨不合理、可行性差不得分。</w:t>
            </w:r>
          </w:p>
        </w:tc>
        <w:tc>
          <w:tcPr>
            <w:tcW w:w="1318" w:type="pct"/>
            <w:vMerge w:val="continue"/>
            <w:tcBorders>
              <w:left w:val="nil"/>
              <w:right w:val="single" w:color="auto" w:sz="4" w:space="0"/>
            </w:tcBorders>
            <w:vAlign w:val="center"/>
          </w:tcPr>
          <w:p>
            <w:pPr>
              <w:rPr>
                <w:rFonts w:hint="eastAsia" w:ascii="仿宋_GB2312" w:hAnsi="仿宋_GB2312"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8" w:hRule="atLeast"/>
        </w:trPr>
        <w:tc>
          <w:tcPr>
            <w:tcW w:w="235" w:type="pct"/>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color w:val="auto"/>
                <w:sz w:val="21"/>
                <w:szCs w:val="21"/>
                <w:highlight w:val="none"/>
              </w:rPr>
            </w:pPr>
          </w:p>
        </w:tc>
        <w:tc>
          <w:tcPr>
            <w:tcW w:w="351" w:type="pct"/>
            <w:vMerge w:val="continue"/>
            <w:tcBorders>
              <w:left w:val="nil"/>
              <w:right w:val="single" w:color="auto" w:sz="4" w:space="0"/>
            </w:tcBorders>
            <w:vAlign w:val="center"/>
          </w:tcPr>
          <w:p>
            <w:pPr>
              <w:adjustRightInd w:val="0"/>
              <w:snapToGrid w:val="0"/>
              <w:jc w:val="center"/>
              <w:rPr>
                <w:rFonts w:hint="eastAsia" w:ascii="仿宋_GB2312" w:hAnsi="仿宋_GB2312" w:eastAsia="仿宋_GB2312" w:cs="仿宋_GB2312"/>
                <w:color w:val="auto"/>
                <w:kern w:val="0"/>
                <w:sz w:val="21"/>
                <w:szCs w:val="21"/>
                <w:highlight w:val="none"/>
              </w:rPr>
            </w:pPr>
          </w:p>
        </w:tc>
        <w:tc>
          <w:tcPr>
            <w:tcW w:w="351" w:type="pct"/>
            <w:tcBorders>
              <w:top w:val="single" w:color="auto" w:sz="4" w:space="0"/>
              <w:left w:val="nil"/>
              <w:right w:val="single" w:color="auto" w:sz="4" w:space="0"/>
            </w:tcBorders>
            <w:shd w:val="clear" w:color="auto" w:fill="auto"/>
            <w:vAlign w:val="center"/>
          </w:tcPr>
          <w:p>
            <w:pPr>
              <w:spacing w:line="280" w:lineRule="exact"/>
              <w:jc w:val="center"/>
              <w:rPr>
                <w:rFonts w:hint="eastAsia" w:ascii="仿宋_GB2312" w:hAnsi="仿宋_GB2312" w:eastAsia="仿宋_GB2312" w:cs="仿宋_GB2312"/>
                <w:color w:val="auto"/>
                <w:kern w:val="44"/>
                <w:sz w:val="21"/>
                <w:szCs w:val="21"/>
                <w:highlight w:val="none"/>
              </w:rPr>
            </w:pPr>
            <w:r>
              <w:rPr>
                <w:rFonts w:hint="eastAsia" w:ascii="仿宋_GB2312" w:hAnsi="仿宋_GB2312" w:eastAsia="仿宋_GB2312" w:cs="仿宋_GB2312"/>
                <w:color w:val="auto"/>
                <w:kern w:val="44"/>
                <w:sz w:val="21"/>
                <w:szCs w:val="21"/>
                <w:highlight w:val="none"/>
              </w:rPr>
              <w:t>质量保障措施</w:t>
            </w:r>
          </w:p>
        </w:tc>
        <w:tc>
          <w:tcPr>
            <w:tcW w:w="235" w:type="pct"/>
            <w:tcBorders>
              <w:top w:val="single" w:color="auto" w:sz="4" w:space="0"/>
              <w:left w:val="nil"/>
              <w:right w:val="single" w:color="auto" w:sz="4" w:space="0"/>
            </w:tcBorders>
            <w:shd w:val="clear" w:color="auto" w:fill="auto"/>
            <w:vAlign w:val="center"/>
          </w:tcPr>
          <w:p>
            <w:pPr>
              <w:spacing w:line="280" w:lineRule="exact"/>
              <w:jc w:val="center"/>
              <w:rPr>
                <w:rFonts w:hint="eastAsia" w:ascii="仿宋_GB2312" w:hAnsi="仿宋_GB2312" w:eastAsia="仿宋_GB2312" w:cs="仿宋_GB2312"/>
                <w:color w:val="auto"/>
                <w:kern w:val="44"/>
                <w:sz w:val="21"/>
                <w:szCs w:val="21"/>
                <w:highlight w:val="none"/>
                <w:lang w:eastAsia="zh-CN"/>
              </w:rPr>
            </w:pPr>
            <w:r>
              <w:rPr>
                <w:rFonts w:hint="eastAsia" w:ascii="仿宋_GB2312" w:hAnsi="仿宋_GB2312" w:eastAsia="仿宋_GB2312" w:cs="仿宋_GB2312"/>
                <w:color w:val="auto"/>
                <w:kern w:val="44"/>
                <w:sz w:val="21"/>
                <w:szCs w:val="21"/>
                <w:highlight w:val="none"/>
              </w:rPr>
              <w:t>1</w:t>
            </w:r>
            <w:r>
              <w:rPr>
                <w:rFonts w:hint="eastAsia" w:ascii="仿宋_GB2312" w:hAnsi="仿宋_GB2312" w:eastAsia="仿宋_GB2312" w:cs="仿宋_GB2312"/>
                <w:color w:val="auto"/>
                <w:kern w:val="44"/>
                <w:sz w:val="21"/>
                <w:szCs w:val="21"/>
                <w:highlight w:val="none"/>
                <w:lang w:val="en-US" w:eastAsia="zh-CN"/>
              </w:rPr>
              <w:t>0</w:t>
            </w:r>
          </w:p>
        </w:tc>
        <w:tc>
          <w:tcPr>
            <w:tcW w:w="2508" w:type="pct"/>
            <w:tcBorders>
              <w:top w:val="single" w:color="auto" w:sz="4" w:space="0"/>
              <w:left w:val="nil"/>
              <w:bottom w:val="single" w:color="auto" w:sz="4" w:space="0"/>
              <w:right w:val="single" w:color="auto" w:sz="4" w:space="0"/>
            </w:tcBorders>
            <w:shd w:val="clear" w:color="auto" w:fill="auto"/>
            <w:vAlign w:val="center"/>
          </w:tcPr>
          <w:p>
            <w:pPr>
              <w:spacing w:line="280" w:lineRule="exact"/>
              <w:rPr>
                <w:rFonts w:hint="eastAsia" w:ascii="仿宋_GB2312" w:hAnsi="仿宋_GB2312" w:eastAsia="仿宋_GB2312" w:cs="仿宋_GB2312"/>
                <w:color w:val="auto"/>
                <w:kern w:val="44"/>
                <w:sz w:val="21"/>
                <w:szCs w:val="21"/>
                <w:highlight w:val="none"/>
              </w:rPr>
            </w:pPr>
            <w:r>
              <w:rPr>
                <w:rFonts w:hint="eastAsia" w:ascii="仿宋_GB2312" w:hAnsi="仿宋_GB2312" w:eastAsia="仿宋_GB2312" w:cs="仿宋_GB2312"/>
                <w:color w:val="auto"/>
                <w:kern w:val="44"/>
                <w:sz w:val="21"/>
                <w:szCs w:val="21"/>
                <w:highlight w:val="none"/>
              </w:rPr>
              <w:t>对投标人提供的《</w:t>
            </w:r>
            <w:r>
              <w:rPr>
                <w:rFonts w:hint="eastAsia" w:ascii="仿宋_GB2312" w:hAnsi="仿宋_GB2312" w:cs="仿宋_GB2312"/>
                <w:color w:val="auto"/>
                <w:kern w:val="44"/>
                <w:sz w:val="21"/>
                <w:szCs w:val="21"/>
                <w:highlight w:val="none"/>
                <w:lang w:eastAsia="zh-CN"/>
              </w:rPr>
              <w:t>项目实施</w:t>
            </w:r>
            <w:r>
              <w:rPr>
                <w:rFonts w:hint="eastAsia" w:ascii="仿宋_GB2312" w:hAnsi="仿宋_GB2312" w:eastAsia="仿宋_GB2312" w:cs="仿宋_GB2312"/>
                <w:color w:val="auto"/>
                <w:kern w:val="44"/>
                <w:sz w:val="21"/>
                <w:szCs w:val="21"/>
                <w:highlight w:val="none"/>
              </w:rPr>
              <w:t>方案》的质量保障措施</w:t>
            </w:r>
            <w:r>
              <w:rPr>
                <w:rFonts w:hint="eastAsia" w:ascii="仿宋_GB2312" w:hAnsi="仿宋_GB2312" w:eastAsia="仿宋_GB2312" w:cs="仿宋_GB2312"/>
                <w:color w:val="auto"/>
                <w:kern w:val="44"/>
                <w:sz w:val="21"/>
                <w:szCs w:val="21"/>
                <w:highlight w:val="none"/>
                <w:lang w:eastAsia="zh-CN"/>
              </w:rPr>
              <w:t>、服务管理方案及风险控制等情况</w:t>
            </w:r>
            <w:r>
              <w:rPr>
                <w:rFonts w:hint="eastAsia" w:ascii="仿宋_GB2312" w:hAnsi="仿宋_GB2312" w:eastAsia="仿宋_GB2312" w:cs="仿宋_GB2312"/>
                <w:color w:val="auto"/>
                <w:kern w:val="44"/>
                <w:sz w:val="21"/>
                <w:szCs w:val="21"/>
                <w:highlight w:val="none"/>
              </w:rPr>
              <w:t>开展评价：</w:t>
            </w:r>
          </w:p>
          <w:p>
            <w:pPr>
              <w:numPr>
                <w:ilvl w:val="0"/>
                <w:numId w:val="0"/>
              </w:numPr>
              <w:spacing w:line="280" w:lineRule="exact"/>
              <w:rPr>
                <w:rFonts w:hint="eastAsia" w:ascii="仿宋_GB2312" w:hAnsi="仿宋_GB2312" w:eastAsia="仿宋_GB2312" w:cs="仿宋_GB2312"/>
                <w:color w:val="auto"/>
                <w:kern w:val="44"/>
                <w:sz w:val="21"/>
                <w:szCs w:val="21"/>
                <w:highlight w:val="none"/>
              </w:rPr>
            </w:pPr>
            <w:r>
              <w:rPr>
                <w:rFonts w:hint="eastAsia" w:ascii="仿宋_GB2312" w:hAnsi="仿宋_GB2312" w:eastAsia="仿宋_GB2312" w:cs="仿宋_GB2312"/>
                <w:color w:val="auto"/>
                <w:kern w:val="44"/>
                <w:sz w:val="21"/>
                <w:szCs w:val="21"/>
                <w:highlight w:val="none"/>
                <w:lang w:val="en-US" w:eastAsia="zh-CN"/>
              </w:rPr>
              <w:t>1.</w:t>
            </w:r>
            <w:r>
              <w:rPr>
                <w:rFonts w:hint="eastAsia" w:ascii="仿宋_GB2312" w:hAnsi="仿宋_GB2312" w:eastAsia="仿宋_GB2312" w:cs="仿宋_GB2312"/>
                <w:color w:val="auto"/>
                <w:kern w:val="44"/>
                <w:sz w:val="21"/>
                <w:szCs w:val="21"/>
                <w:highlight w:val="none"/>
              </w:rPr>
              <w:t>项目质量保障措施；</w:t>
            </w:r>
          </w:p>
          <w:p>
            <w:pPr>
              <w:spacing w:line="280" w:lineRule="exact"/>
              <w:rPr>
                <w:rFonts w:hint="eastAsia" w:ascii="仿宋_GB2312" w:hAnsi="仿宋_GB2312" w:eastAsia="仿宋_GB2312" w:cs="仿宋_GB2312"/>
                <w:color w:val="auto"/>
                <w:kern w:val="44"/>
                <w:sz w:val="21"/>
                <w:szCs w:val="21"/>
                <w:highlight w:val="none"/>
              </w:rPr>
            </w:pPr>
            <w:r>
              <w:rPr>
                <w:rFonts w:hint="eastAsia" w:ascii="仿宋_GB2312" w:hAnsi="仿宋_GB2312" w:eastAsia="仿宋_GB2312" w:cs="仿宋_GB2312"/>
                <w:color w:val="auto"/>
                <w:kern w:val="44"/>
                <w:sz w:val="21"/>
                <w:szCs w:val="21"/>
                <w:highlight w:val="none"/>
              </w:rPr>
              <w:t>2.项目服务管理方案；</w:t>
            </w:r>
          </w:p>
          <w:p>
            <w:pPr>
              <w:spacing w:line="280" w:lineRule="exact"/>
              <w:rPr>
                <w:rFonts w:hint="eastAsia" w:ascii="仿宋_GB2312" w:hAnsi="仿宋_GB2312" w:eastAsia="仿宋_GB2312" w:cs="仿宋_GB2312"/>
                <w:color w:val="auto"/>
                <w:kern w:val="44"/>
                <w:sz w:val="21"/>
                <w:szCs w:val="21"/>
                <w:highlight w:val="none"/>
                <w:lang w:eastAsia="zh-CN"/>
              </w:rPr>
            </w:pPr>
            <w:r>
              <w:rPr>
                <w:rFonts w:hint="eastAsia" w:ascii="仿宋_GB2312" w:hAnsi="仿宋_GB2312" w:eastAsia="仿宋_GB2312" w:cs="仿宋_GB2312"/>
                <w:color w:val="auto"/>
                <w:kern w:val="44"/>
                <w:sz w:val="21"/>
                <w:szCs w:val="21"/>
                <w:highlight w:val="none"/>
              </w:rPr>
              <w:t>3.项目风险控制措施</w:t>
            </w:r>
            <w:r>
              <w:rPr>
                <w:rFonts w:hint="eastAsia" w:ascii="仿宋_GB2312" w:hAnsi="仿宋_GB2312" w:eastAsia="仿宋_GB2312" w:cs="仿宋_GB2312"/>
                <w:color w:val="auto"/>
                <w:kern w:val="44"/>
                <w:sz w:val="21"/>
                <w:szCs w:val="21"/>
                <w:highlight w:val="none"/>
                <w:lang w:eastAsia="zh-CN"/>
              </w:rPr>
              <w:t>。</w:t>
            </w:r>
          </w:p>
          <w:p>
            <w:pPr>
              <w:spacing w:line="280" w:lineRule="exact"/>
              <w:rPr>
                <w:rFonts w:hint="eastAsia" w:ascii="仿宋_GB2312" w:hAnsi="仿宋_GB2312" w:eastAsia="仿宋_GB2312" w:cs="仿宋_GB2312"/>
                <w:color w:val="auto"/>
                <w:kern w:val="44"/>
                <w:sz w:val="21"/>
                <w:szCs w:val="21"/>
                <w:highlight w:val="none"/>
              </w:rPr>
            </w:pPr>
            <w:r>
              <w:rPr>
                <w:rFonts w:hint="eastAsia" w:ascii="仿宋_GB2312" w:hAnsi="仿宋_GB2312" w:eastAsia="仿宋_GB2312" w:cs="仿宋_GB2312"/>
                <w:color w:val="auto"/>
                <w:kern w:val="44"/>
                <w:sz w:val="21"/>
                <w:szCs w:val="21"/>
                <w:highlight w:val="none"/>
              </w:rPr>
              <w:t>同时满足以上</w:t>
            </w:r>
            <w:r>
              <w:rPr>
                <w:rFonts w:hint="eastAsia" w:ascii="仿宋_GB2312" w:hAnsi="仿宋_GB2312" w:eastAsia="仿宋_GB2312" w:cs="仿宋_GB2312"/>
                <w:color w:val="auto"/>
                <w:kern w:val="44"/>
                <w:sz w:val="21"/>
                <w:szCs w:val="21"/>
                <w:highlight w:val="none"/>
                <w:lang w:val="en-US" w:eastAsia="zh-CN"/>
              </w:rPr>
              <w:t>三</w:t>
            </w:r>
            <w:r>
              <w:rPr>
                <w:rFonts w:hint="eastAsia" w:ascii="仿宋_GB2312" w:hAnsi="仿宋_GB2312" w:eastAsia="仿宋_GB2312" w:cs="仿宋_GB2312"/>
                <w:color w:val="auto"/>
                <w:kern w:val="44"/>
                <w:sz w:val="21"/>
                <w:szCs w:val="21"/>
                <w:highlight w:val="none"/>
              </w:rPr>
              <w:t>项要求得</w:t>
            </w:r>
            <w:r>
              <w:rPr>
                <w:rFonts w:hint="eastAsia" w:ascii="仿宋_GB2312" w:hAnsi="仿宋_GB2312" w:eastAsia="仿宋_GB2312" w:cs="仿宋_GB2312"/>
                <w:color w:val="auto"/>
                <w:kern w:val="44"/>
                <w:sz w:val="21"/>
                <w:szCs w:val="21"/>
                <w:highlight w:val="none"/>
                <w:lang w:val="en-US" w:eastAsia="zh-CN"/>
              </w:rPr>
              <w:t>4</w:t>
            </w:r>
            <w:r>
              <w:rPr>
                <w:rFonts w:hint="eastAsia" w:ascii="仿宋_GB2312" w:hAnsi="仿宋_GB2312" w:eastAsia="仿宋_GB2312" w:cs="仿宋_GB2312"/>
                <w:color w:val="auto"/>
                <w:kern w:val="44"/>
                <w:sz w:val="21"/>
                <w:szCs w:val="21"/>
                <w:highlight w:val="none"/>
              </w:rPr>
              <w:t>分;其他情况不得分。</w:t>
            </w:r>
          </w:p>
          <w:p>
            <w:pPr>
              <w:spacing w:line="280" w:lineRule="exact"/>
              <w:rPr>
                <w:rFonts w:hint="eastAsia" w:ascii="仿宋_GB2312" w:hAnsi="仿宋_GB2312" w:eastAsia="仿宋_GB2312" w:cs="仿宋_GB2312"/>
                <w:color w:val="auto"/>
                <w:kern w:val="44"/>
                <w:sz w:val="21"/>
                <w:szCs w:val="21"/>
                <w:highlight w:val="none"/>
              </w:rPr>
            </w:pPr>
            <w:r>
              <w:rPr>
                <w:rFonts w:hint="eastAsia" w:ascii="仿宋_GB2312" w:hAnsi="仿宋_GB2312" w:eastAsia="仿宋_GB2312" w:cs="仿宋_GB2312"/>
                <w:color w:val="auto"/>
                <w:kern w:val="44"/>
                <w:sz w:val="21"/>
                <w:szCs w:val="21"/>
                <w:highlight w:val="none"/>
              </w:rPr>
              <w:t>在此基础上，根据各投标人提供的具体内容按照量化的评审因素指标进一步评审：</w:t>
            </w:r>
          </w:p>
          <w:p>
            <w:pPr>
              <w:spacing w:line="280" w:lineRule="exact"/>
              <w:rPr>
                <w:rFonts w:hint="eastAsia" w:ascii="仿宋_GB2312" w:hAnsi="仿宋_GB2312" w:eastAsia="仿宋_GB2312" w:cs="仿宋_GB2312"/>
                <w:color w:val="auto"/>
                <w:kern w:val="44"/>
                <w:sz w:val="21"/>
                <w:szCs w:val="21"/>
                <w:highlight w:val="none"/>
              </w:rPr>
            </w:pPr>
            <w:r>
              <w:rPr>
                <w:rFonts w:hint="eastAsia" w:ascii="仿宋_GB2312" w:hAnsi="仿宋_GB2312" w:eastAsia="仿宋_GB2312" w:cs="仿宋_GB2312"/>
                <w:color w:val="auto"/>
                <w:kern w:val="44"/>
                <w:sz w:val="21"/>
                <w:szCs w:val="21"/>
                <w:highlight w:val="none"/>
              </w:rPr>
              <w:t>1.优：内容详细、完整，表述清晰、严谨，科学合理、可行性强得</w:t>
            </w:r>
            <w:r>
              <w:rPr>
                <w:rFonts w:hint="eastAsia" w:ascii="仿宋_GB2312" w:hAnsi="仿宋_GB2312" w:eastAsia="仿宋_GB2312" w:cs="仿宋_GB2312"/>
                <w:color w:val="auto"/>
                <w:kern w:val="44"/>
                <w:sz w:val="21"/>
                <w:szCs w:val="21"/>
                <w:highlight w:val="none"/>
                <w:lang w:val="en-US" w:eastAsia="zh-CN"/>
              </w:rPr>
              <w:t>6</w:t>
            </w:r>
            <w:r>
              <w:rPr>
                <w:rFonts w:hint="eastAsia" w:ascii="仿宋_GB2312" w:hAnsi="仿宋_GB2312" w:eastAsia="仿宋_GB2312" w:cs="仿宋_GB2312"/>
                <w:color w:val="auto"/>
                <w:kern w:val="44"/>
                <w:sz w:val="21"/>
                <w:szCs w:val="21"/>
                <w:highlight w:val="none"/>
              </w:rPr>
              <w:t>分;</w:t>
            </w:r>
          </w:p>
          <w:p>
            <w:pPr>
              <w:spacing w:line="280" w:lineRule="exact"/>
              <w:rPr>
                <w:rFonts w:hint="eastAsia" w:ascii="仿宋_GB2312" w:hAnsi="仿宋_GB2312" w:eastAsia="仿宋_GB2312" w:cs="仿宋_GB2312"/>
                <w:color w:val="auto"/>
                <w:kern w:val="44"/>
                <w:sz w:val="21"/>
                <w:szCs w:val="21"/>
                <w:highlight w:val="none"/>
              </w:rPr>
            </w:pPr>
            <w:r>
              <w:rPr>
                <w:rFonts w:hint="eastAsia" w:ascii="仿宋_GB2312" w:hAnsi="仿宋_GB2312" w:eastAsia="仿宋_GB2312" w:cs="仿宋_GB2312"/>
                <w:color w:val="auto"/>
                <w:kern w:val="44"/>
                <w:sz w:val="21"/>
                <w:szCs w:val="21"/>
                <w:highlight w:val="none"/>
              </w:rPr>
              <w:t>2.良：内容较详细、较完整，表述较清晰、较严谨，较科学合理、可行性较强得</w:t>
            </w:r>
            <w:r>
              <w:rPr>
                <w:rFonts w:hint="eastAsia" w:ascii="仿宋_GB2312" w:hAnsi="仿宋_GB2312" w:eastAsia="仿宋_GB2312" w:cs="仿宋_GB2312"/>
                <w:color w:val="auto"/>
                <w:kern w:val="44"/>
                <w:sz w:val="21"/>
                <w:szCs w:val="21"/>
                <w:highlight w:val="none"/>
                <w:lang w:val="en-US" w:eastAsia="zh-CN"/>
              </w:rPr>
              <w:t>4</w:t>
            </w:r>
            <w:r>
              <w:rPr>
                <w:rFonts w:hint="eastAsia" w:ascii="仿宋_GB2312" w:hAnsi="仿宋_GB2312" w:eastAsia="仿宋_GB2312" w:cs="仿宋_GB2312"/>
                <w:color w:val="auto"/>
                <w:kern w:val="44"/>
                <w:sz w:val="21"/>
                <w:szCs w:val="21"/>
                <w:highlight w:val="none"/>
              </w:rPr>
              <w:t>分;</w:t>
            </w:r>
          </w:p>
          <w:p>
            <w:pPr>
              <w:spacing w:line="280" w:lineRule="exact"/>
              <w:rPr>
                <w:rFonts w:hint="eastAsia" w:ascii="仿宋_GB2312" w:hAnsi="仿宋_GB2312" w:eastAsia="仿宋_GB2312" w:cs="仿宋_GB2312"/>
                <w:color w:val="auto"/>
                <w:kern w:val="44"/>
                <w:sz w:val="21"/>
                <w:szCs w:val="21"/>
                <w:highlight w:val="none"/>
              </w:rPr>
            </w:pPr>
            <w:r>
              <w:rPr>
                <w:rFonts w:hint="eastAsia" w:ascii="仿宋_GB2312" w:hAnsi="仿宋_GB2312" w:eastAsia="仿宋_GB2312" w:cs="仿宋_GB2312"/>
                <w:color w:val="auto"/>
                <w:kern w:val="44"/>
                <w:sz w:val="21"/>
                <w:szCs w:val="21"/>
                <w:highlight w:val="none"/>
              </w:rPr>
              <w:t>3.中：内容不够详细、不够完整，表述不够清晰、不够严谨，不够合理、可行性一般得</w:t>
            </w:r>
            <w:r>
              <w:rPr>
                <w:rFonts w:hint="eastAsia" w:ascii="仿宋_GB2312" w:hAnsi="仿宋_GB2312" w:eastAsia="仿宋_GB2312" w:cs="仿宋_GB2312"/>
                <w:color w:val="auto"/>
                <w:kern w:val="44"/>
                <w:sz w:val="21"/>
                <w:szCs w:val="21"/>
                <w:highlight w:val="none"/>
                <w:lang w:val="en-US" w:eastAsia="zh-CN"/>
              </w:rPr>
              <w:t>2分</w:t>
            </w:r>
            <w:r>
              <w:rPr>
                <w:rFonts w:hint="eastAsia" w:ascii="仿宋_GB2312" w:hAnsi="仿宋_GB2312" w:eastAsia="仿宋_GB2312" w:cs="仿宋_GB2312"/>
                <w:color w:val="auto"/>
                <w:kern w:val="44"/>
                <w:sz w:val="21"/>
                <w:szCs w:val="21"/>
                <w:highlight w:val="none"/>
              </w:rPr>
              <w:t>；</w:t>
            </w:r>
          </w:p>
          <w:p>
            <w:pPr>
              <w:spacing w:line="280" w:lineRule="exact"/>
              <w:rPr>
                <w:rFonts w:hint="eastAsia" w:ascii="仿宋_GB2312" w:hAnsi="仿宋_GB2312" w:eastAsia="仿宋_GB2312" w:cs="仿宋_GB2312"/>
                <w:color w:val="auto"/>
                <w:kern w:val="44"/>
                <w:sz w:val="21"/>
                <w:szCs w:val="21"/>
                <w:highlight w:val="none"/>
              </w:rPr>
            </w:pPr>
            <w:r>
              <w:rPr>
                <w:rFonts w:hint="eastAsia" w:ascii="仿宋_GB2312" w:hAnsi="仿宋_GB2312" w:eastAsia="仿宋_GB2312" w:cs="仿宋_GB2312"/>
                <w:color w:val="auto"/>
                <w:kern w:val="44"/>
                <w:sz w:val="21"/>
                <w:szCs w:val="21"/>
                <w:highlight w:val="none"/>
              </w:rPr>
              <w:t>4.差：内容不详细、不完整，表述不清晰、不严谨不合理、可行性差不得分。</w:t>
            </w:r>
          </w:p>
        </w:tc>
        <w:tc>
          <w:tcPr>
            <w:tcW w:w="1318" w:type="pct"/>
            <w:vMerge w:val="continue"/>
            <w:tcBorders>
              <w:left w:val="nil"/>
              <w:right w:val="single" w:color="auto" w:sz="4" w:space="0"/>
            </w:tcBorders>
            <w:vAlign w:val="center"/>
          </w:tcPr>
          <w:p>
            <w:pPr>
              <w:rPr>
                <w:rFonts w:hint="eastAsia" w:ascii="仿宋_GB2312" w:hAnsi="仿宋_GB2312"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7" w:hRule="atLeast"/>
        </w:trPr>
        <w:tc>
          <w:tcPr>
            <w:tcW w:w="235" w:type="pct"/>
            <w:vMerge w:val="restart"/>
            <w:tcBorders>
              <w:left w:val="single" w:color="auto" w:sz="4" w:space="0"/>
              <w:right w:val="single" w:color="auto" w:sz="4" w:space="0"/>
            </w:tcBorders>
            <w:vAlign w:val="center"/>
          </w:tcPr>
          <w:p>
            <w:pPr>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3</w:t>
            </w:r>
          </w:p>
        </w:tc>
        <w:tc>
          <w:tcPr>
            <w:tcW w:w="351" w:type="pct"/>
            <w:vMerge w:val="restart"/>
            <w:tcBorders>
              <w:left w:val="nil"/>
              <w:right w:val="single" w:color="auto" w:sz="4" w:space="0"/>
            </w:tcBorders>
            <w:vAlign w:val="center"/>
          </w:tcPr>
          <w:p>
            <w:pPr>
              <w:snapToGrid w:val="0"/>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eastAsia="zh-CN"/>
              </w:rPr>
              <w:t>综合实力</w:t>
            </w:r>
            <w:r>
              <w:rPr>
                <w:rFonts w:hint="eastAsia" w:ascii="仿宋_GB2312" w:hAnsi="仿宋_GB2312" w:eastAsia="仿宋_GB2312" w:cs="仿宋_GB2312"/>
                <w:color w:val="auto"/>
                <w:kern w:val="0"/>
                <w:sz w:val="21"/>
                <w:szCs w:val="21"/>
                <w:highlight w:val="none"/>
              </w:rPr>
              <w:t>（</w:t>
            </w:r>
            <w:r>
              <w:rPr>
                <w:rFonts w:hint="eastAsia" w:ascii="仿宋_GB2312" w:hAnsi="仿宋_GB2312" w:cs="仿宋_GB2312"/>
                <w:color w:val="auto"/>
                <w:kern w:val="0"/>
                <w:sz w:val="21"/>
                <w:szCs w:val="21"/>
                <w:highlight w:val="none"/>
                <w:lang w:val="en-US" w:eastAsia="zh-CN"/>
              </w:rPr>
              <w:t>10</w:t>
            </w:r>
            <w:r>
              <w:rPr>
                <w:rFonts w:hint="eastAsia" w:ascii="仿宋_GB2312" w:hAnsi="仿宋_GB2312" w:eastAsia="仿宋_GB2312" w:cs="仿宋_GB2312"/>
                <w:color w:val="auto"/>
                <w:kern w:val="0"/>
                <w:sz w:val="21"/>
                <w:szCs w:val="21"/>
                <w:highlight w:val="none"/>
              </w:rPr>
              <w:t>分）</w:t>
            </w:r>
          </w:p>
        </w:tc>
        <w:tc>
          <w:tcPr>
            <w:tcW w:w="351" w:type="pct"/>
            <w:tcBorders>
              <w:top w:val="single" w:color="auto" w:sz="4" w:space="0"/>
              <w:left w:val="nil"/>
              <w:bottom w:val="single" w:color="auto" w:sz="4" w:space="0"/>
              <w:right w:val="single" w:color="auto" w:sz="4" w:space="0"/>
            </w:tcBorders>
            <w:vAlign w:val="center"/>
          </w:tcPr>
          <w:p>
            <w:pPr>
              <w:snapToGrid w:val="0"/>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同类项目经验情况</w:t>
            </w:r>
          </w:p>
        </w:tc>
        <w:tc>
          <w:tcPr>
            <w:tcW w:w="235" w:type="pct"/>
            <w:tcBorders>
              <w:top w:val="single" w:color="auto" w:sz="4" w:space="0"/>
              <w:left w:val="nil"/>
              <w:bottom w:val="single" w:color="auto" w:sz="4" w:space="0"/>
              <w:right w:val="single" w:color="auto" w:sz="4" w:space="0"/>
            </w:tcBorders>
            <w:vAlign w:val="center"/>
          </w:tcPr>
          <w:p>
            <w:pPr>
              <w:snapToGrid w:val="0"/>
              <w:jc w:val="center"/>
              <w:rPr>
                <w:rStyle w:val="22"/>
                <w:rFonts w:hint="eastAsia" w:ascii="仿宋_GB2312" w:hAnsi="仿宋_GB2312" w:eastAsia="仿宋_GB2312" w:cs="仿宋_GB2312"/>
                <w:b w:val="0"/>
                <w:bCs w:val="0"/>
                <w:color w:val="auto"/>
                <w:sz w:val="21"/>
                <w:szCs w:val="21"/>
                <w:highlight w:val="none"/>
                <w:lang w:eastAsia="zh-CN"/>
              </w:rPr>
            </w:pPr>
            <w:r>
              <w:rPr>
                <w:rStyle w:val="22"/>
                <w:rFonts w:hint="eastAsia" w:ascii="仿宋_GB2312" w:hAnsi="仿宋_GB2312" w:cs="仿宋_GB2312"/>
                <w:b w:val="0"/>
                <w:bCs w:val="0"/>
                <w:color w:val="auto"/>
                <w:sz w:val="21"/>
                <w:szCs w:val="21"/>
                <w:highlight w:val="none"/>
                <w:lang w:val="en-US" w:eastAsia="zh-CN"/>
              </w:rPr>
              <w:t>7</w:t>
            </w:r>
          </w:p>
        </w:tc>
        <w:tc>
          <w:tcPr>
            <w:tcW w:w="2508" w:type="pct"/>
            <w:tcBorders>
              <w:top w:val="single" w:color="auto" w:sz="4" w:space="0"/>
              <w:left w:val="nil"/>
              <w:bottom w:val="single" w:color="auto" w:sz="4" w:space="0"/>
              <w:right w:val="single" w:color="auto" w:sz="4" w:space="0"/>
            </w:tcBorders>
            <w:vAlign w:val="center"/>
          </w:tcPr>
          <w:p>
            <w:pPr>
              <w:spacing w:line="280" w:lineRule="exact"/>
              <w:rPr>
                <w:rFonts w:hint="eastAsia" w:ascii="仿宋_GB2312" w:hAnsi="仿宋_GB2312" w:eastAsia="仿宋_GB2312" w:cs="仿宋_GB2312"/>
                <w:color w:val="auto"/>
                <w:kern w:val="44"/>
                <w:sz w:val="21"/>
                <w:szCs w:val="21"/>
                <w:highlight w:val="none"/>
                <w:lang w:eastAsia="zh-TW"/>
              </w:rPr>
            </w:pPr>
            <w:r>
              <w:rPr>
                <w:rFonts w:hint="eastAsia" w:ascii="仿宋_GB2312" w:hAnsi="仿宋_GB2312" w:eastAsia="仿宋_GB2312" w:cs="仿宋_GB2312"/>
                <w:color w:val="auto"/>
                <w:kern w:val="44"/>
                <w:sz w:val="21"/>
                <w:szCs w:val="21"/>
                <w:highlight w:val="none"/>
                <w:lang w:eastAsia="zh-TW"/>
              </w:rPr>
              <w:t>投标人提供20</w:t>
            </w:r>
            <w:r>
              <w:rPr>
                <w:rFonts w:hint="eastAsia" w:ascii="仿宋_GB2312" w:hAnsi="仿宋_GB2312" w:cs="仿宋_GB2312"/>
                <w:color w:val="auto"/>
                <w:kern w:val="44"/>
                <w:sz w:val="21"/>
                <w:szCs w:val="21"/>
                <w:highlight w:val="none"/>
                <w:lang w:val="en-US" w:eastAsia="zh-CN"/>
              </w:rPr>
              <w:t>22</w:t>
            </w:r>
            <w:r>
              <w:rPr>
                <w:rFonts w:hint="eastAsia" w:ascii="仿宋_GB2312" w:hAnsi="仿宋_GB2312" w:eastAsia="仿宋_GB2312" w:cs="仿宋_GB2312"/>
                <w:color w:val="auto"/>
                <w:kern w:val="44"/>
                <w:sz w:val="21"/>
                <w:szCs w:val="21"/>
                <w:highlight w:val="none"/>
                <w:lang w:eastAsia="zh-TW"/>
              </w:rPr>
              <w:t>年以来至本项目投标截止之日的项目业绩（以该类合同签订时间为准），投标人具有：</w:t>
            </w:r>
          </w:p>
          <w:p>
            <w:pPr>
              <w:spacing w:line="280" w:lineRule="exact"/>
              <w:rPr>
                <w:rFonts w:hint="eastAsia" w:ascii="仿宋_GB2312" w:hAnsi="仿宋_GB2312" w:eastAsia="仿宋_GB2312" w:cs="仿宋_GB2312"/>
                <w:color w:val="auto"/>
                <w:kern w:val="44"/>
                <w:sz w:val="21"/>
                <w:szCs w:val="21"/>
                <w:highlight w:val="none"/>
                <w:lang w:eastAsia="zh-TW"/>
              </w:rPr>
            </w:pPr>
            <w:r>
              <w:rPr>
                <w:rFonts w:hint="eastAsia" w:ascii="仿宋_GB2312" w:hAnsi="仿宋_GB2312" w:eastAsia="仿宋_GB2312" w:cs="仿宋_GB2312"/>
                <w:color w:val="auto"/>
                <w:kern w:val="44"/>
                <w:sz w:val="21"/>
                <w:szCs w:val="21"/>
                <w:highlight w:val="none"/>
                <w:lang w:eastAsia="zh-TW"/>
              </w:rPr>
              <w:t>1.具有政府部门或事业单位集体资产或股份合作公司综合监管系统运行类项目业绩的，每提供一个有效案例经验</w:t>
            </w:r>
            <w:r>
              <w:rPr>
                <w:rFonts w:hint="eastAsia" w:ascii="仿宋_GB2312" w:hAnsi="仿宋_GB2312" w:eastAsia="仿宋_GB2312" w:cs="仿宋_GB2312"/>
                <w:color w:val="auto"/>
                <w:kern w:val="44"/>
                <w:sz w:val="21"/>
                <w:szCs w:val="21"/>
                <w:highlight w:val="none"/>
                <w:lang w:eastAsia="zh-CN"/>
              </w:rPr>
              <w:t>得</w:t>
            </w:r>
            <w:r>
              <w:rPr>
                <w:rFonts w:hint="eastAsia" w:ascii="仿宋_GB2312" w:hAnsi="仿宋_GB2312" w:cs="仿宋_GB2312"/>
                <w:color w:val="auto"/>
                <w:kern w:val="44"/>
                <w:sz w:val="21"/>
                <w:szCs w:val="21"/>
                <w:highlight w:val="none"/>
                <w:lang w:val="en-US" w:eastAsia="zh-CN"/>
              </w:rPr>
              <w:t>3</w:t>
            </w:r>
            <w:r>
              <w:rPr>
                <w:rFonts w:hint="eastAsia" w:ascii="仿宋_GB2312" w:hAnsi="仿宋_GB2312" w:eastAsia="仿宋_GB2312" w:cs="仿宋_GB2312"/>
                <w:color w:val="auto"/>
                <w:kern w:val="44"/>
                <w:sz w:val="21"/>
                <w:szCs w:val="21"/>
                <w:highlight w:val="none"/>
                <w:lang w:val="en-US" w:eastAsia="zh-CN"/>
              </w:rPr>
              <w:t>分</w:t>
            </w:r>
            <w:r>
              <w:rPr>
                <w:rFonts w:hint="eastAsia" w:ascii="仿宋_GB2312" w:hAnsi="仿宋_GB2312" w:eastAsia="仿宋_GB2312" w:cs="仿宋_GB2312"/>
                <w:color w:val="auto"/>
                <w:kern w:val="44"/>
                <w:sz w:val="21"/>
                <w:szCs w:val="21"/>
                <w:highlight w:val="none"/>
                <w:lang w:eastAsia="zh-TW"/>
              </w:rPr>
              <w:t>，</w:t>
            </w:r>
            <w:r>
              <w:rPr>
                <w:rFonts w:hint="eastAsia" w:ascii="仿宋_GB2312" w:hAnsi="仿宋_GB2312" w:eastAsia="仿宋_GB2312" w:cs="仿宋_GB2312"/>
                <w:color w:val="auto"/>
                <w:kern w:val="44"/>
                <w:sz w:val="21"/>
                <w:szCs w:val="21"/>
                <w:highlight w:val="none"/>
                <w:lang w:eastAsia="zh-CN"/>
              </w:rPr>
              <w:t>满分</w:t>
            </w:r>
            <w:r>
              <w:rPr>
                <w:rFonts w:hint="eastAsia" w:ascii="仿宋_GB2312" w:hAnsi="仿宋_GB2312" w:cs="仿宋_GB2312"/>
                <w:color w:val="auto"/>
                <w:kern w:val="44"/>
                <w:sz w:val="21"/>
                <w:szCs w:val="21"/>
                <w:highlight w:val="none"/>
                <w:lang w:val="en-US" w:eastAsia="zh-CN"/>
              </w:rPr>
              <w:t>3</w:t>
            </w:r>
            <w:r>
              <w:rPr>
                <w:rFonts w:hint="eastAsia" w:ascii="仿宋_GB2312" w:hAnsi="仿宋_GB2312" w:eastAsia="仿宋_GB2312" w:cs="仿宋_GB2312"/>
                <w:color w:val="auto"/>
                <w:kern w:val="44"/>
                <w:sz w:val="21"/>
                <w:szCs w:val="21"/>
                <w:highlight w:val="none"/>
                <w:lang w:val="en-US" w:eastAsia="zh-CN"/>
              </w:rPr>
              <w:t>分</w:t>
            </w:r>
            <w:r>
              <w:rPr>
                <w:rFonts w:hint="eastAsia" w:ascii="仿宋_GB2312" w:hAnsi="仿宋_GB2312" w:eastAsia="仿宋_GB2312" w:cs="仿宋_GB2312"/>
                <w:color w:val="auto"/>
                <w:kern w:val="44"/>
                <w:sz w:val="21"/>
                <w:szCs w:val="21"/>
                <w:highlight w:val="none"/>
                <w:lang w:eastAsia="zh-TW"/>
              </w:rPr>
              <w:t>。</w:t>
            </w:r>
          </w:p>
          <w:p>
            <w:pPr>
              <w:spacing w:line="280" w:lineRule="exact"/>
              <w:rPr>
                <w:rFonts w:hint="eastAsia" w:ascii="仿宋_GB2312" w:hAnsi="仿宋_GB2312" w:eastAsia="仿宋_GB2312" w:cs="仿宋_GB2312"/>
                <w:color w:val="auto"/>
                <w:kern w:val="44"/>
                <w:sz w:val="21"/>
                <w:szCs w:val="21"/>
                <w:highlight w:val="none"/>
                <w:lang w:eastAsia="zh-TW"/>
              </w:rPr>
            </w:pPr>
            <w:r>
              <w:rPr>
                <w:rFonts w:hint="eastAsia" w:ascii="仿宋_GB2312" w:hAnsi="仿宋_GB2312" w:eastAsia="仿宋_GB2312" w:cs="仿宋_GB2312"/>
                <w:color w:val="auto"/>
                <w:kern w:val="44"/>
                <w:sz w:val="21"/>
                <w:szCs w:val="21"/>
                <w:highlight w:val="none"/>
                <w:lang w:eastAsia="zh-TW"/>
              </w:rPr>
              <w:t>2.具有政府部门或事业单位</w:t>
            </w:r>
            <w:r>
              <w:rPr>
                <w:rFonts w:hint="eastAsia" w:ascii="仿宋_GB2312" w:hAnsi="仿宋_GB2312" w:eastAsia="仿宋_GB2312" w:cs="仿宋_GB2312"/>
                <w:color w:val="auto"/>
                <w:kern w:val="44"/>
                <w:sz w:val="21"/>
                <w:szCs w:val="21"/>
                <w:highlight w:val="none"/>
                <w:lang w:eastAsia="zh-CN"/>
              </w:rPr>
              <w:t>数据分析</w:t>
            </w:r>
            <w:r>
              <w:rPr>
                <w:rFonts w:hint="eastAsia" w:ascii="仿宋_GB2312" w:hAnsi="仿宋_GB2312" w:cs="仿宋_GB2312"/>
                <w:color w:val="auto"/>
                <w:kern w:val="44"/>
                <w:sz w:val="21"/>
                <w:szCs w:val="21"/>
                <w:highlight w:val="none"/>
                <w:lang w:eastAsia="zh-CN"/>
              </w:rPr>
              <w:t>类或</w:t>
            </w:r>
            <w:r>
              <w:rPr>
                <w:rFonts w:hint="eastAsia" w:ascii="仿宋_GB2312" w:hAnsi="仿宋_GB2312" w:eastAsia="仿宋_GB2312" w:cs="仿宋_GB2312"/>
                <w:color w:val="auto"/>
                <w:kern w:val="44"/>
                <w:sz w:val="21"/>
                <w:szCs w:val="21"/>
                <w:highlight w:val="none"/>
                <w:lang w:eastAsia="zh-CN"/>
              </w:rPr>
              <w:t>系统运营类</w:t>
            </w:r>
            <w:r>
              <w:rPr>
                <w:rFonts w:hint="eastAsia" w:ascii="仿宋_GB2312" w:hAnsi="仿宋_GB2312" w:cs="仿宋_GB2312"/>
                <w:color w:val="auto"/>
                <w:kern w:val="44"/>
                <w:sz w:val="21"/>
                <w:szCs w:val="21"/>
                <w:highlight w:val="none"/>
                <w:lang w:eastAsia="zh-CN"/>
              </w:rPr>
              <w:t>或人才服务类</w:t>
            </w:r>
            <w:r>
              <w:rPr>
                <w:rFonts w:hint="eastAsia" w:ascii="仿宋_GB2312" w:hAnsi="仿宋_GB2312" w:eastAsia="仿宋_GB2312" w:cs="仿宋_GB2312"/>
                <w:color w:val="auto"/>
                <w:kern w:val="44"/>
                <w:sz w:val="21"/>
                <w:szCs w:val="21"/>
                <w:highlight w:val="none"/>
                <w:lang w:eastAsia="zh-TW"/>
              </w:rPr>
              <w:t>项目业绩的，每提供一个有效案例经验</w:t>
            </w:r>
            <w:r>
              <w:rPr>
                <w:rFonts w:hint="eastAsia" w:ascii="仿宋_GB2312" w:hAnsi="仿宋_GB2312" w:eastAsia="仿宋_GB2312" w:cs="仿宋_GB2312"/>
                <w:color w:val="auto"/>
                <w:kern w:val="44"/>
                <w:sz w:val="21"/>
                <w:szCs w:val="21"/>
                <w:highlight w:val="none"/>
                <w:lang w:eastAsia="zh-CN"/>
              </w:rPr>
              <w:t>得</w:t>
            </w:r>
            <w:r>
              <w:rPr>
                <w:rFonts w:hint="eastAsia" w:ascii="仿宋_GB2312" w:hAnsi="仿宋_GB2312" w:eastAsia="仿宋_GB2312" w:cs="仿宋_GB2312"/>
                <w:color w:val="auto"/>
                <w:kern w:val="44"/>
                <w:sz w:val="21"/>
                <w:szCs w:val="21"/>
                <w:highlight w:val="none"/>
                <w:lang w:val="en-US" w:eastAsia="zh-CN"/>
              </w:rPr>
              <w:t>1分，满分</w:t>
            </w:r>
            <w:r>
              <w:rPr>
                <w:rFonts w:hint="eastAsia" w:ascii="仿宋_GB2312" w:hAnsi="仿宋_GB2312" w:cs="仿宋_GB2312"/>
                <w:color w:val="auto"/>
                <w:kern w:val="44"/>
                <w:sz w:val="21"/>
                <w:szCs w:val="21"/>
                <w:highlight w:val="none"/>
                <w:lang w:val="en-US" w:eastAsia="zh-CN"/>
              </w:rPr>
              <w:t>4</w:t>
            </w:r>
            <w:r>
              <w:rPr>
                <w:rFonts w:hint="eastAsia" w:ascii="仿宋_GB2312" w:hAnsi="仿宋_GB2312" w:eastAsia="仿宋_GB2312" w:cs="仿宋_GB2312"/>
                <w:color w:val="auto"/>
                <w:kern w:val="44"/>
                <w:sz w:val="21"/>
                <w:szCs w:val="21"/>
                <w:highlight w:val="none"/>
                <w:lang w:eastAsia="zh-TW"/>
              </w:rPr>
              <w:t>分。</w:t>
            </w:r>
          </w:p>
          <w:p>
            <w:pPr>
              <w:spacing w:line="280" w:lineRule="exact"/>
              <w:rPr>
                <w:rFonts w:hint="eastAsia" w:ascii="仿宋_GB2312" w:hAnsi="仿宋_GB2312" w:eastAsia="仿宋_GB2312" w:cs="仿宋_GB2312"/>
                <w:color w:val="auto"/>
                <w:kern w:val="44"/>
                <w:sz w:val="21"/>
                <w:szCs w:val="21"/>
                <w:highlight w:val="none"/>
                <w:lang w:eastAsia="zh-TW"/>
              </w:rPr>
            </w:pPr>
            <w:r>
              <w:rPr>
                <w:rFonts w:hint="eastAsia" w:ascii="仿宋_GB2312" w:hAnsi="仿宋_GB2312" w:eastAsia="仿宋_GB2312" w:cs="仿宋_GB2312"/>
                <w:color w:val="auto"/>
                <w:kern w:val="44"/>
                <w:sz w:val="21"/>
                <w:szCs w:val="21"/>
                <w:highlight w:val="none"/>
                <w:lang w:eastAsia="zh-TW"/>
              </w:rPr>
              <w:t>以上</w:t>
            </w:r>
            <w:r>
              <w:rPr>
                <w:rFonts w:hint="eastAsia" w:ascii="仿宋_GB2312" w:hAnsi="仿宋_GB2312" w:cs="仿宋_GB2312"/>
                <w:color w:val="auto"/>
                <w:kern w:val="44"/>
                <w:sz w:val="21"/>
                <w:szCs w:val="21"/>
                <w:highlight w:val="none"/>
                <w:lang w:val="en-US" w:eastAsia="zh-CN"/>
              </w:rPr>
              <w:t>2</w:t>
            </w:r>
            <w:r>
              <w:rPr>
                <w:rFonts w:hint="eastAsia" w:ascii="仿宋_GB2312" w:hAnsi="仿宋_GB2312" w:eastAsia="仿宋_GB2312" w:cs="仿宋_GB2312"/>
                <w:color w:val="auto"/>
                <w:kern w:val="44"/>
                <w:sz w:val="21"/>
                <w:szCs w:val="21"/>
                <w:highlight w:val="none"/>
                <w:lang w:eastAsia="zh-TW"/>
              </w:rPr>
              <w:t>项得分累计，满分</w:t>
            </w:r>
            <w:r>
              <w:rPr>
                <w:rFonts w:hint="eastAsia" w:ascii="仿宋_GB2312" w:hAnsi="仿宋_GB2312" w:cs="仿宋_GB2312"/>
                <w:color w:val="auto"/>
                <w:kern w:val="44"/>
                <w:sz w:val="21"/>
                <w:szCs w:val="21"/>
                <w:highlight w:val="none"/>
                <w:lang w:val="en-US" w:eastAsia="zh-CN"/>
              </w:rPr>
              <w:t>7</w:t>
            </w:r>
            <w:r>
              <w:rPr>
                <w:rFonts w:hint="eastAsia" w:ascii="仿宋_GB2312" w:hAnsi="仿宋_GB2312" w:eastAsia="仿宋_GB2312" w:cs="仿宋_GB2312"/>
                <w:color w:val="auto"/>
                <w:kern w:val="44"/>
                <w:sz w:val="21"/>
                <w:szCs w:val="21"/>
                <w:highlight w:val="none"/>
                <w:lang w:eastAsia="zh-TW"/>
              </w:rPr>
              <w:t>分。</w:t>
            </w:r>
          </w:p>
          <w:p>
            <w:pPr>
              <w:spacing w:line="280" w:lineRule="exact"/>
              <w:rPr>
                <w:rFonts w:hint="eastAsia" w:ascii="仿宋_GB2312" w:hAnsi="仿宋_GB2312" w:eastAsia="仿宋_GB2312" w:cs="仿宋_GB2312"/>
                <w:color w:val="auto"/>
                <w:kern w:val="44"/>
                <w:sz w:val="21"/>
                <w:szCs w:val="21"/>
                <w:highlight w:val="none"/>
                <w:lang w:eastAsia="zh-TW"/>
              </w:rPr>
            </w:pPr>
            <w:r>
              <w:rPr>
                <w:rFonts w:hint="eastAsia" w:ascii="仿宋_GB2312" w:hAnsi="仿宋_GB2312" w:eastAsia="仿宋_GB2312" w:cs="仿宋_GB2312"/>
                <w:color w:val="auto"/>
                <w:kern w:val="44"/>
                <w:sz w:val="21"/>
                <w:szCs w:val="21"/>
                <w:highlight w:val="none"/>
                <w:lang w:val="en-US" w:eastAsia="zh-CN"/>
              </w:rPr>
              <w:t>针对1、2项内容，</w:t>
            </w:r>
            <w:r>
              <w:rPr>
                <w:rFonts w:hint="eastAsia" w:ascii="仿宋_GB2312" w:hAnsi="仿宋_GB2312" w:eastAsia="仿宋_GB2312" w:cs="仿宋_GB2312"/>
                <w:color w:val="auto"/>
                <w:kern w:val="44"/>
                <w:sz w:val="21"/>
                <w:szCs w:val="21"/>
                <w:highlight w:val="none"/>
                <w:lang w:eastAsia="zh-TW"/>
              </w:rPr>
              <w:t>同一</w:t>
            </w:r>
            <w:r>
              <w:rPr>
                <w:rFonts w:hint="eastAsia" w:ascii="仿宋_GB2312" w:hAnsi="仿宋_GB2312" w:eastAsia="仿宋_GB2312" w:cs="仿宋_GB2312"/>
                <w:color w:val="auto"/>
                <w:kern w:val="44"/>
                <w:sz w:val="21"/>
                <w:szCs w:val="21"/>
                <w:highlight w:val="none"/>
                <w:lang w:eastAsia="zh-CN"/>
              </w:rPr>
              <w:t>案例</w:t>
            </w:r>
            <w:r>
              <w:rPr>
                <w:rFonts w:hint="eastAsia" w:ascii="仿宋_GB2312" w:hAnsi="仿宋_GB2312" w:eastAsia="仿宋_GB2312" w:cs="仿宋_GB2312"/>
                <w:color w:val="auto"/>
                <w:kern w:val="44"/>
                <w:sz w:val="21"/>
                <w:szCs w:val="21"/>
                <w:highlight w:val="none"/>
                <w:lang w:eastAsia="zh-TW"/>
              </w:rPr>
              <w:t>不重复计分</w:t>
            </w:r>
            <w:r>
              <w:rPr>
                <w:rFonts w:hint="eastAsia" w:ascii="仿宋_GB2312" w:hAnsi="仿宋_GB2312" w:eastAsia="仿宋_GB2312" w:cs="仿宋_GB2312"/>
                <w:color w:val="auto"/>
                <w:kern w:val="44"/>
                <w:sz w:val="21"/>
                <w:szCs w:val="21"/>
                <w:highlight w:val="none"/>
                <w:lang w:eastAsia="zh-CN"/>
              </w:rPr>
              <w:t>。</w:t>
            </w:r>
          </w:p>
          <w:p>
            <w:pPr>
              <w:spacing w:line="280" w:lineRule="exact"/>
              <w:rPr>
                <w:rFonts w:hint="eastAsia" w:ascii="仿宋_GB2312" w:hAnsi="仿宋_GB2312" w:eastAsia="仿宋_GB2312" w:cs="仿宋_GB2312"/>
                <w:color w:val="auto"/>
                <w:kern w:val="44"/>
                <w:sz w:val="21"/>
                <w:szCs w:val="21"/>
                <w:highlight w:val="none"/>
                <w:lang w:eastAsia="zh-TW"/>
              </w:rPr>
            </w:pPr>
            <w:r>
              <w:rPr>
                <w:rFonts w:hint="eastAsia" w:ascii="仿宋_GB2312" w:hAnsi="仿宋_GB2312" w:eastAsia="仿宋_GB2312" w:cs="仿宋_GB2312"/>
                <w:color w:val="auto"/>
                <w:kern w:val="44"/>
                <w:sz w:val="21"/>
                <w:szCs w:val="21"/>
                <w:highlight w:val="none"/>
                <w:lang w:eastAsia="zh-TW"/>
              </w:rPr>
              <w:t>注：出现无证明资料或采购人无法凭所提供资料判断是否得分的情况，一律作不得分处理。</w:t>
            </w:r>
          </w:p>
        </w:tc>
        <w:tc>
          <w:tcPr>
            <w:tcW w:w="1318" w:type="pct"/>
            <w:tcBorders>
              <w:top w:val="single" w:color="auto" w:sz="4" w:space="0"/>
              <w:left w:val="nil"/>
              <w:bottom w:val="single" w:color="auto" w:sz="4" w:space="0"/>
              <w:right w:val="single" w:color="auto" w:sz="4" w:space="0"/>
            </w:tcBorders>
            <w:vAlign w:val="center"/>
          </w:tcPr>
          <w:p>
            <w:pPr>
              <w:spacing w:line="280" w:lineRule="exact"/>
              <w:rPr>
                <w:rFonts w:hint="eastAsia" w:ascii="仿宋_GB2312" w:hAnsi="仿宋_GB2312" w:eastAsia="仿宋_GB2312" w:cs="仿宋_GB2312"/>
                <w:color w:val="auto"/>
                <w:kern w:val="44"/>
                <w:sz w:val="21"/>
                <w:szCs w:val="21"/>
                <w:highlight w:val="none"/>
                <w:lang w:eastAsia="zh-TW"/>
              </w:rPr>
            </w:pPr>
            <w:r>
              <w:rPr>
                <w:rFonts w:hint="eastAsia" w:ascii="仿宋_GB2312" w:hAnsi="仿宋_GB2312" w:eastAsia="仿宋_GB2312" w:cs="仿宋_GB2312"/>
                <w:color w:val="auto"/>
                <w:kern w:val="44"/>
                <w:sz w:val="21"/>
                <w:szCs w:val="21"/>
                <w:highlight w:val="none"/>
                <w:lang w:eastAsia="zh-TW"/>
              </w:rPr>
              <w:t>按以下要求提供所有证明材料：</w:t>
            </w:r>
          </w:p>
          <w:p>
            <w:pPr>
              <w:spacing w:line="280" w:lineRule="exact"/>
              <w:rPr>
                <w:rFonts w:hint="eastAsia" w:ascii="仿宋_GB2312" w:hAnsi="仿宋_GB2312" w:eastAsia="仿宋_GB2312" w:cs="仿宋_GB2312"/>
                <w:color w:val="auto"/>
                <w:kern w:val="44"/>
                <w:sz w:val="21"/>
                <w:szCs w:val="21"/>
                <w:highlight w:val="none"/>
                <w:lang w:eastAsia="zh-TW"/>
              </w:rPr>
            </w:pPr>
            <w:r>
              <w:rPr>
                <w:rFonts w:hint="eastAsia" w:ascii="仿宋_GB2312" w:hAnsi="仿宋_GB2312" w:eastAsia="仿宋_GB2312" w:cs="仿宋_GB2312"/>
                <w:color w:val="auto"/>
                <w:kern w:val="44"/>
                <w:sz w:val="21"/>
                <w:szCs w:val="21"/>
                <w:highlight w:val="none"/>
                <w:lang w:eastAsia="zh-TW"/>
              </w:rPr>
              <w:t>提供合同或协议关键页复印件，需包括甲乙双方盖章页、合作项目名称、签订时间。</w:t>
            </w:r>
          </w:p>
          <w:p>
            <w:pPr>
              <w:spacing w:line="280" w:lineRule="exact"/>
              <w:rPr>
                <w:rFonts w:hint="eastAsia" w:ascii="仿宋_GB2312" w:hAnsi="仿宋_GB2312" w:eastAsia="仿宋_GB2312" w:cs="仿宋_GB2312"/>
                <w:color w:val="auto"/>
                <w:kern w:val="44"/>
                <w:sz w:val="21"/>
                <w:szCs w:val="21"/>
                <w:highlight w:val="none"/>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atLeast"/>
        </w:trPr>
        <w:tc>
          <w:tcPr>
            <w:tcW w:w="235" w:type="pct"/>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color w:val="auto"/>
                <w:sz w:val="21"/>
                <w:szCs w:val="21"/>
                <w:highlight w:val="none"/>
              </w:rPr>
            </w:pPr>
          </w:p>
        </w:tc>
        <w:tc>
          <w:tcPr>
            <w:tcW w:w="351" w:type="pct"/>
            <w:vMerge w:val="continue"/>
            <w:tcBorders>
              <w:left w:val="nil"/>
              <w:right w:val="single" w:color="auto" w:sz="4" w:space="0"/>
            </w:tcBorders>
            <w:vAlign w:val="center"/>
          </w:tcPr>
          <w:p>
            <w:pPr>
              <w:snapToGrid w:val="0"/>
              <w:jc w:val="center"/>
              <w:rPr>
                <w:rFonts w:hint="eastAsia" w:ascii="仿宋_GB2312" w:hAnsi="仿宋_GB2312" w:eastAsia="仿宋_GB2312" w:cs="仿宋_GB2312"/>
                <w:color w:val="auto"/>
                <w:kern w:val="0"/>
                <w:sz w:val="21"/>
                <w:szCs w:val="21"/>
                <w:highlight w:val="none"/>
              </w:rPr>
            </w:pPr>
          </w:p>
        </w:tc>
        <w:tc>
          <w:tcPr>
            <w:tcW w:w="351" w:type="pct"/>
            <w:tcBorders>
              <w:top w:val="single" w:color="auto" w:sz="4" w:space="0"/>
              <w:left w:val="nil"/>
              <w:bottom w:val="single" w:color="auto" w:sz="4" w:space="0"/>
              <w:right w:val="single" w:color="auto" w:sz="4" w:space="0"/>
            </w:tcBorders>
            <w:vAlign w:val="center"/>
          </w:tcPr>
          <w:p>
            <w:pPr>
              <w:pStyle w:val="2"/>
              <w:rPr>
                <w:rFonts w:hint="eastAsia" w:eastAsia="宋体"/>
                <w:color w:val="auto"/>
                <w:lang w:eastAsia="zh-CN"/>
              </w:rPr>
            </w:pPr>
            <w:r>
              <w:rPr>
                <w:rFonts w:hint="eastAsia" w:ascii="仿宋_GB2312" w:hAnsi="仿宋_GB2312" w:eastAsia="仿宋_GB2312" w:cs="仿宋_GB2312"/>
                <w:color w:val="auto"/>
                <w:szCs w:val="21"/>
              </w:rPr>
              <w:t>信息化能力</w:t>
            </w:r>
          </w:p>
        </w:tc>
        <w:tc>
          <w:tcPr>
            <w:tcW w:w="235" w:type="pct"/>
            <w:tcBorders>
              <w:top w:val="single" w:color="auto" w:sz="4" w:space="0"/>
              <w:left w:val="nil"/>
              <w:bottom w:val="single" w:color="auto" w:sz="4" w:space="0"/>
              <w:right w:val="single" w:color="auto" w:sz="4" w:space="0"/>
            </w:tcBorders>
            <w:vAlign w:val="center"/>
          </w:tcPr>
          <w:p>
            <w:pPr>
              <w:snapToGrid w:val="0"/>
              <w:jc w:val="center"/>
              <w:rPr>
                <w:rStyle w:val="22"/>
                <w:rFonts w:hint="default" w:ascii="仿宋_GB2312" w:hAnsi="仿宋_GB2312" w:eastAsia="仿宋_GB2312" w:cs="仿宋_GB2312"/>
                <w:b w:val="0"/>
                <w:bCs w:val="0"/>
                <w:color w:val="auto"/>
                <w:sz w:val="21"/>
                <w:szCs w:val="21"/>
                <w:highlight w:val="none"/>
                <w:lang w:val="en-US" w:eastAsia="zh-CN"/>
              </w:rPr>
            </w:pPr>
            <w:r>
              <w:rPr>
                <w:rStyle w:val="22"/>
                <w:rFonts w:hint="eastAsia" w:ascii="仿宋_GB2312" w:hAnsi="仿宋_GB2312" w:cs="仿宋_GB2312"/>
                <w:b w:val="0"/>
                <w:bCs w:val="0"/>
                <w:color w:val="auto"/>
                <w:sz w:val="21"/>
                <w:szCs w:val="21"/>
                <w:highlight w:val="none"/>
                <w:lang w:val="en-US" w:eastAsia="zh-CN"/>
              </w:rPr>
              <w:t>3</w:t>
            </w:r>
          </w:p>
        </w:tc>
        <w:tc>
          <w:tcPr>
            <w:tcW w:w="2508"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投标人具有</w:t>
            </w:r>
            <w:r>
              <w:rPr>
                <w:rFonts w:hint="eastAsia" w:ascii="仿宋_GB2312" w:hAnsi="仿宋_GB2312" w:cs="仿宋_GB2312"/>
                <w:color w:val="auto"/>
                <w:szCs w:val="21"/>
                <w:lang w:eastAsia="zh-CN"/>
              </w:rPr>
              <w:t>（自有或购买或租赁）</w:t>
            </w:r>
            <w:r>
              <w:rPr>
                <w:rFonts w:hint="eastAsia" w:ascii="仿宋_GB2312" w:hAnsi="仿宋_GB2312" w:eastAsia="仿宋_GB2312" w:cs="仿宋_GB2312"/>
                <w:color w:val="auto"/>
                <w:szCs w:val="21"/>
              </w:rPr>
              <w:t>国家版权局颁发的“大数据集成”类著作权证书的得3分。</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color w:val="auto"/>
                <w:sz w:val="21"/>
                <w:szCs w:val="21"/>
                <w:highlight w:val="none"/>
                <w:lang w:eastAsia="zh-CN"/>
              </w:rPr>
            </w:pPr>
            <w:r>
              <w:rPr>
                <w:rFonts w:hint="eastAsia" w:ascii="仿宋_GB2312" w:hAnsi="仿宋_GB2312" w:cs="仿宋_GB2312"/>
                <w:color w:val="auto"/>
                <w:sz w:val="21"/>
                <w:szCs w:val="21"/>
                <w:highlight w:val="none"/>
                <w:lang w:eastAsia="zh-CN"/>
              </w:rPr>
              <w:t>注：系统不要求名称完全一致，具备相应功能即可。</w:t>
            </w:r>
          </w:p>
        </w:tc>
        <w:tc>
          <w:tcPr>
            <w:tcW w:w="1318" w:type="pct"/>
            <w:tcBorders>
              <w:top w:val="single" w:color="auto" w:sz="4" w:space="0"/>
              <w:left w:val="nil"/>
              <w:bottom w:val="single" w:color="auto" w:sz="4" w:space="0"/>
              <w:right w:val="single" w:color="auto" w:sz="4" w:space="0"/>
            </w:tcBorders>
            <w:vAlign w:val="center"/>
          </w:tcPr>
          <w:p>
            <w:pPr>
              <w:widowControl w:val="0"/>
              <w:snapToGrid/>
              <w:spacing w:line="280" w:lineRule="exact"/>
              <w:rPr>
                <w:rFonts w:hint="eastAsia" w:ascii="仿宋_GB2312" w:hAnsi="仿宋_GB2312" w:cs="仿宋_GB2312"/>
                <w:color w:val="auto"/>
                <w:szCs w:val="21"/>
              </w:rPr>
            </w:pPr>
            <w:r>
              <w:rPr>
                <w:rFonts w:hint="eastAsia" w:ascii="仿宋_GB2312" w:hAnsi="仿宋_GB2312" w:cs="仿宋_GB2312"/>
                <w:color w:val="auto"/>
                <w:szCs w:val="21"/>
              </w:rPr>
              <w:t>1、如为自有的，提供国家版权局颁发的计算机软件著作权登记证书扫描件，著作权人</w:t>
            </w:r>
            <w:r>
              <w:rPr>
                <w:rFonts w:hint="eastAsia" w:ascii="仿宋_GB2312" w:hAnsi="仿宋_GB2312" w:cs="仿宋_GB2312"/>
                <w:color w:val="auto"/>
                <w:szCs w:val="21"/>
                <w:lang w:eastAsia="zh-CN"/>
              </w:rPr>
              <w:t>须为</w:t>
            </w:r>
            <w:r>
              <w:rPr>
                <w:rFonts w:hint="eastAsia" w:ascii="仿宋_GB2312" w:hAnsi="仿宋_GB2312" w:cs="仿宋_GB2312"/>
                <w:color w:val="auto"/>
                <w:szCs w:val="21"/>
              </w:rPr>
              <w:t>投标人；</w:t>
            </w:r>
          </w:p>
          <w:p>
            <w:pPr>
              <w:widowControl w:val="0"/>
              <w:snapToGrid/>
              <w:spacing w:line="280" w:lineRule="exact"/>
              <w:rPr>
                <w:rFonts w:hint="eastAsia" w:ascii="仿宋_GB2312" w:hAnsi="仿宋_GB2312" w:cs="仿宋_GB2312"/>
                <w:color w:val="auto"/>
                <w:szCs w:val="21"/>
              </w:rPr>
            </w:pPr>
            <w:r>
              <w:rPr>
                <w:rFonts w:hint="eastAsia" w:ascii="仿宋_GB2312" w:hAnsi="仿宋_GB2312" w:cs="仿宋_GB2312"/>
                <w:color w:val="auto"/>
                <w:szCs w:val="21"/>
              </w:rPr>
              <w:t>2、如为租赁或购买的，同时提供：</w:t>
            </w:r>
          </w:p>
          <w:p>
            <w:pPr>
              <w:widowControl w:val="0"/>
              <w:snapToGrid/>
              <w:spacing w:line="280" w:lineRule="exact"/>
              <w:rPr>
                <w:rFonts w:hint="eastAsia" w:ascii="仿宋_GB2312" w:hAnsi="仿宋_GB2312" w:cs="仿宋_GB2312"/>
                <w:color w:val="auto"/>
                <w:szCs w:val="21"/>
              </w:rPr>
            </w:pPr>
            <w:r>
              <w:rPr>
                <w:rFonts w:hint="eastAsia" w:ascii="仿宋_GB2312" w:hAnsi="仿宋_GB2312" w:cs="仿宋_GB2312"/>
                <w:color w:val="auto"/>
                <w:szCs w:val="21"/>
              </w:rPr>
              <w:t>①购买（或租赁）合同（协议）扫描件【合同（协议）需体现签署方为投标人】；</w:t>
            </w:r>
          </w:p>
          <w:p>
            <w:pPr>
              <w:widowControl w:val="0"/>
              <w:snapToGrid/>
              <w:spacing w:line="280" w:lineRule="exact"/>
              <w:rPr>
                <w:rFonts w:hint="eastAsia" w:ascii="仿宋_GB2312" w:hAnsi="仿宋_GB2312" w:cs="仿宋_GB2312"/>
                <w:color w:val="auto"/>
                <w:szCs w:val="21"/>
              </w:rPr>
            </w:pPr>
            <w:r>
              <w:rPr>
                <w:rFonts w:hint="eastAsia" w:ascii="仿宋_GB2312" w:hAnsi="仿宋_GB2312" w:cs="仿宋_GB2312"/>
                <w:color w:val="auto"/>
                <w:szCs w:val="21"/>
              </w:rPr>
              <w:t>②购买（或租赁）发票（发票需能体现购买人为投标人）；</w:t>
            </w:r>
          </w:p>
          <w:p>
            <w:pPr>
              <w:widowControl w:val="0"/>
              <w:snapToGrid/>
              <w:spacing w:line="280" w:lineRule="exact"/>
              <w:rPr>
                <w:rFonts w:hint="eastAsia" w:ascii="仿宋_GB2312" w:hAnsi="仿宋_GB2312" w:cs="仿宋_GB2312"/>
                <w:color w:val="auto"/>
                <w:szCs w:val="21"/>
              </w:rPr>
            </w:pPr>
            <w:r>
              <w:rPr>
                <w:rFonts w:hint="eastAsia" w:ascii="仿宋_GB2312" w:hAnsi="仿宋_GB2312" w:cs="仿宋_GB2312"/>
                <w:color w:val="auto"/>
                <w:szCs w:val="21"/>
              </w:rPr>
              <w:t>③出租（售）方以上每类系统由国家版权局颁发的计算机软件著作权登记证书扫描件，著作权人</w:t>
            </w:r>
            <w:r>
              <w:rPr>
                <w:rFonts w:hint="eastAsia" w:ascii="仿宋_GB2312" w:hAnsi="仿宋_GB2312" w:cs="仿宋_GB2312"/>
                <w:color w:val="auto"/>
                <w:szCs w:val="21"/>
                <w:lang w:eastAsia="zh-CN"/>
              </w:rPr>
              <w:t>须为</w:t>
            </w:r>
            <w:r>
              <w:rPr>
                <w:rFonts w:hint="eastAsia" w:ascii="仿宋_GB2312" w:hAnsi="仿宋_GB2312" w:cs="仿宋_GB2312"/>
                <w:color w:val="auto"/>
                <w:szCs w:val="21"/>
              </w:rPr>
              <w:t>出租（售）方；</w:t>
            </w:r>
          </w:p>
          <w:p>
            <w:pPr>
              <w:widowControl w:val="0"/>
              <w:snapToGrid/>
              <w:spacing w:line="280" w:lineRule="exact"/>
              <w:rPr>
                <w:rFonts w:hint="eastAsia" w:ascii="仿宋_GB2312" w:hAnsi="仿宋_GB2312" w:cs="仿宋_GB2312"/>
                <w:color w:val="auto"/>
                <w:szCs w:val="21"/>
              </w:rPr>
            </w:pPr>
            <w:r>
              <w:rPr>
                <w:rFonts w:hint="eastAsia" w:ascii="仿宋_GB2312" w:hAnsi="仿宋_GB2312" w:cs="仿宋_GB2312"/>
                <w:color w:val="auto"/>
                <w:szCs w:val="21"/>
              </w:rPr>
              <w:t>3、提供的计算机软件著作权登记证书扫描件和系统或软件的相应功能截图；</w:t>
            </w:r>
          </w:p>
          <w:p>
            <w:pPr>
              <w:snapToGrid/>
              <w:spacing w:line="280" w:lineRule="exact"/>
              <w:rPr>
                <w:rFonts w:hint="eastAsia" w:ascii="仿宋_GB2312" w:hAnsi="仿宋_GB2312" w:eastAsia="仿宋_GB2312" w:cs="仿宋_GB2312"/>
                <w:color w:val="auto"/>
                <w:sz w:val="21"/>
                <w:szCs w:val="21"/>
                <w:highlight w:val="none"/>
                <w:lang w:eastAsia="zh-CN"/>
              </w:rPr>
            </w:pPr>
            <w:r>
              <w:rPr>
                <w:rFonts w:hint="eastAsia" w:ascii="仿宋_GB2312" w:hAnsi="仿宋_GB2312" w:cs="仿宋_GB2312"/>
                <w:color w:val="auto"/>
                <w:szCs w:val="21"/>
              </w:rPr>
              <w:t>4、未按要求提供相关证明材料（或相关证明材料无法判断是否符合评分要求）的不计</w:t>
            </w:r>
            <w:r>
              <w:rPr>
                <w:rFonts w:hint="eastAsia" w:ascii="宋体" w:hAnsi="宋体" w:cs="等线"/>
                <w:color w:val="auto"/>
                <w:szCs w:val="21"/>
              </w:rPr>
              <w:t>得分，原件备查。</w:t>
            </w:r>
            <w:r>
              <w:rPr>
                <w:rFonts w:hint="eastAsia" w:ascii="仿宋_GB2312" w:hAnsi="仿宋_GB2312" w:cs="仿宋_GB2312"/>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0" w:hRule="atLeast"/>
        </w:trPr>
        <w:tc>
          <w:tcPr>
            <w:tcW w:w="235" w:type="pct"/>
            <w:vMerge w:val="restart"/>
            <w:tcBorders>
              <w:left w:val="single" w:color="auto" w:sz="4" w:space="0"/>
              <w:right w:val="single" w:color="auto" w:sz="4" w:space="0"/>
            </w:tcBorders>
            <w:vAlign w:val="center"/>
          </w:tcPr>
          <w:p>
            <w:pPr>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4</w:t>
            </w:r>
          </w:p>
        </w:tc>
        <w:tc>
          <w:tcPr>
            <w:tcW w:w="351" w:type="pct"/>
            <w:vMerge w:val="restart"/>
            <w:tcBorders>
              <w:left w:val="nil"/>
              <w:right w:val="single" w:color="auto" w:sz="4" w:space="0"/>
            </w:tcBorders>
            <w:vAlign w:val="center"/>
          </w:tcPr>
          <w:p>
            <w:pPr>
              <w:snapToGrid w:val="0"/>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项目</w:t>
            </w:r>
            <w:r>
              <w:rPr>
                <w:rFonts w:hint="eastAsia" w:ascii="仿宋_GB2312" w:hAnsi="仿宋_GB2312" w:eastAsia="仿宋_GB2312" w:cs="仿宋_GB2312"/>
                <w:color w:val="auto"/>
                <w:kern w:val="0"/>
                <w:sz w:val="21"/>
                <w:szCs w:val="21"/>
                <w:highlight w:val="none"/>
                <w:lang w:eastAsia="zh-CN"/>
              </w:rPr>
              <w:t>团队</w:t>
            </w:r>
            <w:r>
              <w:rPr>
                <w:rFonts w:hint="eastAsia" w:ascii="仿宋_GB2312" w:hAnsi="仿宋_GB2312" w:eastAsia="仿宋_GB2312" w:cs="仿宋_GB2312"/>
                <w:color w:val="auto"/>
                <w:kern w:val="0"/>
                <w:sz w:val="21"/>
                <w:szCs w:val="21"/>
                <w:highlight w:val="none"/>
              </w:rPr>
              <w:t>（</w:t>
            </w:r>
            <w:r>
              <w:rPr>
                <w:rFonts w:hint="eastAsia" w:ascii="仿宋_GB2312" w:hAnsi="仿宋_GB2312" w:cs="仿宋_GB2312"/>
                <w:color w:val="auto"/>
                <w:kern w:val="0"/>
                <w:sz w:val="21"/>
                <w:szCs w:val="21"/>
                <w:highlight w:val="none"/>
                <w:lang w:val="en-US" w:eastAsia="zh-CN"/>
              </w:rPr>
              <w:t>20</w:t>
            </w:r>
            <w:r>
              <w:rPr>
                <w:rFonts w:hint="eastAsia" w:ascii="仿宋_GB2312" w:hAnsi="仿宋_GB2312" w:eastAsia="仿宋_GB2312" w:cs="仿宋_GB2312"/>
                <w:color w:val="auto"/>
                <w:kern w:val="0"/>
                <w:sz w:val="21"/>
                <w:szCs w:val="21"/>
                <w:highlight w:val="none"/>
              </w:rPr>
              <w:t>分）</w:t>
            </w:r>
          </w:p>
        </w:tc>
        <w:tc>
          <w:tcPr>
            <w:tcW w:w="351" w:type="pct"/>
            <w:tcBorders>
              <w:top w:val="single" w:color="auto" w:sz="4" w:space="0"/>
              <w:left w:val="nil"/>
              <w:right w:val="single" w:color="auto" w:sz="4" w:space="0"/>
            </w:tcBorders>
            <w:vAlign w:val="center"/>
          </w:tcPr>
          <w:p>
            <w:pPr>
              <w:snapToGrid w:val="0"/>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项目管理负责人</w:t>
            </w:r>
          </w:p>
          <w:p>
            <w:pPr>
              <w:snapToGrid w:val="0"/>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（1人）</w:t>
            </w:r>
          </w:p>
        </w:tc>
        <w:tc>
          <w:tcPr>
            <w:tcW w:w="235" w:type="pct"/>
            <w:tcBorders>
              <w:top w:val="single" w:color="auto" w:sz="4" w:space="0"/>
              <w:left w:val="nil"/>
              <w:right w:val="single" w:color="auto" w:sz="4" w:space="0"/>
            </w:tcBorders>
            <w:vAlign w:val="center"/>
          </w:tcPr>
          <w:p>
            <w:pPr>
              <w:snapToGrid w:val="0"/>
              <w:jc w:val="center"/>
              <w:rPr>
                <w:rStyle w:val="22"/>
                <w:rFonts w:hint="eastAsia" w:ascii="仿宋_GB2312" w:hAnsi="仿宋_GB2312" w:eastAsia="仿宋_GB2312" w:cs="仿宋_GB2312"/>
                <w:b w:val="0"/>
                <w:bCs w:val="0"/>
                <w:color w:val="auto"/>
                <w:sz w:val="21"/>
                <w:szCs w:val="21"/>
                <w:highlight w:val="none"/>
                <w:lang w:eastAsia="zh-CN"/>
              </w:rPr>
            </w:pPr>
            <w:r>
              <w:rPr>
                <w:rStyle w:val="22"/>
                <w:rFonts w:hint="eastAsia" w:ascii="仿宋_GB2312" w:hAnsi="仿宋_GB2312" w:cs="仿宋_GB2312"/>
                <w:b w:val="0"/>
                <w:bCs w:val="0"/>
                <w:color w:val="auto"/>
                <w:sz w:val="21"/>
                <w:szCs w:val="21"/>
                <w:highlight w:val="none"/>
                <w:lang w:val="en-US" w:eastAsia="zh-CN"/>
              </w:rPr>
              <w:t>5</w:t>
            </w:r>
          </w:p>
        </w:tc>
        <w:tc>
          <w:tcPr>
            <w:tcW w:w="2508" w:type="pct"/>
            <w:tcBorders>
              <w:top w:val="single" w:color="auto" w:sz="4" w:space="0"/>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b w:val="0"/>
                <w:bCs w:val="0"/>
                <w:color w:val="auto"/>
                <w:kern w:val="44"/>
                <w:sz w:val="21"/>
                <w:szCs w:val="21"/>
                <w:highlight w:val="none"/>
                <w:lang w:val="en-US" w:eastAsia="zh-CN"/>
              </w:rPr>
            </w:pPr>
            <w:r>
              <w:rPr>
                <w:rFonts w:hint="eastAsia" w:ascii="仿宋_GB2312" w:hAnsi="仿宋_GB2312" w:eastAsia="仿宋_GB2312" w:cs="仿宋_GB2312"/>
                <w:color w:val="auto"/>
                <w:kern w:val="44"/>
                <w:sz w:val="21"/>
                <w:szCs w:val="21"/>
                <w:highlight w:val="none"/>
                <w:lang w:val="en-US" w:eastAsia="zh-CN"/>
              </w:rPr>
              <w:t>1.</w:t>
            </w:r>
            <w:r>
              <w:rPr>
                <w:rFonts w:hint="eastAsia" w:ascii="仿宋_GB2312" w:hAnsi="仿宋_GB2312" w:eastAsia="仿宋_GB2312" w:cs="仿宋_GB2312"/>
                <w:color w:val="auto"/>
                <w:kern w:val="44"/>
                <w:sz w:val="21"/>
                <w:szCs w:val="21"/>
                <w:highlight w:val="none"/>
              </w:rPr>
              <w:t>拟安排的项目负责人必须为自有员工</w:t>
            </w:r>
            <w:r>
              <w:rPr>
                <w:rFonts w:hint="eastAsia" w:ascii="仿宋_GB2312" w:hAnsi="仿宋_GB2312" w:eastAsia="仿宋_GB2312" w:cs="仿宋_GB2312"/>
                <w:color w:val="auto"/>
                <w:kern w:val="44"/>
                <w:sz w:val="21"/>
                <w:szCs w:val="21"/>
                <w:highlight w:val="none"/>
                <w:lang w:eastAsia="zh-CN"/>
              </w:rPr>
              <w:t>，</w:t>
            </w:r>
            <w:r>
              <w:rPr>
                <w:rFonts w:hint="eastAsia" w:ascii="仿宋_GB2312" w:hAnsi="仿宋_GB2312" w:eastAsia="仿宋_GB2312" w:cs="仿宋_GB2312"/>
                <w:b w:val="0"/>
                <w:bCs w:val="0"/>
                <w:color w:val="auto"/>
                <w:kern w:val="44"/>
                <w:sz w:val="21"/>
                <w:szCs w:val="21"/>
                <w:highlight w:val="none"/>
              </w:rPr>
              <w:t>具有本科</w:t>
            </w:r>
            <w:r>
              <w:rPr>
                <w:rFonts w:hint="eastAsia" w:ascii="仿宋_GB2312" w:hAnsi="仿宋_GB2312" w:eastAsia="仿宋_GB2312" w:cs="仿宋_GB2312"/>
                <w:b w:val="0"/>
                <w:bCs w:val="0"/>
                <w:color w:val="auto"/>
                <w:kern w:val="44"/>
                <w:sz w:val="21"/>
                <w:szCs w:val="21"/>
                <w:highlight w:val="none"/>
                <w:lang w:eastAsia="zh-CN"/>
              </w:rPr>
              <w:t>（或</w:t>
            </w:r>
            <w:r>
              <w:rPr>
                <w:rFonts w:hint="eastAsia" w:ascii="仿宋_GB2312" w:hAnsi="仿宋_GB2312" w:eastAsia="仿宋_GB2312" w:cs="仿宋_GB2312"/>
                <w:b w:val="0"/>
                <w:bCs w:val="0"/>
                <w:color w:val="auto"/>
                <w:kern w:val="44"/>
                <w:sz w:val="21"/>
                <w:szCs w:val="21"/>
                <w:highlight w:val="none"/>
              </w:rPr>
              <w:t>以上</w:t>
            </w:r>
            <w:r>
              <w:rPr>
                <w:rFonts w:hint="eastAsia" w:ascii="仿宋_GB2312" w:hAnsi="仿宋_GB2312" w:eastAsia="仿宋_GB2312" w:cs="仿宋_GB2312"/>
                <w:b w:val="0"/>
                <w:bCs w:val="0"/>
                <w:color w:val="auto"/>
                <w:kern w:val="44"/>
                <w:sz w:val="21"/>
                <w:szCs w:val="21"/>
                <w:highlight w:val="none"/>
                <w:lang w:eastAsia="zh-CN"/>
              </w:rPr>
              <w:t>）</w:t>
            </w:r>
            <w:r>
              <w:rPr>
                <w:rFonts w:hint="eastAsia" w:ascii="仿宋_GB2312" w:hAnsi="仿宋_GB2312" w:eastAsia="仿宋_GB2312" w:cs="仿宋_GB2312"/>
                <w:b w:val="0"/>
                <w:bCs w:val="0"/>
                <w:color w:val="auto"/>
                <w:kern w:val="44"/>
                <w:sz w:val="21"/>
                <w:szCs w:val="21"/>
                <w:highlight w:val="none"/>
                <w:lang w:val="en-US" w:eastAsia="zh-CN"/>
              </w:rPr>
              <w:t>学历的得2分</w:t>
            </w:r>
            <w:r>
              <w:rPr>
                <w:rFonts w:hint="eastAsia" w:ascii="仿宋_GB2312" w:hAnsi="仿宋_GB2312" w:cs="仿宋_GB2312"/>
                <w:b w:val="0"/>
                <w:bCs w:val="0"/>
                <w:color w:val="auto"/>
                <w:kern w:val="44"/>
                <w:sz w:val="21"/>
                <w:szCs w:val="21"/>
                <w:highlight w:val="none"/>
                <w:lang w:val="en-US" w:eastAsia="zh-CN"/>
              </w:rPr>
              <w:t>，</w:t>
            </w:r>
            <w:r>
              <w:rPr>
                <w:rFonts w:hint="eastAsia" w:ascii="仿宋_GB2312" w:hAnsi="仿宋_GB2312" w:eastAsia="仿宋_GB2312" w:cs="仿宋_GB2312"/>
                <w:b w:val="0"/>
                <w:bCs w:val="0"/>
                <w:color w:val="auto"/>
                <w:kern w:val="44"/>
                <w:sz w:val="21"/>
                <w:szCs w:val="21"/>
                <w:highlight w:val="none"/>
                <w:lang w:eastAsia="zh-CN"/>
              </w:rPr>
              <w:t>大专学历的得</w:t>
            </w:r>
            <w:r>
              <w:rPr>
                <w:rFonts w:hint="eastAsia" w:ascii="仿宋_GB2312" w:hAnsi="仿宋_GB2312" w:eastAsia="仿宋_GB2312" w:cs="仿宋_GB2312"/>
                <w:b w:val="0"/>
                <w:bCs w:val="0"/>
                <w:color w:val="auto"/>
                <w:kern w:val="44"/>
                <w:sz w:val="21"/>
                <w:szCs w:val="21"/>
                <w:highlight w:val="none"/>
                <w:lang w:val="en-US" w:eastAsia="zh-CN"/>
              </w:rPr>
              <w:t>1分。</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b w:val="0"/>
                <w:bCs w:val="0"/>
                <w:color w:val="auto"/>
                <w:kern w:val="44"/>
                <w:sz w:val="21"/>
                <w:szCs w:val="21"/>
                <w:highlight w:val="none"/>
                <w:lang w:val="en-US" w:eastAsia="zh-CN"/>
              </w:rPr>
            </w:pPr>
            <w:r>
              <w:rPr>
                <w:rFonts w:hint="eastAsia" w:ascii="仿宋_GB2312" w:hAnsi="仿宋_GB2312" w:eastAsia="仿宋_GB2312" w:cs="仿宋_GB2312"/>
                <w:b w:val="0"/>
                <w:bCs w:val="0"/>
                <w:color w:val="auto"/>
                <w:kern w:val="44"/>
                <w:sz w:val="21"/>
                <w:szCs w:val="21"/>
                <w:highlight w:val="none"/>
                <w:lang w:val="en-US" w:eastAsia="zh-CN"/>
              </w:rPr>
              <w:t>2.具有经济专业技术资格证书</w:t>
            </w:r>
            <w:r>
              <w:rPr>
                <w:rFonts w:hint="eastAsia" w:ascii="仿宋_GB2312" w:hAnsi="仿宋_GB2312" w:cs="仿宋_GB2312"/>
                <w:b w:val="0"/>
                <w:bCs w:val="0"/>
                <w:color w:val="auto"/>
                <w:kern w:val="44"/>
                <w:sz w:val="21"/>
                <w:szCs w:val="21"/>
                <w:highlight w:val="none"/>
                <w:lang w:val="en-US" w:eastAsia="zh-CN"/>
              </w:rPr>
              <w:t>的</w:t>
            </w:r>
            <w:r>
              <w:rPr>
                <w:rFonts w:hint="eastAsia" w:ascii="仿宋_GB2312" w:hAnsi="仿宋_GB2312" w:eastAsia="仿宋_GB2312" w:cs="仿宋_GB2312"/>
                <w:b w:val="0"/>
                <w:bCs w:val="0"/>
                <w:color w:val="auto"/>
                <w:kern w:val="44"/>
                <w:sz w:val="21"/>
                <w:szCs w:val="21"/>
                <w:highlight w:val="none"/>
                <w:lang w:val="en-US" w:eastAsia="zh-CN"/>
              </w:rPr>
              <w:t>，中级（或以上）的得</w:t>
            </w:r>
            <w:r>
              <w:rPr>
                <w:rFonts w:hint="eastAsia" w:ascii="仿宋_GB2312" w:hAnsi="仿宋_GB2312" w:cs="仿宋_GB2312"/>
                <w:b w:val="0"/>
                <w:bCs w:val="0"/>
                <w:color w:val="auto"/>
                <w:kern w:val="44"/>
                <w:sz w:val="21"/>
                <w:szCs w:val="21"/>
                <w:highlight w:val="none"/>
                <w:lang w:val="en-US" w:eastAsia="zh-CN"/>
              </w:rPr>
              <w:t>3</w:t>
            </w:r>
            <w:r>
              <w:rPr>
                <w:rFonts w:hint="eastAsia" w:ascii="仿宋_GB2312" w:hAnsi="仿宋_GB2312" w:eastAsia="仿宋_GB2312" w:cs="仿宋_GB2312"/>
                <w:b w:val="0"/>
                <w:bCs w:val="0"/>
                <w:color w:val="auto"/>
                <w:kern w:val="44"/>
                <w:sz w:val="21"/>
                <w:szCs w:val="21"/>
                <w:highlight w:val="none"/>
                <w:lang w:val="en-US" w:eastAsia="zh-CN"/>
              </w:rPr>
              <w:t>分，助理级的得1分；</w:t>
            </w:r>
          </w:p>
          <w:p>
            <w:pPr>
              <w:pStyle w:val="2"/>
              <w:rPr>
                <w:rFonts w:hint="eastAsia"/>
                <w:color w:val="auto"/>
                <w:highlight w:val="none"/>
              </w:rPr>
            </w:pPr>
          </w:p>
        </w:tc>
        <w:tc>
          <w:tcPr>
            <w:tcW w:w="1318" w:type="pct"/>
            <w:vMerge w:val="restart"/>
            <w:tcBorders>
              <w:top w:val="single" w:color="auto" w:sz="4" w:space="0"/>
              <w:left w:val="nil"/>
              <w:right w:val="single" w:color="auto" w:sz="4" w:space="0"/>
            </w:tcBorders>
            <w:vAlign w:val="center"/>
          </w:tcPr>
          <w:p>
            <w:pPr>
              <w:snapToGrid w:val="0"/>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按以下要求提供证明材料：</w:t>
            </w:r>
          </w:p>
          <w:p>
            <w:pPr>
              <w:snapToGrid w:val="0"/>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1.提供相关人员相关证书扫描件；</w:t>
            </w:r>
          </w:p>
          <w:p>
            <w:pPr>
              <w:pStyle w:val="4"/>
              <w:ind w:firstLine="0" w:firstLineChars="0"/>
              <w:rPr>
                <w:rFonts w:hint="eastAsia" w:ascii="仿宋_GB2312" w:hAnsi="仿宋_GB2312" w:eastAsia="仿宋_GB2312" w:cs="仿宋_GB2312"/>
                <w:color w:val="auto"/>
                <w:sz w:val="21"/>
                <w:szCs w:val="21"/>
                <w:highlight w:val="none"/>
              </w:rPr>
            </w:pPr>
            <w:r>
              <w:rPr>
                <w:rFonts w:hint="eastAsia" w:ascii="仿宋_GB2312" w:hAnsi="仿宋_GB2312" w:cs="仿宋_GB2312"/>
                <w:color w:val="auto"/>
                <w:sz w:val="21"/>
                <w:szCs w:val="21"/>
                <w:highlight w:val="none"/>
                <w:lang w:val="en-US" w:eastAsia="zh-CN"/>
              </w:rPr>
              <w:t>2</w:t>
            </w:r>
            <w:r>
              <w:rPr>
                <w:rFonts w:hint="eastAsia" w:ascii="仿宋_GB2312" w:hAnsi="仿宋_GB2312" w:eastAsia="仿宋_GB2312" w:cs="仿宋_GB2312"/>
                <w:color w:val="auto"/>
                <w:sz w:val="21"/>
                <w:szCs w:val="21"/>
                <w:highlight w:val="none"/>
              </w:rPr>
              <w:t>.涉及学历的需同时提供学信网信息查询截图；如较早颁发的学历证书，学信网无法查询的，可提供毕业院校或教育或人社部门等颁发机构或监管机构等出具的证明。</w:t>
            </w:r>
          </w:p>
          <w:p>
            <w:pPr>
              <w:pStyle w:val="4"/>
              <w:ind w:firstLine="0" w:firstLineChars="0"/>
              <w:rPr>
                <w:rFonts w:hint="eastAsia" w:ascii="仿宋_GB2312" w:hAnsi="仿宋_GB2312" w:eastAsia="仿宋_GB2312" w:cs="仿宋_GB2312"/>
                <w:color w:val="auto"/>
                <w:sz w:val="21"/>
                <w:szCs w:val="21"/>
                <w:highlight w:val="none"/>
              </w:rPr>
            </w:pPr>
            <w:r>
              <w:rPr>
                <w:rFonts w:hint="eastAsia" w:ascii="仿宋_GB2312" w:hAnsi="仿宋_GB2312" w:cs="仿宋_GB2312"/>
                <w:color w:val="auto"/>
                <w:sz w:val="21"/>
                <w:szCs w:val="21"/>
                <w:highlight w:val="none"/>
                <w:lang w:val="en-US" w:eastAsia="zh-CN"/>
              </w:rPr>
              <w:t>3</w:t>
            </w:r>
            <w:r>
              <w:rPr>
                <w:rFonts w:hint="eastAsia" w:ascii="仿宋_GB2312" w:hAnsi="仿宋_GB2312" w:eastAsia="仿宋_GB2312" w:cs="仿宋_GB2312"/>
                <w:color w:val="auto"/>
                <w:sz w:val="21"/>
                <w:szCs w:val="21"/>
                <w:highlight w:val="none"/>
              </w:rPr>
              <w:t>.涉及项目工作经验的证明材料，可为服务合同复印件或履约评价或合同</w:t>
            </w:r>
            <w:r>
              <w:rPr>
                <w:rFonts w:hint="eastAsia" w:ascii="仿宋_GB2312" w:hAnsi="仿宋_GB2312" w:cs="仿宋_GB2312"/>
                <w:color w:val="auto"/>
                <w:sz w:val="21"/>
                <w:szCs w:val="21"/>
                <w:highlight w:val="none"/>
                <w:lang w:eastAsia="zh-CN"/>
              </w:rPr>
              <w:t>采购方</w:t>
            </w:r>
            <w:r>
              <w:rPr>
                <w:rFonts w:hint="eastAsia" w:ascii="仿宋_GB2312" w:hAnsi="仿宋_GB2312" w:eastAsia="仿宋_GB2312" w:cs="仿宋_GB2312"/>
                <w:color w:val="auto"/>
                <w:sz w:val="21"/>
                <w:szCs w:val="21"/>
                <w:highlight w:val="none"/>
              </w:rPr>
              <w:t>出具的项目人员参与证明等，需能够清晰辨认项目组成员姓名及服务内容。</w:t>
            </w:r>
          </w:p>
          <w:p>
            <w:pPr>
              <w:pStyle w:val="4"/>
              <w:ind w:firstLine="0" w:firstLineChars="0"/>
              <w:rPr>
                <w:rFonts w:hint="default" w:ascii="仿宋_GB2312" w:hAnsi="仿宋_GB2312" w:eastAsia="仿宋_GB2312" w:cs="仿宋_GB2312"/>
                <w:color w:val="auto"/>
                <w:sz w:val="21"/>
                <w:szCs w:val="21"/>
                <w:highlight w:val="none"/>
                <w:lang w:val="en-US" w:eastAsia="zh-CN"/>
              </w:rPr>
            </w:pPr>
            <w:r>
              <w:rPr>
                <w:rFonts w:hint="eastAsia" w:ascii="仿宋_GB2312" w:hAnsi="仿宋_GB2312" w:cs="仿宋_GB2312"/>
                <w:color w:val="auto"/>
                <w:sz w:val="21"/>
                <w:szCs w:val="21"/>
                <w:highlight w:val="none"/>
                <w:lang w:val="en-US" w:eastAsia="zh-CN"/>
              </w:rPr>
              <w:t>4.</w:t>
            </w:r>
            <w:r>
              <w:rPr>
                <w:rFonts w:hint="eastAsia" w:ascii="仿宋_GB2312" w:hAnsi="仿宋_GB2312" w:eastAsia="仿宋_GB2312" w:cs="仿宋_GB2312"/>
                <w:color w:val="auto"/>
                <w:kern w:val="44"/>
                <w:szCs w:val="21"/>
                <w:highlight w:val="none"/>
                <w:lang w:val="en-US" w:eastAsia="zh-CN"/>
              </w:rPr>
              <w:t>提供以上人员社保缴纳证明，其中</w:t>
            </w:r>
            <w:r>
              <w:rPr>
                <w:rFonts w:hint="eastAsia" w:ascii="仿宋_GB2312" w:hAnsi="仿宋_GB2312" w:eastAsia="仿宋_GB2312" w:cs="仿宋_GB2312"/>
                <w:b w:val="0"/>
                <w:bCs w:val="0"/>
                <w:color w:val="auto"/>
                <w:kern w:val="44"/>
                <w:sz w:val="20"/>
                <w:szCs w:val="20"/>
                <w:highlight w:val="none"/>
                <w:lang w:val="en-US" w:eastAsia="zh-CN"/>
              </w:rPr>
              <w:t>社保证明截止投标日前一个月投标人为其购买的社保清单，如截标日前近一个月的社保证明因社保部门原因暂时无法提供，可往前顺延一个月；投标人如成立不足一个月的，无需提供社保证明，以投标人营业执照成立时间为准，提供承诺函（格式自拟）说明该员工为自有员工</w:t>
            </w:r>
            <w:r>
              <w:rPr>
                <w:rFonts w:hint="eastAsia" w:ascii="仿宋_GB2312" w:hAnsi="仿宋_GB2312" w:eastAsia="仿宋_GB2312" w:cs="仿宋_GB2312"/>
                <w:color w:val="auto"/>
                <w:kern w:val="44"/>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235" w:type="pct"/>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color w:val="auto"/>
                <w:sz w:val="21"/>
                <w:szCs w:val="21"/>
                <w:highlight w:val="none"/>
              </w:rPr>
            </w:pPr>
          </w:p>
        </w:tc>
        <w:tc>
          <w:tcPr>
            <w:tcW w:w="351" w:type="pct"/>
            <w:vMerge w:val="continue"/>
            <w:tcBorders>
              <w:left w:val="nil"/>
              <w:right w:val="single" w:color="auto" w:sz="4" w:space="0"/>
            </w:tcBorders>
            <w:vAlign w:val="center"/>
          </w:tcPr>
          <w:p>
            <w:pPr>
              <w:snapToGrid w:val="0"/>
              <w:jc w:val="center"/>
              <w:rPr>
                <w:rFonts w:hint="eastAsia" w:ascii="仿宋_GB2312" w:hAnsi="仿宋_GB2312" w:eastAsia="仿宋_GB2312" w:cs="仿宋_GB2312"/>
                <w:color w:val="auto"/>
                <w:kern w:val="0"/>
                <w:sz w:val="21"/>
                <w:szCs w:val="21"/>
                <w:highlight w:val="none"/>
              </w:rPr>
            </w:pPr>
          </w:p>
        </w:tc>
        <w:tc>
          <w:tcPr>
            <w:tcW w:w="351" w:type="pct"/>
            <w:tcBorders>
              <w:top w:val="single" w:color="auto" w:sz="4" w:space="0"/>
              <w:left w:val="nil"/>
              <w:bottom w:val="single" w:color="auto" w:sz="4" w:space="0"/>
              <w:right w:val="single" w:color="auto" w:sz="4" w:space="0"/>
            </w:tcBorders>
            <w:vAlign w:val="center"/>
          </w:tcPr>
          <w:p>
            <w:pPr>
              <w:snapToGrid w:val="0"/>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44"/>
                <w:sz w:val="21"/>
                <w:szCs w:val="21"/>
                <w:highlight w:val="none"/>
              </w:rPr>
              <w:t>项目成员（项目负责人除外）</w:t>
            </w:r>
          </w:p>
        </w:tc>
        <w:tc>
          <w:tcPr>
            <w:tcW w:w="235" w:type="pct"/>
            <w:tcBorders>
              <w:top w:val="single" w:color="auto" w:sz="4" w:space="0"/>
              <w:left w:val="nil"/>
              <w:bottom w:val="single" w:color="auto" w:sz="4" w:space="0"/>
              <w:right w:val="single" w:color="auto" w:sz="4" w:space="0"/>
            </w:tcBorders>
            <w:vAlign w:val="center"/>
          </w:tcPr>
          <w:p>
            <w:pPr>
              <w:snapToGrid w:val="0"/>
              <w:jc w:val="center"/>
              <w:rPr>
                <w:rStyle w:val="22"/>
                <w:rFonts w:hint="eastAsia" w:ascii="仿宋_GB2312" w:hAnsi="仿宋_GB2312" w:eastAsia="仿宋_GB2312" w:cs="仿宋_GB2312"/>
                <w:b w:val="0"/>
                <w:bCs w:val="0"/>
                <w:color w:val="auto"/>
                <w:sz w:val="21"/>
                <w:szCs w:val="21"/>
                <w:highlight w:val="none"/>
                <w:lang w:val="en-US" w:eastAsia="zh-CN"/>
              </w:rPr>
            </w:pPr>
            <w:r>
              <w:rPr>
                <w:rStyle w:val="22"/>
                <w:rFonts w:hint="eastAsia" w:ascii="仿宋_GB2312" w:hAnsi="仿宋_GB2312" w:eastAsia="仿宋_GB2312" w:cs="仿宋_GB2312"/>
                <w:b w:val="0"/>
                <w:bCs w:val="0"/>
                <w:color w:val="auto"/>
                <w:sz w:val="21"/>
                <w:szCs w:val="21"/>
                <w:highlight w:val="none"/>
                <w:lang w:val="en-US" w:eastAsia="zh-CN"/>
              </w:rPr>
              <w:t>1</w:t>
            </w:r>
            <w:r>
              <w:rPr>
                <w:rStyle w:val="22"/>
                <w:rFonts w:hint="eastAsia" w:ascii="仿宋_GB2312" w:hAnsi="仿宋_GB2312" w:cs="仿宋_GB2312"/>
                <w:b w:val="0"/>
                <w:bCs w:val="0"/>
                <w:color w:val="auto"/>
                <w:sz w:val="21"/>
                <w:szCs w:val="21"/>
                <w:highlight w:val="none"/>
                <w:lang w:val="en-US" w:eastAsia="zh-CN"/>
              </w:rPr>
              <w:t>5</w:t>
            </w:r>
          </w:p>
        </w:tc>
        <w:tc>
          <w:tcPr>
            <w:tcW w:w="2508" w:type="pct"/>
            <w:tcBorders>
              <w:top w:val="single" w:color="auto" w:sz="4" w:space="0"/>
              <w:left w:val="nil"/>
              <w:bottom w:val="single" w:color="auto" w:sz="4" w:space="0"/>
              <w:right w:val="single" w:color="auto" w:sz="4" w:space="0"/>
            </w:tcBorders>
            <w:vAlign w:val="center"/>
          </w:tcPr>
          <w:p>
            <w:pPr>
              <w:snapToGrid w:val="0"/>
              <w:rPr>
                <w:rStyle w:val="22"/>
                <w:rFonts w:hint="eastAsia" w:ascii="仿宋_GB2312" w:hAnsi="仿宋_GB2312" w:eastAsia="仿宋_GB2312" w:cs="仿宋_GB2312"/>
                <w:b w:val="0"/>
                <w:bCs w:val="0"/>
                <w:color w:val="auto"/>
                <w:sz w:val="21"/>
                <w:szCs w:val="21"/>
                <w:highlight w:val="none"/>
              </w:rPr>
            </w:pPr>
            <w:r>
              <w:rPr>
                <w:rStyle w:val="22"/>
                <w:rFonts w:hint="eastAsia" w:ascii="仿宋_GB2312" w:hAnsi="仿宋_GB2312" w:eastAsia="仿宋_GB2312" w:cs="仿宋_GB2312"/>
                <w:b w:val="0"/>
                <w:bCs w:val="0"/>
                <w:color w:val="auto"/>
                <w:sz w:val="21"/>
                <w:szCs w:val="21"/>
                <w:highlight w:val="none"/>
              </w:rPr>
              <w:t>项目管理团队成员须为投标人自有员工，项目成员（除项目负责人外）需具有大专或本科以上学历，在此基础上：</w:t>
            </w:r>
          </w:p>
          <w:p>
            <w:pPr>
              <w:snapToGrid w:val="0"/>
              <w:rPr>
                <w:rFonts w:hint="eastAsia" w:ascii="仿宋_GB2312" w:hAnsi="仿宋_GB2312" w:eastAsia="仿宋_GB2312" w:cs="仿宋_GB2312"/>
                <w:color w:val="auto"/>
                <w:kern w:val="44"/>
                <w:sz w:val="21"/>
                <w:szCs w:val="21"/>
                <w:highlight w:val="none"/>
                <w:lang w:eastAsia="zh-CN"/>
              </w:rPr>
            </w:pPr>
            <w:r>
              <w:rPr>
                <w:rStyle w:val="22"/>
                <w:rFonts w:hint="eastAsia" w:ascii="仿宋_GB2312" w:hAnsi="仿宋_GB2312" w:eastAsia="仿宋_GB2312" w:cs="仿宋_GB2312"/>
                <w:b w:val="0"/>
                <w:bCs w:val="0"/>
                <w:color w:val="auto"/>
                <w:sz w:val="21"/>
                <w:szCs w:val="21"/>
                <w:highlight w:val="none"/>
                <w:shd w:val="clear" w:color="auto" w:fill="auto"/>
                <w:lang w:val="en-US" w:eastAsia="zh-CN"/>
              </w:rPr>
              <w:t>1.</w:t>
            </w:r>
            <w:r>
              <w:rPr>
                <w:rFonts w:hint="eastAsia" w:ascii="仿宋_GB2312" w:hAnsi="仿宋_GB2312" w:eastAsia="仿宋_GB2312" w:cs="仿宋_GB2312"/>
                <w:color w:val="auto"/>
                <w:kern w:val="44"/>
                <w:sz w:val="21"/>
                <w:szCs w:val="21"/>
                <w:highlight w:val="none"/>
              </w:rPr>
              <w:t>具有会计</w:t>
            </w:r>
            <w:r>
              <w:rPr>
                <w:rFonts w:hint="eastAsia" w:ascii="仿宋_GB2312" w:hAnsi="仿宋_GB2312" w:eastAsia="仿宋_GB2312" w:cs="仿宋_GB2312"/>
                <w:color w:val="auto"/>
                <w:kern w:val="44"/>
                <w:sz w:val="21"/>
                <w:szCs w:val="21"/>
                <w:highlight w:val="none"/>
                <w:lang w:eastAsia="zh-CN"/>
              </w:rPr>
              <w:t>类</w:t>
            </w:r>
            <w:r>
              <w:rPr>
                <w:rFonts w:hint="eastAsia" w:ascii="仿宋_GB2312" w:hAnsi="仿宋_GB2312" w:cs="仿宋_GB2312"/>
                <w:color w:val="auto"/>
                <w:kern w:val="44"/>
                <w:sz w:val="21"/>
                <w:szCs w:val="21"/>
                <w:highlight w:val="none"/>
                <w:lang w:eastAsia="zh-CN"/>
              </w:rPr>
              <w:t>或</w:t>
            </w:r>
            <w:r>
              <w:rPr>
                <w:rFonts w:hint="eastAsia" w:ascii="仿宋_GB2312" w:hAnsi="仿宋_GB2312" w:eastAsia="仿宋_GB2312" w:cs="仿宋_GB2312"/>
                <w:color w:val="auto"/>
                <w:kern w:val="44"/>
                <w:sz w:val="21"/>
                <w:szCs w:val="21"/>
                <w:highlight w:val="none"/>
                <w:lang w:eastAsia="zh-CN"/>
              </w:rPr>
              <w:t>数据分析类</w:t>
            </w:r>
            <w:r>
              <w:rPr>
                <w:rFonts w:hint="eastAsia" w:ascii="仿宋_GB2312" w:hAnsi="仿宋_GB2312" w:eastAsia="仿宋_GB2312" w:cs="仿宋_GB2312"/>
                <w:color w:val="auto"/>
                <w:kern w:val="44"/>
                <w:sz w:val="21"/>
                <w:szCs w:val="21"/>
                <w:highlight w:val="none"/>
              </w:rPr>
              <w:t>中级</w:t>
            </w:r>
            <w:r>
              <w:rPr>
                <w:rFonts w:hint="eastAsia" w:ascii="仿宋_GB2312" w:hAnsi="仿宋_GB2312" w:eastAsia="仿宋_GB2312" w:cs="仿宋_GB2312"/>
                <w:color w:val="auto"/>
                <w:kern w:val="44"/>
                <w:sz w:val="21"/>
                <w:szCs w:val="21"/>
                <w:highlight w:val="none"/>
                <w:lang w:eastAsia="zh-CN"/>
              </w:rPr>
              <w:t>及</w:t>
            </w:r>
            <w:r>
              <w:rPr>
                <w:rFonts w:hint="eastAsia" w:ascii="仿宋_GB2312" w:hAnsi="仿宋_GB2312" w:eastAsia="仿宋_GB2312" w:cs="仿宋_GB2312"/>
                <w:color w:val="auto"/>
                <w:kern w:val="44"/>
                <w:sz w:val="21"/>
                <w:szCs w:val="21"/>
                <w:highlight w:val="none"/>
              </w:rPr>
              <w:t>以上</w:t>
            </w:r>
            <w:r>
              <w:rPr>
                <w:rFonts w:hint="eastAsia" w:ascii="仿宋_GB2312" w:hAnsi="仿宋_GB2312" w:eastAsia="仿宋_GB2312" w:cs="仿宋_GB2312"/>
                <w:b w:val="0"/>
                <w:bCs w:val="0"/>
                <w:color w:val="auto"/>
                <w:kern w:val="44"/>
                <w:sz w:val="21"/>
                <w:szCs w:val="21"/>
                <w:highlight w:val="none"/>
                <w:lang w:val="en-US" w:eastAsia="zh-CN"/>
              </w:rPr>
              <w:t>技术资格</w:t>
            </w:r>
            <w:r>
              <w:rPr>
                <w:rFonts w:hint="eastAsia" w:ascii="仿宋_GB2312" w:hAnsi="仿宋_GB2312" w:eastAsia="仿宋_GB2312" w:cs="仿宋_GB2312"/>
                <w:color w:val="auto"/>
                <w:kern w:val="44"/>
                <w:sz w:val="21"/>
                <w:szCs w:val="21"/>
                <w:highlight w:val="none"/>
                <w:lang w:eastAsia="zh-CN"/>
              </w:rPr>
              <w:t>或</w:t>
            </w:r>
            <w:r>
              <w:rPr>
                <w:rStyle w:val="22"/>
                <w:rFonts w:hint="eastAsia" w:ascii="仿宋_GB2312" w:hAnsi="仿宋_GB2312" w:eastAsia="仿宋_GB2312" w:cs="仿宋_GB2312"/>
                <w:b w:val="0"/>
                <w:bCs w:val="0"/>
                <w:color w:val="auto"/>
                <w:sz w:val="21"/>
                <w:szCs w:val="21"/>
                <w:highlight w:val="none"/>
                <w:shd w:val="clear" w:color="auto" w:fill="auto"/>
                <w:lang w:val="en-US" w:eastAsia="zh-CN"/>
              </w:rPr>
              <w:t>经济学</w:t>
            </w:r>
            <w:r>
              <w:rPr>
                <w:rStyle w:val="22"/>
                <w:rFonts w:hint="eastAsia" w:ascii="仿宋_GB2312" w:hAnsi="仿宋_GB2312" w:eastAsia="仿宋_GB2312" w:cs="仿宋_GB2312"/>
                <w:b w:val="0"/>
                <w:bCs w:val="0"/>
                <w:i w:val="0"/>
                <w:iCs w:val="0"/>
                <w:caps w:val="0"/>
                <w:color w:val="auto"/>
                <w:spacing w:val="0"/>
                <w:sz w:val="21"/>
                <w:szCs w:val="21"/>
                <w:highlight w:val="none"/>
                <w:shd w:val="clear" w:color="auto" w:fill="auto"/>
              </w:rPr>
              <w:t>助理研究员</w:t>
            </w:r>
            <w:r>
              <w:rPr>
                <w:rStyle w:val="22"/>
                <w:rFonts w:hint="eastAsia" w:ascii="仿宋_GB2312" w:hAnsi="仿宋_GB2312" w:eastAsia="仿宋_GB2312" w:cs="仿宋_GB2312"/>
                <w:b w:val="0"/>
                <w:bCs w:val="0"/>
                <w:i w:val="0"/>
                <w:iCs w:val="0"/>
                <w:caps w:val="0"/>
                <w:color w:val="auto"/>
                <w:spacing w:val="0"/>
                <w:sz w:val="21"/>
                <w:szCs w:val="21"/>
                <w:highlight w:val="none"/>
                <w:shd w:val="clear" w:color="auto" w:fill="auto"/>
                <w:lang w:eastAsia="zh-CN"/>
              </w:rPr>
              <w:t>（中级）及以上</w:t>
            </w:r>
            <w:r>
              <w:rPr>
                <w:rFonts w:hint="eastAsia" w:ascii="仿宋_GB2312" w:hAnsi="仿宋_GB2312" w:eastAsia="仿宋_GB2312" w:cs="仿宋_GB2312"/>
                <w:color w:val="auto"/>
                <w:kern w:val="44"/>
                <w:sz w:val="21"/>
                <w:szCs w:val="21"/>
                <w:highlight w:val="none"/>
              </w:rPr>
              <w:t>职称的，每提供一人得</w:t>
            </w:r>
            <w:r>
              <w:rPr>
                <w:rFonts w:hint="eastAsia" w:ascii="仿宋_GB2312" w:hAnsi="仿宋_GB2312" w:cs="仿宋_GB2312"/>
                <w:color w:val="auto"/>
                <w:kern w:val="44"/>
                <w:sz w:val="21"/>
                <w:szCs w:val="21"/>
                <w:highlight w:val="none"/>
                <w:lang w:val="en-US" w:eastAsia="zh-CN"/>
              </w:rPr>
              <w:t>4</w:t>
            </w:r>
            <w:r>
              <w:rPr>
                <w:rFonts w:hint="eastAsia" w:ascii="仿宋_GB2312" w:hAnsi="仿宋_GB2312" w:eastAsia="仿宋_GB2312" w:cs="仿宋_GB2312"/>
                <w:color w:val="auto"/>
                <w:kern w:val="44"/>
                <w:sz w:val="21"/>
                <w:szCs w:val="21"/>
                <w:highlight w:val="none"/>
              </w:rPr>
              <w:t>分；同一个人不重复计分，此项满分</w:t>
            </w:r>
            <w:r>
              <w:rPr>
                <w:rFonts w:hint="eastAsia" w:ascii="仿宋_GB2312" w:hAnsi="仿宋_GB2312" w:cs="仿宋_GB2312"/>
                <w:color w:val="auto"/>
                <w:kern w:val="44"/>
                <w:sz w:val="21"/>
                <w:szCs w:val="21"/>
                <w:highlight w:val="none"/>
                <w:lang w:val="en-US" w:eastAsia="zh-CN"/>
              </w:rPr>
              <w:t>12</w:t>
            </w:r>
            <w:r>
              <w:rPr>
                <w:rFonts w:hint="eastAsia" w:ascii="仿宋_GB2312" w:hAnsi="仿宋_GB2312" w:eastAsia="仿宋_GB2312" w:cs="仿宋_GB2312"/>
                <w:color w:val="auto"/>
                <w:kern w:val="44"/>
                <w:sz w:val="21"/>
                <w:szCs w:val="21"/>
                <w:highlight w:val="none"/>
              </w:rPr>
              <w:t>分</w:t>
            </w:r>
            <w:r>
              <w:rPr>
                <w:rFonts w:hint="eastAsia" w:ascii="仿宋_GB2312" w:hAnsi="仿宋_GB2312" w:eastAsia="仿宋_GB2312" w:cs="仿宋_GB2312"/>
                <w:color w:val="auto"/>
                <w:kern w:val="44"/>
                <w:sz w:val="21"/>
                <w:szCs w:val="21"/>
                <w:highlight w:val="none"/>
                <w:lang w:eastAsia="zh-CN"/>
              </w:rPr>
              <w:t>。</w:t>
            </w:r>
          </w:p>
          <w:p>
            <w:pPr>
              <w:snapToGrid w:val="0"/>
              <w:rPr>
                <w:rFonts w:hint="eastAsia" w:ascii="仿宋_GB2312" w:hAnsi="仿宋_GB2312" w:eastAsia="仿宋_GB2312" w:cs="仿宋_GB2312"/>
                <w:color w:val="auto"/>
                <w:kern w:val="44"/>
                <w:sz w:val="21"/>
                <w:szCs w:val="21"/>
                <w:highlight w:val="none"/>
                <w:lang w:eastAsia="zh-CN"/>
              </w:rPr>
            </w:pPr>
            <w:r>
              <w:rPr>
                <w:rStyle w:val="22"/>
                <w:rFonts w:hint="eastAsia" w:ascii="仿宋_GB2312" w:hAnsi="仿宋_GB2312" w:eastAsia="仿宋_GB2312" w:cs="仿宋_GB2312"/>
                <w:b w:val="0"/>
                <w:bCs w:val="0"/>
                <w:color w:val="auto"/>
                <w:sz w:val="21"/>
                <w:szCs w:val="21"/>
                <w:highlight w:val="none"/>
                <w:shd w:val="clear" w:color="auto" w:fill="auto"/>
                <w:lang w:val="en-US" w:eastAsia="zh-CN"/>
              </w:rPr>
              <w:t>2.</w:t>
            </w:r>
            <w:r>
              <w:rPr>
                <w:rFonts w:hint="eastAsia" w:ascii="仿宋_GB2312" w:hAnsi="仿宋_GB2312" w:eastAsia="仿宋_GB2312" w:cs="仿宋_GB2312"/>
                <w:color w:val="auto"/>
                <w:kern w:val="44"/>
                <w:sz w:val="21"/>
                <w:szCs w:val="21"/>
                <w:highlight w:val="none"/>
                <w:lang w:val="en-US" w:eastAsia="zh-CN"/>
              </w:rPr>
              <w:t>具有会计类</w:t>
            </w:r>
            <w:r>
              <w:rPr>
                <w:rFonts w:hint="eastAsia" w:ascii="仿宋_GB2312" w:hAnsi="仿宋_GB2312" w:cs="仿宋_GB2312"/>
                <w:color w:val="auto"/>
                <w:kern w:val="44"/>
                <w:sz w:val="21"/>
                <w:szCs w:val="21"/>
                <w:highlight w:val="none"/>
                <w:lang w:eastAsia="zh-CN"/>
              </w:rPr>
              <w:t>或</w:t>
            </w:r>
            <w:r>
              <w:rPr>
                <w:rFonts w:hint="eastAsia" w:ascii="仿宋_GB2312" w:hAnsi="仿宋_GB2312" w:eastAsia="仿宋_GB2312" w:cs="仿宋_GB2312"/>
                <w:color w:val="auto"/>
                <w:kern w:val="44"/>
                <w:sz w:val="21"/>
                <w:szCs w:val="21"/>
                <w:highlight w:val="none"/>
                <w:lang w:val="en-US" w:eastAsia="zh-CN"/>
              </w:rPr>
              <w:t>数据分析类初级</w:t>
            </w:r>
            <w:r>
              <w:rPr>
                <w:rFonts w:hint="eastAsia" w:ascii="仿宋_GB2312" w:hAnsi="仿宋_GB2312" w:eastAsia="仿宋_GB2312" w:cs="仿宋_GB2312"/>
                <w:b w:val="0"/>
                <w:bCs w:val="0"/>
                <w:color w:val="auto"/>
                <w:kern w:val="44"/>
                <w:sz w:val="21"/>
                <w:szCs w:val="21"/>
                <w:highlight w:val="none"/>
                <w:lang w:val="en-US" w:eastAsia="zh-CN"/>
              </w:rPr>
              <w:t>技术资格</w:t>
            </w:r>
            <w:r>
              <w:rPr>
                <w:rFonts w:hint="eastAsia" w:ascii="仿宋_GB2312" w:hAnsi="仿宋_GB2312" w:eastAsia="仿宋_GB2312" w:cs="仿宋_GB2312"/>
                <w:color w:val="auto"/>
                <w:kern w:val="44"/>
                <w:sz w:val="21"/>
                <w:szCs w:val="21"/>
                <w:highlight w:val="none"/>
                <w:lang w:val="en-US" w:eastAsia="zh-CN"/>
              </w:rPr>
              <w:t>或经济学研究实习员（初级）</w:t>
            </w:r>
            <w:r>
              <w:rPr>
                <w:rFonts w:hint="eastAsia" w:ascii="仿宋_GB2312" w:hAnsi="仿宋_GB2312" w:eastAsia="仿宋_GB2312" w:cs="仿宋_GB2312"/>
                <w:color w:val="auto"/>
                <w:kern w:val="44"/>
                <w:sz w:val="21"/>
                <w:szCs w:val="21"/>
                <w:highlight w:val="none"/>
              </w:rPr>
              <w:t>职称</w:t>
            </w:r>
            <w:r>
              <w:rPr>
                <w:rFonts w:hint="eastAsia" w:ascii="仿宋_GB2312" w:hAnsi="仿宋_GB2312" w:eastAsia="仿宋_GB2312" w:cs="仿宋_GB2312"/>
                <w:color w:val="auto"/>
                <w:kern w:val="44"/>
                <w:sz w:val="21"/>
                <w:szCs w:val="21"/>
                <w:highlight w:val="none"/>
                <w:lang w:val="en-US" w:eastAsia="zh-CN"/>
              </w:rPr>
              <w:t>的，</w:t>
            </w:r>
            <w:r>
              <w:rPr>
                <w:rFonts w:hint="eastAsia" w:ascii="仿宋_GB2312" w:hAnsi="仿宋_GB2312" w:eastAsia="仿宋_GB2312" w:cs="仿宋_GB2312"/>
                <w:color w:val="auto"/>
                <w:kern w:val="44"/>
                <w:sz w:val="21"/>
                <w:szCs w:val="21"/>
                <w:highlight w:val="none"/>
              </w:rPr>
              <w:t>每提供一人得</w:t>
            </w:r>
            <w:r>
              <w:rPr>
                <w:rFonts w:hint="eastAsia" w:ascii="仿宋_GB2312" w:hAnsi="仿宋_GB2312" w:eastAsia="仿宋_GB2312" w:cs="仿宋_GB2312"/>
                <w:color w:val="auto"/>
                <w:kern w:val="44"/>
                <w:sz w:val="21"/>
                <w:szCs w:val="21"/>
                <w:highlight w:val="none"/>
                <w:lang w:val="en-US" w:eastAsia="zh-CN"/>
              </w:rPr>
              <w:t>1</w:t>
            </w:r>
            <w:r>
              <w:rPr>
                <w:rFonts w:hint="eastAsia" w:ascii="仿宋_GB2312" w:hAnsi="仿宋_GB2312" w:eastAsia="仿宋_GB2312" w:cs="仿宋_GB2312"/>
                <w:color w:val="auto"/>
                <w:kern w:val="44"/>
                <w:sz w:val="21"/>
                <w:szCs w:val="21"/>
                <w:highlight w:val="none"/>
              </w:rPr>
              <w:t>分；同一个人不重复计分，此项满分</w:t>
            </w:r>
            <w:r>
              <w:rPr>
                <w:rFonts w:hint="eastAsia" w:ascii="仿宋_GB2312" w:hAnsi="仿宋_GB2312" w:eastAsia="仿宋_GB2312" w:cs="仿宋_GB2312"/>
                <w:color w:val="auto"/>
                <w:kern w:val="44"/>
                <w:sz w:val="21"/>
                <w:szCs w:val="21"/>
                <w:highlight w:val="none"/>
                <w:lang w:val="en-US" w:eastAsia="zh-CN"/>
              </w:rPr>
              <w:t>3</w:t>
            </w:r>
            <w:r>
              <w:rPr>
                <w:rFonts w:hint="eastAsia" w:ascii="仿宋_GB2312" w:hAnsi="仿宋_GB2312" w:eastAsia="仿宋_GB2312" w:cs="仿宋_GB2312"/>
                <w:color w:val="auto"/>
                <w:kern w:val="44"/>
                <w:sz w:val="21"/>
                <w:szCs w:val="21"/>
                <w:highlight w:val="none"/>
              </w:rPr>
              <w:t>分</w:t>
            </w:r>
            <w:r>
              <w:rPr>
                <w:rFonts w:hint="eastAsia" w:ascii="仿宋_GB2312" w:hAnsi="仿宋_GB2312" w:eastAsia="仿宋_GB2312" w:cs="仿宋_GB2312"/>
                <w:color w:val="auto"/>
                <w:kern w:val="44"/>
                <w:sz w:val="21"/>
                <w:szCs w:val="21"/>
                <w:highlight w:val="none"/>
                <w:lang w:eastAsia="zh-CN"/>
              </w:rPr>
              <w:t>。</w:t>
            </w:r>
          </w:p>
          <w:p>
            <w:pPr>
              <w:numPr>
                <w:ilvl w:val="0"/>
                <w:numId w:val="0"/>
              </w:numPr>
              <w:spacing w:line="280" w:lineRule="exact"/>
              <w:rPr>
                <w:rStyle w:val="22"/>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color w:val="auto"/>
                <w:kern w:val="44"/>
                <w:sz w:val="21"/>
                <w:szCs w:val="21"/>
                <w:highlight w:val="none"/>
                <w:lang w:val="en-US" w:eastAsia="zh-CN"/>
              </w:rPr>
              <w:t>针对1、2项内容，同一个人不重复得分。</w:t>
            </w:r>
          </w:p>
        </w:tc>
        <w:tc>
          <w:tcPr>
            <w:tcW w:w="1318" w:type="pct"/>
            <w:vMerge w:val="continue"/>
            <w:tcBorders>
              <w:left w:val="nil"/>
              <w:right w:val="single" w:color="auto" w:sz="4" w:space="0"/>
            </w:tcBorders>
            <w:vAlign w:val="center"/>
          </w:tcPr>
          <w:p>
            <w:pPr>
              <w:snapToGrid w:val="0"/>
              <w:rPr>
                <w:rFonts w:hint="eastAsia" w:ascii="仿宋_GB2312" w:hAnsi="仿宋_GB2312"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235" w:type="pct"/>
            <w:tcBorders>
              <w:left w:val="single" w:color="auto" w:sz="4" w:space="0"/>
              <w:right w:val="single" w:color="auto" w:sz="4" w:space="0"/>
            </w:tcBorders>
            <w:vAlign w:val="center"/>
          </w:tcPr>
          <w:p>
            <w:pPr>
              <w:spacing w:line="280" w:lineRule="exact"/>
              <w:rPr>
                <w:rFonts w:hint="eastAsia" w:ascii="仿宋_GB2312" w:hAnsi="仿宋_GB2312" w:eastAsia="仿宋_GB2312" w:cs="仿宋_GB2312"/>
                <w:color w:val="auto"/>
                <w:sz w:val="21"/>
                <w:szCs w:val="21"/>
                <w:highlight w:val="none"/>
              </w:rPr>
            </w:pPr>
            <w:r>
              <w:rPr>
                <w:rFonts w:hint="default" w:ascii="仿宋_GB2312" w:hAnsi="仿宋_GB2312" w:cs="仿宋_GB2312"/>
                <w:color w:val="auto"/>
                <w:kern w:val="44"/>
                <w:szCs w:val="21"/>
                <w:lang w:val="en-US" w:eastAsia="zh-CN"/>
              </w:rPr>
              <w:t>5</w:t>
            </w:r>
          </w:p>
        </w:tc>
        <w:tc>
          <w:tcPr>
            <w:tcW w:w="351" w:type="pct"/>
            <w:tcBorders>
              <w:left w:val="nil"/>
              <w:right w:val="single" w:color="auto" w:sz="4" w:space="0"/>
            </w:tcBorders>
            <w:vAlign w:val="center"/>
          </w:tcPr>
          <w:p>
            <w:pPr>
              <w:spacing w:line="280" w:lineRule="exact"/>
              <w:rPr>
                <w:rFonts w:hint="eastAsia" w:ascii="仿宋_GB2312" w:hAnsi="仿宋_GB2312" w:eastAsia="仿宋_GB2312" w:cs="仿宋_GB2312"/>
                <w:color w:val="auto"/>
                <w:kern w:val="0"/>
                <w:sz w:val="21"/>
                <w:szCs w:val="21"/>
                <w:highlight w:val="none"/>
              </w:rPr>
            </w:pPr>
            <w:r>
              <w:rPr>
                <w:rFonts w:hint="eastAsia" w:ascii="仿宋_GB2312" w:hAnsi="仿宋_GB2312" w:cs="仿宋_GB2312"/>
                <w:color w:val="auto"/>
                <w:kern w:val="44"/>
                <w:szCs w:val="21"/>
                <w:lang w:eastAsia="zh-CN"/>
              </w:rPr>
              <w:t>诚信情况</w:t>
            </w:r>
            <w:r>
              <w:rPr>
                <w:rFonts w:hint="eastAsia" w:ascii="仿宋_GB2312" w:hAnsi="仿宋_GB2312" w:eastAsia="仿宋_GB2312" w:cs="仿宋_GB2312"/>
                <w:color w:val="auto"/>
                <w:kern w:val="44"/>
                <w:szCs w:val="21"/>
              </w:rPr>
              <w:t>（</w:t>
            </w:r>
            <w:r>
              <w:rPr>
                <w:rFonts w:hint="eastAsia" w:ascii="仿宋_GB2312" w:hAnsi="仿宋_GB2312" w:eastAsia="仿宋_GB2312" w:cs="仿宋_GB2312"/>
                <w:color w:val="auto"/>
                <w:kern w:val="44"/>
                <w:szCs w:val="21"/>
                <w:lang w:val="en-US" w:eastAsia="zh-CN"/>
              </w:rPr>
              <w:t>5</w:t>
            </w:r>
            <w:r>
              <w:rPr>
                <w:rFonts w:hint="eastAsia" w:ascii="仿宋_GB2312" w:hAnsi="仿宋_GB2312" w:eastAsia="仿宋_GB2312" w:cs="仿宋_GB2312"/>
                <w:color w:val="auto"/>
                <w:kern w:val="44"/>
                <w:szCs w:val="21"/>
              </w:rPr>
              <w:t>分）</w:t>
            </w:r>
          </w:p>
        </w:tc>
        <w:tc>
          <w:tcPr>
            <w:tcW w:w="351" w:type="pct"/>
            <w:tcBorders>
              <w:top w:val="single" w:color="auto" w:sz="4" w:space="0"/>
              <w:left w:val="nil"/>
              <w:bottom w:val="single" w:color="auto" w:sz="4" w:space="0"/>
              <w:right w:val="single" w:color="auto" w:sz="4" w:space="0"/>
            </w:tcBorders>
            <w:vAlign w:val="center"/>
          </w:tcPr>
          <w:p>
            <w:pPr>
              <w:spacing w:line="280" w:lineRule="exact"/>
              <w:rPr>
                <w:rFonts w:hint="eastAsia" w:ascii="仿宋_GB2312" w:hAnsi="仿宋_GB2312" w:eastAsia="仿宋_GB2312" w:cs="仿宋_GB2312"/>
                <w:color w:val="auto"/>
                <w:kern w:val="44"/>
                <w:sz w:val="21"/>
                <w:szCs w:val="21"/>
                <w:highlight w:val="none"/>
              </w:rPr>
            </w:pPr>
            <w:r>
              <w:rPr>
                <w:rFonts w:hint="eastAsia" w:ascii="仿宋_GB2312" w:hAnsi="仿宋_GB2312" w:cs="仿宋_GB2312"/>
                <w:color w:val="auto"/>
                <w:kern w:val="44"/>
                <w:szCs w:val="21"/>
                <w:lang w:eastAsia="zh-CN"/>
              </w:rPr>
              <w:t>诚信情况</w:t>
            </w:r>
          </w:p>
        </w:tc>
        <w:tc>
          <w:tcPr>
            <w:tcW w:w="235" w:type="pct"/>
            <w:tcBorders>
              <w:top w:val="single" w:color="auto" w:sz="4" w:space="0"/>
              <w:left w:val="nil"/>
              <w:bottom w:val="single" w:color="auto" w:sz="4" w:space="0"/>
              <w:right w:val="single" w:color="auto" w:sz="4" w:space="0"/>
            </w:tcBorders>
            <w:vAlign w:val="center"/>
          </w:tcPr>
          <w:p>
            <w:pPr>
              <w:spacing w:line="280" w:lineRule="exact"/>
              <w:rPr>
                <w:rStyle w:val="22"/>
                <w:rFonts w:hint="eastAsia" w:ascii="仿宋_GB2312" w:hAnsi="仿宋_GB2312" w:eastAsia="仿宋_GB2312" w:cs="仿宋_GB2312"/>
                <w:b w:val="0"/>
                <w:bCs w:val="0"/>
                <w:color w:val="auto"/>
                <w:sz w:val="21"/>
                <w:szCs w:val="21"/>
                <w:highlight w:val="none"/>
                <w:lang w:val="en-US" w:eastAsia="zh-CN"/>
              </w:rPr>
            </w:pPr>
            <w:r>
              <w:rPr>
                <w:rFonts w:hint="eastAsia" w:ascii="仿宋_GB2312" w:hAnsi="仿宋_GB2312" w:eastAsia="仿宋_GB2312" w:cs="仿宋_GB2312"/>
                <w:color w:val="auto"/>
                <w:kern w:val="44"/>
                <w:szCs w:val="21"/>
                <w:lang w:val="en-US" w:eastAsia="zh-CN"/>
              </w:rPr>
              <w:t>5</w:t>
            </w:r>
          </w:p>
        </w:tc>
        <w:tc>
          <w:tcPr>
            <w:tcW w:w="2508" w:type="pct"/>
            <w:tcBorders>
              <w:top w:val="single" w:color="auto" w:sz="4" w:space="0"/>
              <w:left w:val="nil"/>
              <w:bottom w:val="single" w:color="auto" w:sz="4" w:space="0"/>
              <w:right w:val="single" w:color="auto" w:sz="4" w:space="0"/>
            </w:tcBorders>
            <w:vAlign w:val="center"/>
          </w:tcPr>
          <w:p>
            <w:pPr>
              <w:widowControl/>
              <w:snapToGrid w:val="0"/>
              <w:spacing w:line="240" w:lineRule="atLeast"/>
              <w:jc w:val="left"/>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投标人承诺“本单位（公司）不存在《深圳市财政局政府采购供应商信用信息管理办法》（深财规〔2023〕3号）列明的严重违法失信行为”</w:t>
            </w:r>
            <w:r>
              <w:rPr>
                <w:rFonts w:hint="eastAsia" w:ascii="仿宋_GB2312" w:hAnsi="仿宋_GB2312" w:eastAsia="仿宋_GB2312" w:cs="仿宋_GB2312"/>
                <w:color w:val="auto"/>
                <w:szCs w:val="21"/>
                <w:lang w:eastAsia="zh-CN"/>
              </w:rPr>
              <w:t>，</w:t>
            </w:r>
            <w:r>
              <w:rPr>
                <w:rFonts w:hint="eastAsia" w:ascii="仿宋_GB2312" w:hAnsi="仿宋_GB2312" w:eastAsia="仿宋_GB2312" w:cs="仿宋_GB2312"/>
                <w:color w:val="auto"/>
                <w:szCs w:val="21"/>
                <w:lang w:val="en-US" w:eastAsia="zh-CN"/>
              </w:rPr>
              <w:t>本项得满分，并提供相应查询结果作为证明。</w:t>
            </w:r>
            <w:r>
              <w:rPr>
                <w:rFonts w:hint="eastAsia" w:ascii="仿宋_GB2312" w:hAnsi="仿宋_GB2312" w:eastAsia="仿宋_GB2312" w:cs="仿宋_GB2312"/>
                <w:color w:val="auto"/>
                <w:szCs w:val="21"/>
              </w:rPr>
              <w:t>投标人存在《深圳市财政局政府采购供应商信用信息管理办法》（深财规〔2023〕3号）列明的一般行政处罚信息、一般违法失信记录信息的，</w:t>
            </w:r>
            <w:r>
              <w:rPr>
                <w:rFonts w:hint="eastAsia" w:ascii="仿宋_GB2312" w:hAnsi="仿宋_GB2312" w:eastAsia="仿宋_GB2312" w:cs="仿宋_GB2312"/>
                <w:color w:val="auto"/>
                <w:szCs w:val="21"/>
                <w:lang w:val="en-US" w:eastAsia="zh-CN"/>
              </w:rPr>
              <w:t>本项</w:t>
            </w:r>
            <w:r>
              <w:rPr>
                <w:rFonts w:hint="eastAsia" w:ascii="仿宋_GB2312" w:hAnsi="仿宋_GB2312" w:eastAsia="仿宋_GB2312" w:cs="仿宋_GB2312"/>
                <w:color w:val="auto"/>
                <w:szCs w:val="21"/>
              </w:rPr>
              <w:t>不得分。</w:t>
            </w:r>
          </w:p>
          <w:p>
            <w:pPr>
              <w:spacing w:line="280" w:lineRule="exact"/>
              <w:rPr>
                <w:rFonts w:hint="eastAsia" w:ascii="仿宋_GB2312" w:hAnsi="仿宋_GB2312" w:eastAsia="仿宋_GB2312" w:cs="仿宋_GB2312"/>
                <w:color w:val="auto"/>
                <w:kern w:val="44"/>
                <w:sz w:val="21"/>
                <w:szCs w:val="21"/>
                <w:highlight w:val="none"/>
                <w:lang w:val="en-US" w:eastAsia="zh-CN"/>
              </w:rPr>
            </w:pPr>
          </w:p>
        </w:tc>
        <w:tc>
          <w:tcPr>
            <w:tcW w:w="1318" w:type="pct"/>
            <w:tcBorders>
              <w:left w:val="nil"/>
              <w:right w:val="single" w:color="auto" w:sz="4" w:space="0"/>
            </w:tcBorders>
            <w:vAlign w:val="center"/>
          </w:tcPr>
          <w:p>
            <w:pPr>
              <w:spacing w:line="280" w:lineRule="exact"/>
              <w:rPr>
                <w:rFonts w:hint="eastAsia" w:ascii="仿宋_GB2312" w:hAnsi="仿宋_GB2312" w:eastAsia="仿宋_GB2312" w:cs="仿宋_GB2312"/>
                <w:color w:val="auto"/>
                <w:kern w:val="44"/>
                <w:szCs w:val="21"/>
              </w:rPr>
            </w:pPr>
            <w:r>
              <w:rPr>
                <w:rFonts w:hint="eastAsia" w:ascii="仿宋_GB2312" w:hAnsi="仿宋_GB2312" w:eastAsia="仿宋_GB2312" w:cs="仿宋_GB2312"/>
                <w:color w:val="auto"/>
                <w:kern w:val="44"/>
                <w:szCs w:val="21"/>
              </w:rPr>
              <w:t>承诺文件(格式自拟)，如服务承诺等。</w:t>
            </w:r>
          </w:p>
          <w:p>
            <w:pPr>
              <w:widowControl/>
              <w:snapToGrid w:val="0"/>
              <w:spacing w:line="240" w:lineRule="atLeast"/>
              <w:jc w:val="left"/>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评分依据：</w:t>
            </w:r>
          </w:p>
          <w:p>
            <w:pPr>
              <w:pStyle w:val="2"/>
              <w:keepNext w:val="0"/>
              <w:keepLines w:val="0"/>
              <w:pageBreakBefore w:val="0"/>
              <w:widowControl w:val="0"/>
              <w:kinsoku/>
              <w:wordWrap w:val="0"/>
              <w:overflowPunct/>
              <w:topLinePunct w:val="0"/>
              <w:autoSpaceDE/>
              <w:autoSpaceDN/>
              <w:bidi w:val="0"/>
              <w:adjustRightInd/>
              <w:snapToGrid/>
              <w:textAlignment w:val="auto"/>
              <w:rPr>
                <w:rFonts w:hint="eastAsia"/>
                <w:color w:val="auto"/>
              </w:rPr>
            </w:pPr>
            <w:r>
              <w:rPr>
                <w:rFonts w:hint="eastAsia" w:ascii="仿宋_GB2312" w:hAnsi="仿宋_GB2312" w:eastAsia="仿宋_GB2312" w:cs="仿宋_GB2312"/>
                <w:color w:val="auto"/>
                <w:szCs w:val="21"/>
                <w:lang w:val="en-US" w:eastAsia="zh-CN"/>
              </w:rPr>
              <w:t>投标人递交以下渠道的查询结果作为证明材料，</w:t>
            </w:r>
            <w:r>
              <w:rPr>
                <w:rFonts w:hint="eastAsia" w:ascii="仿宋_GB2312" w:hAnsi="仿宋_GB2312" w:eastAsia="仿宋_GB2312" w:cs="仿宋_GB2312"/>
                <w:color w:val="auto"/>
                <w:szCs w:val="21"/>
              </w:rPr>
              <w:t>具体包括“信用中国”（www.creditchina.gov.cn）、“中国政府采购网”（www.ccgp.gov.cn）、“深圳市政府采购监管网”（http://zfcg.sz.gov.cn），具体以</w:t>
            </w:r>
            <w:r>
              <w:rPr>
                <w:rFonts w:hint="eastAsia" w:ascii="仿宋_GB2312" w:hAnsi="仿宋_GB2312" w:eastAsia="仿宋_GB2312" w:cs="仿宋_GB2312"/>
                <w:color w:val="auto"/>
                <w:szCs w:val="21"/>
                <w:lang w:eastAsia="zh-CN"/>
              </w:rPr>
              <w:t>采购单位</w:t>
            </w:r>
            <w:r>
              <w:rPr>
                <w:rFonts w:hint="eastAsia" w:ascii="仿宋_GB2312" w:hAnsi="仿宋_GB2312" w:eastAsia="仿宋_GB2312" w:cs="仿宋_GB2312"/>
                <w:color w:val="auto"/>
                <w:szCs w:val="21"/>
              </w:rPr>
              <w:t>查询结果为准，鼓</w:t>
            </w:r>
            <w:bookmarkStart w:id="0" w:name="_GoBack"/>
            <w:bookmarkEnd w:id="0"/>
            <w:r>
              <w:rPr>
                <w:rFonts w:hint="eastAsia" w:ascii="仿宋_GB2312" w:hAnsi="仿宋_GB2312" w:eastAsia="仿宋_GB2312" w:cs="仿宋_GB2312"/>
                <w:color w:val="auto"/>
                <w:szCs w:val="21"/>
              </w:rPr>
              <w:t>励使用“信用中国”网站提供的信用信息报告，信用信息查询记录（含信用报告）作为项目档案材料一并保存。</w:t>
            </w:r>
          </w:p>
        </w:tc>
      </w:tr>
    </w:tbl>
    <w:p>
      <w:pPr>
        <w:widowControl/>
        <w:shd w:val="clear" w:color="auto" w:fill="FFFFFF"/>
        <w:jc w:val="left"/>
        <w:rPr>
          <w:rFonts w:ascii="仿宋_GB2312"/>
          <w:b/>
          <w:color w:val="auto"/>
          <w:sz w:val="84"/>
          <w:szCs w:val="84"/>
          <w:highlight w:val="none"/>
        </w:rPr>
      </w:pPr>
    </w:p>
    <w:sectPr>
      <w:pgSz w:w="11906" w:h="16838"/>
      <w:pgMar w:top="1985"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8"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隶书">
    <w:altName w:val="方正隶书_GBK"/>
    <w:panose1 w:val="02010509060101010101"/>
    <w:charset w:val="86"/>
    <w:family w:val="modern"/>
    <w:pitch w:val="default"/>
    <w:sig w:usb0="00000000" w:usb1="00000000" w:usb2="00000000" w:usb3="00000000" w:csb0="00040000" w:csb1="00000000"/>
  </w:font>
  <w:font w:name="方正隶书_GBK">
    <w:panose1 w:val="02000000000000000000"/>
    <w:charset w:val="86"/>
    <w:family w:val="auto"/>
    <w:pitch w:val="default"/>
    <w:sig w:usb0="00000001" w:usb1="08000000" w:usb2="00000000" w:usb3="00000000" w:csb0="00040000" w:csb1="00000000"/>
  </w:font>
  <w:font w:name="长城仿宋">
    <w:altName w:val="方正仿宋_GBK"/>
    <w:panose1 w:val="00000000000000000000"/>
    <w:charset w:val="86"/>
    <w:family w:val="modern"/>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青鸟华光简小标宋">
    <w:panose1 w:val="02010604000101010101"/>
    <w:charset w:val="86"/>
    <w:family w:val="auto"/>
    <w:pitch w:val="default"/>
    <w:sig w:usb0="00000001" w:usb1="080E0000" w:usb2="00000000" w:usb3="00000000" w:csb0="00040001" w:csb1="00000000"/>
  </w:font>
  <w:font w:name="等线">
    <w:altName w:val="华文仿宋"/>
    <w:panose1 w:val="02010600030101010101"/>
    <w:charset w:val="86"/>
    <w:family w:val="auto"/>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 w:name="Arial">
    <w:altName w:val="DejaVu Sans"/>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zYmY0ZWQ3ZGU5NmRjN2UwYTA5NDFjMzYwYjExNjMifQ=="/>
  </w:docVars>
  <w:rsids>
    <w:rsidRoot w:val="00172A27"/>
    <w:rsid w:val="00020E09"/>
    <w:rsid w:val="00021DA5"/>
    <w:rsid w:val="00057BC1"/>
    <w:rsid w:val="000A3FB0"/>
    <w:rsid w:val="000B199E"/>
    <w:rsid w:val="000B6501"/>
    <w:rsid w:val="000C2DED"/>
    <w:rsid w:val="000C7314"/>
    <w:rsid w:val="000F32DC"/>
    <w:rsid w:val="000F43F0"/>
    <w:rsid w:val="00100488"/>
    <w:rsid w:val="00130287"/>
    <w:rsid w:val="00141B95"/>
    <w:rsid w:val="00150EA5"/>
    <w:rsid w:val="00170470"/>
    <w:rsid w:val="00172A27"/>
    <w:rsid w:val="00172E78"/>
    <w:rsid w:val="00181807"/>
    <w:rsid w:val="00185292"/>
    <w:rsid w:val="0019366D"/>
    <w:rsid w:val="001946C2"/>
    <w:rsid w:val="001A5395"/>
    <w:rsid w:val="001C5094"/>
    <w:rsid w:val="001F06F3"/>
    <w:rsid w:val="001F4290"/>
    <w:rsid w:val="001F739B"/>
    <w:rsid w:val="00213D80"/>
    <w:rsid w:val="00221DE6"/>
    <w:rsid w:val="00222F46"/>
    <w:rsid w:val="0025295E"/>
    <w:rsid w:val="00290D35"/>
    <w:rsid w:val="002A140E"/>
    <w:rsid w:val="002A2B62"/>
    <w:rsid w:val="002B1387"/>
    <w:rsid w:val="002D0798"/>
    <w:rsid w:val="002D0BBE"/>
    <w:rsid w:val="002E7D65"/>
    <w:rsid w:val="002F0017"/>
    <w:rsid w:val="002F16F8"/>
    <w:rsid w:val="002F5A2C"/>
    <w:rsid w:val="00301C8C"/>
    <w:rsid w:val="0032315F"/>
    <w:rsid w:val="003238D9"/>
    <w:rsid w:val="00367E64"/>
    <w:rsid w:val="0039205B"/>
    <w:rsid w:val="003B3AEB"/>
    <w:rsid w:val="003C10A2"/>
    <w:rsid w:val="003E70CB"/>
    <w:rsid w:val="003F4125"/>
    <w:rsid w:val="004057AC"/>
    <w:rsid w:val="00412395"/>
    <w:rsid w:val="00415A37"/>
    <w:rsid w:val="004231DB"/>
    <w:rsid w:val="004307D1"/>
    <w:rsid w:val="00446D65"/>
    <w:rsid w:val="004507BA"/>
    <w:rsid w:val="004510C5"/>
    <w:rsid w:val="0045426C"/>
    <w:rsid w:val="00467326"/>
    <w:rsid w:val="00467A10"/>
    <w:rsid w:val="004726D7"/>
    <w:rsid w:val="00475583"/>
    <w:rsid w:val="0047747F"/>
    <w:rsid w:val="00480C60"/>
    <w:rsid w:val="004864C8"/>
    <w:rsid w:val="00487EB2"/>
    <w:rsid w:val="0049196C"/>
    <w:rsid w:val="00492837"/>
    <w:rsid w:val="004928F5"/>
    <w:rsid w:val="004B3AF6"/>
    <w:rsid w:val="004B5052"/>
    <w:rsid w:val="004D39CD"/>
    <w:rsid w:val="004D7981"/>
    <w:rsid w:val="004E2DCE"/>
    <w:rsid w:val="005017FD"/>
    <w:rsid w:val="00504388"/>
    <w:rsid w:val="0050638A"/>
    <w:rsid w:val="00532D28"/>
    <w:rsid w:val="00540C42"/>
    <w:rsid w:val="00544D99"/>
    <w:rsid w:val="00554033"/>
    <w:rsid w:val="00567450"/>
    <w:rsid w:val="005718E3"/>
    <w:rsid w:val="005823F6"/>
    <w:rsid w:val="005C37EA"/>
    <w:rsid w:val="005D6CB4"/>
    <w:rsid w:val="0061153D"/>
    <w:rsid w:val="0062582D"/>
    <w:rsid w:val="00640E9A"/>
    <w:rsid w:val="006413CD"/>
    <w:rsid w:val="006434AD"/>
    <w:rsid w:val="00652127"/>
    <w:rsid w:val="00660BCF"/>
    <w:rsid w:val="00661F50"/>
    <w:rsid w:val="006818C8"/>
    <w:rsid w:val="006A3127"/>
    <w:rsid w:val="006C0A12"/>
    <w:rsid w:val="006C3F2B"/>
    <w:rsid w:val="006C4AE1"/>
    <w:rsid w:val="006C7A61"/>
    <w:rsid w:val="006E6F13"/>
    <w:rsid w:val="006F4885"/>
    <w:rsid w:val="006F5EDE"/>
    <w:rsid w:val="00720FED"/>
    <w:rsid w:val="00722565"/>
    <w:rsid w:val="0075697F"/>
    <w:rsid w:val="00771ACE"/>
    <w:rsid w:val="007835BB"/>
    <w:rsid w:val="00794327"/>
    <w:rsid w:val="00795504"/>
    <w:rsid w:val="00795700"/>
    <w:rsid w:val="007B5198"/>
    <w:rsid w:val="007D6209"/>
    <w:rsid w:val="007E46B9"/>
    <w:rsid w:val="007F7260"/>
    <w:rsid w:val="00812BA5"/>
    <w:rsid w:val="00817316"/>
    <w:rsid w:val="00825DF8"/>
    <w:rsid w:val="008325B5"/>
    <w:rsid w:val="00840E90"/>
    <w:rsid w:val="00852579"/>
    <w:rsid w:val="00875ADD"/>
    <w:rsid w:val="00884AD2"/>
    <w:rsid w:val="00887562"/>
    <w:rsid w:val="00897427"/>
    <w:rsid w:val="008A0FD0"/>
    <w:rsid w:val="008A121B"/>
    <w:rsid w:val="008A1E8E"/>
    <w:rsid w:val="008A7335"/>
    <w:rsid w:val="008B6B45"/>
    <w:rsid w:val="008C2376"/>
    <w:rsid w:val="008D034E"/>
    <w:rsid w:val="008D24BC"/>
    <w:rsid w:val="00905CFF"/>
    <w:rsid w:val="009125A0"/>
    <w:rsid w:val="00934F75"/>
    <w:rsid w:val="00936287"/>
    <w:rsid w:val="00944932"/>
    <w:rsid w:val="009C2696"/>
    <w:rsid w:val="009F4E9E"/>
    <w:rsid w:val="00A0267D"/>
    <w:rsid w:val="00A04AAB"/>
    <w:rsid w:val="00A1312A"/>
    <w:rsid w:val="00A21345"/>
    <w:rsid w:val="00A66276"/>
    <w:rsid w:val="00AB4673"/>
    <w:rsid w:val="00AB70D5"/>
    <w:rsid w:val="00AE4593"/>
    <w:rsid w:val="00AE703A"/>
    <w:rsid w:val="00AF293D"/>
    <w:rsid w:val="00B07964"/>
    <w:rsid w:val="00B12E4D"/>
    <w:rsid w:val="00B15A67"/>
    <w:rsid w:val="00B5781B"/>
    <w:rsid w:val="00B57CAC"/>
    <w:rsid w:val="00B627FC"/>
    <w:rsid w:val="00B6615E"/>
    <w:rsid w:val="00B73CC9"/>
    <w:rsid w:val="00BB0CE2"/>
    <w:rsid w:val="00BC787D"/>
    <w:rsid w:val="00BD6738"/>
    <w:rsid w:val="00BE0805"/>
    <w:rsid w:val="00BE31FD"/>
    <w:rsid w:val="00C01C6E"/>
    <w:rsid w:val="00C4075F"/>
    <w:rsid w:val="00C46584"/>
    <w:rsid w:val="00C5116E"/>
    <w:rsid w:val="00C81F1D"/>
    <w:rsid w:val="00C87F94"/>
    <w:rsid w:val="00CB0C69"/>
    <w:rsid w:val="00CC44E7"/>
    <w:rsid w:val="00CF1485"/>
    <w:rsid w:val="00D358A0"/>
    <w:rsid w:val="00D5414B"/>
    <w:rsid w:val="00D5433F"/>
    <w:rsid w:val="00D63024"/>
    <w:rsid w:val="00D72AF8"/>
    <w:rsid w:val="00DB1F14"/>
    <w:rsid w:val="00DC0C91"/>
    <w:rsid w:val="00DC29A0"/>
    <w:rsid w:val="00DC5018"/>
    <w:rsid w:val="00DC6237"/>
    <w:rsid w:val="00DF797B"/>
    <w:rsid w:val="00E01955"/>
    <w:rsid w:val="00E15CB4"/>
    <w:rsid w:val="00E25D77"/>
    <w:rsid w:val="00E42E05"/>
    <w:rsid w:val="00E56D20"/>
    <w:rsid w:val="00E75710"/>
    <w:rsid w:val="00E92D53"/>
    <w:rsid w:val="00E936B7"/>
    <w:rsid w:val="00E95DB2"/>
    <w:rsid w:val="00EA0058"/>
    <w:rsid w:val="00EB0BED"/>
    <w:rsid w:val="00EB356E"/>
    <w:rsid w:val="00EB7262"/>
    <w:rsid w:val="00EC4BA3"/>
    <w:rsid w:val="00EE6E7F"/>
    <w:rsid w:val="00EE7047"/>
    <w:rsid w:val="00EF0790"/>
    <w:rsid w:val="00F21C1B"/>
    <w:rsid w:val="00F31AE5"/>
    <w:rsid w:val="00F335B4"/>
    <w:rsid w:val="00F77F66"/>
    <w:rsid w:val="00F82FDE"/>
    <w:rsid w:val="00F85B8F"/>
    <w:rsid w:val="00F9352F"/>
    <w:rsid w:val="00F95A1C"/>
    <w:rsid w:val="00FA15DE"/>
    <w:rsid w:val="00FC5AFA"/>
    <w:rsid w:val="00FD0F9D"/>
    <w:rsid w:val="00FD60D4"/>
    <w:rsid w:val="00FE1F03"/>
    <w:rsid w:val="00FE4A63"/>
    <w:rsid w:val="00FE55F5"/>
    <w:rsid w:val="00FF3CA4"/>
    <w:rsid w:val="00FF4072"/>
    <w:rsid w:val="03084CFA"/>
    <w:rsid w:val="03E17676"/>
    <w:rsid w:val="04841E50"/>
    <w:rsid w:val="04E416EA"/>
    <w:rsid w:val="05AD1B88"/>
    <w:rsid w:val="066E30C6"/>
    <w:rsid w:val="09075A53"/>
    <w:rsid w:val="0A4405F3"/>
    <w:rsid w:val="0B5B08E4"/>
    <w:rsid w:val="0B9D63F6"/>
    <w:rsid w:val="0D8C6527"/>
    <w:rsid w:val="0DDE4FD5"/>
    <w:rsid w:val="0ED9579C"/>
    <w:rsid w:val="116221A2"/>
    <w:rsid w:val="119D6F55"/>
    <w:rsid w:val="16E3540A"/>
    <w:rsid w:val="16F21B92"/>
    <w:rsid w:val="171B5989"/>
    <w:rsid w:val="17DF31BC"/>
    <w:rsid w:val="19F618F8"/>
    <w:rsid w:val="1A0E6C42"/>
    <w:rsid w:val="1AE65F92"/>
    <w:rsid w:val="1B0A497C"/>
    <w:rsid w:val="1B8F2661"/>
    <w:rsid w:val="1CE80C9D"/>
    <w:rsid w:val="1D736698"/>
    <w:rsid w:val="1FF97B16"/>
    <w:rsid w:val="1FFD2020"/>
    <w:rsid w:val="20B147CB"/>
    <w:rsid w:val="20BC7932"/>
    <w:rsid w:val="21527A75"/>
    <w:rsid w:val="21CE4791"/>
    <w:rsid w:val="21D87C96"/>
    <w:rsid w:val="227A59A9"/>
    <w:rsid w:val="22C82434"/>
    <w:rsid w:val="22FE5379"/>
    <w:rsid w:val="24002361"/>
    <w:rsid w:val="24805EB7"/>
    <w:rsid w:val="28C52BC1"/>
    <w:rsid w:val="293F3626"/>
    <w:rsid w:val="29EDEF5D"/>
    <w:rsid w:val="29FA689B"/>
    <w:rsid w:val="2A622692"/>
    <w:rsid w:val="2C533A9B"/>
    <w:rsid w:val="2D7BF2F5"/>
    <w:rsid w:val="2F0FE9DD"/>
    <w:rsid w:val="2FA74890"/>
    <w:rsid w:val="2FFB973A"/>
    <w:rsid w:val="30760C45"/>
    <w:rsid w:val="31B22151"/>
    <w:rsid w:val="33794AAC"/>
    <w:rsid w:val="338A5133"/>
    <w:rsid w:val="3438761D"/>
    <w:rsid w:val="355A6F55"/>
    <w:rsid w:val="356C399C"/>
    <w:rsid w:val="35B627F1"/>
    <w:rsid w:val="35F40F8A"/>
    <w:rsid w:val="36727407"/>
    <w:rsid w:val="372238D5"/>
    <w:rsid w:val="37D7976C"/>
    <w:rsid w:val="39375858"/>
    <w:rsid w:val="3A23599A"/>
    <w:rsid w:val="3A82740C"/>
    <w:rsid w:val="3AB11561"/>
    <w:rsid w:val="3BA36CA3"/>
    <w:rsid w:val="3CD218F9"/>
    <w:rsid w:val="3DED215A"/>
    <w:rsid w:val="3E453F37"/>
    <w:rsid w:val="3F7F2FF5"/>
    <w:rsid w:val="3F9FCE54"/>
    <w:rsid w:val="3FBF7544"/>
    <w:rsid w:val="3FFC0947"/>
    <w:rsid w:val="40161AFD"/>
    <w:rsid w:val="41DB4DAC"/>
    <w:rsid w:val="434E11A2"/>
    <w:rsid w:val="44CB3103"/>
    <w:rsid w:val="44FE2016"/>
    <w:rsid w:val="45292ED3"/>
    <w:rsid w:val="454470ED"/>
    <w:rsid w:val="4638A30A"/>
    <w:rsid w:val="466B289F"/>
    <w:rsid w:val="47150D60"/>
    <w:rsid w:val="47DD44F1"/>
    <w:rsid w:val="48A16BCA"/>
    <w:rsid w:val="4C667968"/>
    <w:rsid w:val="4C681932"/>
    <w:rsid w:val="4D4A3571"/>
    <w:rsid w:val="4F74239C"/>
    <w:rsid w:val="51121CFE"/>
    <w:rsid w:val="51586419"/>
    <w:rsid w:val="52472FB7"/>
    <w:rsid w:val="52F956CE"/>
    <w:rsid w:val="53310EBC"/>
    <w:rsid w:val="533B7DA0"/>
    <w:rsid w:val="537961D3"/>
    <w:rsid w:val="53AE0BC8"/>
    <w:rsid w:val="53E47AF0"/>
    <w:rsid w:val="5407093A"/>
    <w:rsid w:val="54AA6F8B"/>
    <w:rsid w:val="55DD6EED"/>
    <w:rsid w:val="56804052"/>
    <w:rsid w:val="56AF6ADB"/>
    <w:rsid w:val="582350DD"/>
    <w:rsid w:val="59795A7F"/>
    <w:rsid w:val="598E0068"/>
    <w:rsid w:val="5A295D9C"/>
    <w:rsid w:val="5AD1EEA6"/>
    <w:rsid w:val="5BB78225"/>
    <w:rsid w:val="5BDF895A"/>
    <w:rsid w:val="5EFFA090"/>
    <w:rsid w:val="5F3C2B76"/>
    <w:rsid w:val="5F6417DC"/>
    <w:rsid w:val="5FF64F45"/>
    <w:rsid w:val="6020371A"/>
    <w:rsid w:val="62B7514A"/>
    <w:rsid w:val="62E278F0"/>
    <w:rsid w:val="6535979C"/>
    <w:rsid w:val="653B59DE"/>
    <w:rsid w:val="66160211"/>
    <w:rsid w:val="665448FD"/>
    <w:rsid w:val="66F70923"/>
    <w:rsid w:val="67B6075E"/>
    <w:rsid w:val="67BA377B"/>
    <w:rsid w:val="67F6E59E"/>
    <w:rsid w:val="6831546A"/>
    <w:rsid w:val="68D51405"/>
    <w:rsid w:val="69A14B05"/>
    <w:rsid w:val="69E40947"/>
    <w:rsid w:val="6A677230"/>
    <w:rsid w:val="6B680BAF"/>
    <w:rsid w:val="6B7EDB95"/>
    <w:rsid w:val="6BB950B7"/>
    <w:rsid w:val="6BEA5A68"/>
    <w:rsid w:val="6BED2D79"/>
    <w:rsid w:val="6C2E596C"/>
    <w:rsid w:val="6C3E47E6"/>
    <w:rsid w:val="6C6D5975"/>
    <w:rsid w:val="6DC07296"/>
    <w:rsid w:val="6DFB19BB"/>
    <w:rsid w:val="6DFF0196"/>
    <w:rsid w:val="6EFFA18B"/>
    <w:rsid w:val="6F7DC9BB"/>
    <w:rsid w:val="6F940CDC"/>
    <w:rsid w:val="6FAF0302"/>
    <w:rsid w:val="6FCBDA35"/>
    <w:rsid w:val="6FDF601B"/>
    <w:rsid w:val="6FDF98E6"/>
    <w:rsid w:val="6FFF5AE6"/>
    <w:rsid w:val="72C129EB"/>
    <w:rsid w:val="7397EB76"/>
    <w:rsid w:val="73E4861E"/>
    <w:rsid w:val="746E722C"/>
    <w:rsid w:val="74B9135E"/>
    <w:rsid w:val="74DF024A"/>
    <w:rsid w:val="757F003D"/>
    <w:rsid w:val="75FC4714"/>
    <w:rsid w:val="76B968DF"/>
    <w:rsid w:val="771C4F16"/>
    <w:rsid w:val="77BE16DC"/>
    <w:rsid w:val="77DF1D4C"/>
    <w:rsid w:val="77E58947"/>
    <w:rsid w:val="78482494"/>
    <w:rsid w:val="78757AE0"/>
    <w:rsid w:val="79FD40F4"/>
    <w:rsid w:val="7A112E0E"/>
    <w:rsid w:val="7A5C2227"/>
    <w:rsid w:val="7A6DC29B"/>
    <w:rsid w:val="7ACF33AB"/>
    <w:rsid w:val="7AF7E44F"/>
    <w:rsid w:val="7B005018"/>
    <w:rsid w:val="7B67ACF9"/>
    <w:rsid w:val="7BAFA0B2"/>
    <w:rsid w:val="7BDF6D23"/>
    <w:rsid w:val="7BF9F033"/>
    <w:rsid w:val="7C02295A"/>
    <w:rsid w:val="7CD12A58"/>
    <w:rsid w:val="7CFE0DB6"/>
    <w:rsid w:val="7D148D25"/>
    <w:rsid w:val="7D3F3301"/>
    <w:rsid w:val="7D621902"/>
    <w:rsid w:val="7D7FBEB9"/>
    <w:rsid w:val="7D9B3066"/>
    <w:rsid w:val="7DA7314F"/>
    <w:rsid w:val="7DBF23F1"/>
    <w:rsid w:val="7DBF3E78"/>
    <w:rsid w:val="7DD792A4"/>
    <w:rsid w:val="7DEFA72E"/>
    <w:rsid w:val="7DFE5743"/>
    <w:rsid w:val="7EFD7AE1"/>
    <w:rsid w:val="7EFF3D10"/>
    <w:rsid w:val="7F3DDDFA"/>
    <w:rsid w:val="7F7B5682"/>
    <w:rsid w:val="7FA43906"/>
    <w:rsid w:val="7FA7096E"/>
    <w:rsid w:val="7FB7324A"/>
    <w:rsid w:val="7FBA01F7"/>
    <w:rsid w:val="7FEDD4C2"/>
    <w:rsid w:val="7FFB966D"/>
    <w:rsid w:val="7FFC9FE3"/>
    <w:rsid w:val="7FFD1334"/>
    <w:rsid w:val="7FFD4764"/>
    <w:rsid w:val="7FFDC075"/>
    <w:rsid w:val="7FFEE1B3"/>
    <w:rsid w:val="7FFF8437"/>
    <w:rsid w:val="8DFE67B5"/>
    <w:rsid w:val="9D7B4234"/>
    <w:rsid w:val="9EFE24DE"/>
    <w:rsid w:val="A9C3659B"/>
    <w:rsid w:val="AD5F08F9"/>
    <w:rsid w:val="B172ABDC"/>
    <w:rsid w:val="B17D4802"/>
    <w:rsid w:val="B7BEB58D"/>
    <w:rsid w:val="BDB71E07"/>
    <w:rsid w:val="BDE7E95B"/>
    <w:rsid w:val="BDF784C4"/>
    <w:rsid w:val="BE77A356"/>
    <w:rsid w:val="BEFB5BC2"/>
    <w:rsid w:val="BFED07A4"/>
    <w:rsid w:val="BFEE5DAB"/>
    <w:rsid w:val="BFF652F8"/>
    <w:rsid w:val="BFF7FDD4"/>
    <w:rsid w:val="BFFFA0C2"/>
    <w:rsid w:val="C7F7C889"/>
    <w:rsid w:val="CB63ED23"/>
    <w:rsid w:val="CBFD1E03"/>
    <w:rsid w:val="CC7F4CAC"/>
    <w:rsid w:val="CFF7FDB9"/>
    <w:rsid w:val="DE96F9BC"/>
    <w:rsid w:val="DFEF253D"/>
    <w:rsid w:val="E6BD84F6"/>
    <w:rsid w:val="E75995E6"/>
    <w:rsid w:val="E7B71D04"/>
    <w:rsid w:val="E7F5A724"/>
    <w:rsid w:val="E8F82910"/>
    <w:rsid w:val="EAB35AFB"/>
    <w:rsid w:val="EBFE39D8"/>
    <w:rsid w:val="EDBDC2C8"/>
    <w:rsid w:val="EDBEB4F5"/>
    <w:rsid w:val="EDEE7D7D"/>
    <w:rsid w:val="EFAE4F4E"/>
    <w:rsid w:val="EFFB0961"/>
    <w:rsid w:val="F2BF8818"/>
    <w:rsid w:val="F4DD9854"/>
    <w:rsid w:val="F54F9842"/>
    <w:rsid w:val="F569D539"/>
    <w:rsid w:val="F5F9CE61"/>
    <w:rsid w:val="F5FF0934"/>
    <w:rsid w:val="F73BE6D0"/>
    <w:rsid w:val="F73FE09F"/>
    <w:rsid w:val="F7AB0736"/>
    <w:rsid w:val="F84DBFEB"/>
    <w:rsid w:val="FAD3BF80"/>
    <w:rsid w:val="FB96AACC"/>
    <w:rsid w:val="FC7C25C0"/>
    <w:rsid w:val="FCB39CE0"/>
    <w:rsid w:val="FCEC5490"/>
    <w:rsid w:val="FDCF8FCF"/>
    <w:rsid w:val="FDFF09BB"/>
    <w:rsid w:val="FE5EB583"/>
    <w:rsid w:val="FE754302"/>
    <w:rsid w:val="FE9D3301"/>
    <w:rsid w:val="FED962C3"/>
    <w:rsid w:val="FEDA58E5"/>
    <w:rsid w:val="FEFF3927"/>
    <w:rsid w:val="FF1E38EF"/>
    <w:rsid w:val="FF3533A0"/>
    <w:rsid w:val="FF3E2E8C"/>
    <w:rsid w:val="FF72222F"/>
    <w:rsid w:val="FF7DC423"/>
    <w:rsid w:val="FF9A8A3C"/>
    <w:rsid w:val="FFDF4E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21"/>
      <w:szCs w:val="24"/>
      <w:lang w:val="en-US" w:eastAsia="zh-CN" w:bidi="ar-SA"/>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99"/>
    <w:pPr>
      <w:spacing w:after="120"/>
    </w:pPr>
    <w:rPr>
      <w:rFonts w:ascii="Calibri" w:hAnsi="Calibri" w:eastAsia="宋体" w:cs="黑体"/>
    </w:rPr>
  </w:style>
  <w:style w:type="paragraph" w:styleId="3">
    <w:name w:val="Body Text 2"/>
    <w:basedOn w:val="1"/>
    <w:qFormat/>
    <w:uiPriority w:val="0"/>
    <w:pPr>
      <w:spacing w:line="360" w:lineRule="auto"/>
    </w:pPr>
    <w:rPr>
      <w:sz w:val="24"/>
    </w:rPr>
  </w:style>
  <w:style w:type="paragraph" w:styleId="4">
    <w:name w:val="Normal Indent"/>
    <w:basedOn w:val="1"/>
    <w:qFormat/>
    <w:uiPriority w:val="0"/>
    <w:pPr>
      <w:ind w:firstLine="420" w:firstLineChars="200"/>
    </w:pPr>
  </w:style>
  <w:style w:type="paragraph" w:styleId="5">
    <w:name w:val="annotation text"/>
    <w:basedOn w:val="1"/>
    <w:link w:val="19"/>
    <w:unhideWhenUsed/>
    <w:qFormat/>
    <w:uiPriority w:val="99"/>
    <w:pPr>
      <w:jc w:val="left"/>
    </w:pPr>
  </w:style>
  <w:style w:type="paragraph" w:styleId="6">
    <w:name w:val="Balloon Text"/>
    <w:basedOn w:val="1"/>
    <w:link w:val="20"/>
    <w:unhideWhenUsed/>
    <w:qFormat/>
    <w:uiPriority w:val="99"/>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kern w:val="0"/>
      <w:sz w:val="24"/>
    </w:rPr>
  </w:style>
  <w:style w:type="paragraph" w:styleId="10">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11">
    <w:name w:val="Title"/>
    <w:basedOn w:val="1"/>
    <w:next w:val="1"/>
    <w:qFormat/>
    <w:uiPriority w:val="0"/>
    <w:pPr>
      <w:spacing w:before="240" w:after="60"/>
      <w:jc w:val="center"/>
      <w:outlineLvl w:val="0"/>
    </w:pPr>
    <w:rPr>
      <w:rFonts w:ascii="Arial" w:hAnsi="Arial" w:eastAsia="隶书"/>
      <w:b/>
      <w:bCs/>
      <w:sz w:val="32"/>
      <w:szCs w:val="32"/>
    </w:rPr>
  </w:style>
  <w:style w:type="paragraph" w:styleId="12">
    <w:name w:val="annotation subject"/>
    <w:basedOn w:val="5"/>
    <w:next w:val="5"/>
    <w:link w:val="21"/>
    <w:unhideWhenUsed/>
    <w:qFormat/>
    <w:uiPriority w:val="99"/>
    <w:rPr>
      <w:b/>
      <w:bCs/>
    </w:rPr>
  </w:style>
  <w:style w:type="character" w:styleId="15">
    <w:name w:val="page number"/>
    <w:basedOn w:val="14"/>
    <w:unhideWhenUsed/>
    <w:qFormat/>
    <w:uiPriority w:val="99"/>
  </w:style>
  <w:style w:type="character" w:styleId="16">
    <w:name w:val="Hyperlink"/>
    <w:basedOn w:val="14"/>
    <w:unhideWhenUsed/>
    <w:qFormat/>
    <w:uiPriority w:val="99"/>
    <w:rPr>
      <w:color w:val="0563C1"/>
      <w:u w:val="single"/>
    </w:rPr>
  </w:style>
  <w:style w:type="character" w:styleId="17">
    <w:name w:val="annotation reference"/>
    <w:basedOn w:val="14"/>
    <w:unhideWhenUsed/>
    <w:qFormat/>
    <w:uiPriority w:val="99"/>
    <w:rPr>
      <w:sz w:val="21"/>
      <w:szCs w:val="21"/>
    </w:rPr>
  </w:style>
  <w:style w:type="paragraph" w:customStyle="1" w:styleId="18">
    <w:name w:val="文档正文"/>
    <w:basedOn w:val="1"/>
    <w:qFormat/>
    <w:uiPriority w:val="99"/>
    <w:pPr>
      <w:adjustRightInd w:val="0"/>
      <w:spacing w:line="480" w:lineRule="atLeast"/>
      <w:ind w:firstLine="567" w:firstLineChars="200"/>
      <w:textAlignment w:val="baseline"/>
    </w:pPr>
    <w:rPr>
      <w:rFonts w:ascii="长城仿宋"/>
      <w:kern w:val="0"/>
    </w:rPr>
  </w:style>
  <w:style w:type="character" w:customStyle="1" w:styleId="19">
    <w:name w:val="批注文字 Char"/>
    <w:basedOn w:val="14"/>
    <w:link w:val="5"/>
    <w:semiHidden/>
    <w:qFormat/>
    <w:uiPriority w:val="99"/>
    <w:rPr>
      <w:kern w:val="2"/>
      <w:sz w:val="21"/>
      <w:szCs w:val="24"/>
    </w:rPr>
  </w:style>
  <w:style w:type="character" w:customStyle="1" w:styleId="20">
    <w:name w:val="批注框文本 Char"/>
    <w:basedOn w:val="14"/>
    <w:link w:val="6"/>
    <w:semiHidden/>
    <w:qFormat/>
    <w:uiPriority w:val="99"/>
    <w:rPr>
      <w:kern w:val="2"/>
      <w:sz w:val="18"/>
      <w:szCs w:val="18"/>
    </w:rPr>
  </w:style>
  <w:style w:type="character" w:customStyle="1" w:styleId="21">
    <w:name w:val="批注主题 Char"/>
    <w:basedOn w:val="19"/>
    <w:link w:val="12"/>
    <w:semiHidden/>
    <w:qFormat/>
    <w:uiPriority w:val="99"/>
    <w:rPr>
      <w:b/>
      <w:bCs/>
      <w:kern w:val="2"/>
      <w:sz w:val="21"/>
      <w:szCs w:val="24"/>
    </w:rPr>
  </w:style>
  <w:style w:type="character" w:customStyle="1" w:styleId="22">
    <w:name w:val="15"/>
    <w:qFormat/>
    <w:uiPriority w:val="0"/>
    <w:rPr>
      <w:rFonts w:hint="eastAsia" w:ascii="宋体" w:hAnsi="宋体" w:eastAsia="黑体"/>
      <w:b/>
      <w:bCs/>
      <w:kern w:val="44"/>
      <w:sz w:val="28"/>
      <w:szCs w:val="28"/>
    </w:rPr>
  </w:style>
  <w:style w:type="paragraph" w:customStyle="1" w:styleId="23">
    <w:name w:val="列出段落1"/>
    <w:basedOn w:val="1"/>
    <w:qFormat/>
    <w:uiPriority w:val="34"/>
    <w:pPr>
      <w:ind w:firstLine="420" w:firstLineChars="200"/>
    </w:pPr>
    <w:rPr>
      <w:rFonts w:ascii="Calibri" w:hAnsi="Calibri"/>
      <w:szCs w:val="22"/>
    </w:rPr>
  </w:style>
  <w:style w:type="character" w:customStyle="1" w:styleId="24">
    <w:name w:val="font01"/>
    <w:basedOn w:val="14"/>
    <w:qFormat/>
    <w:uiPriority w:val="0"/>
    <w:rPr>
      <w:rFonts w:hint="eastAsia" w:ascii="宋体" w:hAnsi="宋体" w:eastAsia="宋体" w:cs="宋体"/>
      <w:color w:val="000000"/>
      <w:sz w:val="22"/>
      <w:szCs w:val="22"/>
      <w:u w:val="none"/>
    </w:rPr>
  </w:style>
  <w:style w:type="paragraph" w:styleId="25">
    <w:name w:val="List Paragraph"/>
    <w:basedOn w:val="1"/>
    <w:unhideWhenUsed/>
    <w:qFormat/>
    <w:uiPriority w:val="99"/>
    <w:pPr>
      <w:ind w:firstLine="420" w:firstLineChars="200"/>
    </w:pPr>
  </w:style>
  <w:style w:type="table" w:customStyle="1" w:styleId="26">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Chinese ORG</Company>
  <Pages>5</Pages>
  <Words>395</Words>
  <Characters>2256</Characters>
  <Lines>18</Lines>
  <Paragraphs>5</Paragraphs>
  <TotalTime>22</TotalTime>
  <ScaleCrop>false</ScaleCrop>
  <LinksUpToDate>false</LinksUpToDate>
  <CharactersWithSpaces>2646</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2023-02-16T23:55:00Z</dcterms:created>
  <dc:creator>DELL</dc:creator>
  <cp:lastModifiedBy>国资局徐颖</cp:lastModifiedBy>
  <cp:lastPrinted>2023-02-16T13:05:00Z</cp:lastPrinted>
  <dcterms:modified xsi:type="dcterms:W3CDTF">2025-03-05T18:34:16Z</dcterms:modified>
  <dc:title>关于审定《关于报送宝安区2018年政府性债券需求（送审稿）》的请示</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y fmtid="{D5CDD505-2E9C-101B-9397-08002B2CF9AE}" pid="3" name="ICV">
    <vt:lpwstr>FF70EBDA03B94F3CBE6CE5920EA7E0C4_13</vt:lpwstr>
  </property>
  <property fmtid="{D5CDD505-2E9C-101B-9397-08002B2CF9AE}" pid="4" name="KSOTemplateDocerSaveRecord">
    <vt:lpwstr>eyJoZGlkIjoiODlkMDYyNjdmZWE0YTlkZGMxYzg0OTlmMTUwZWEzODMiLCJ1c2VySWQiOiI1NDc4MTA1NTkifQ==</vt:lpwstr>
  </property>
</Properties>
</file>