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Lines="10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青浦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区产业规划类专利导航服务机构</w:t>
      </w:r>
    </w:p>
    <w:p>
      <w:pPr>
        <w:widowControl w:val="0"/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自荐表</w:t>
      </w:r>
    </w:p>
    <w:p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自荐机构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>　　　　　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>　　　　　</w:t>
      </w:r>
    </w:p>
    <w:p>
      <w:pPr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上海市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青浦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区知识产权局</w:t>
      </w:r>
    </w:p>
    <w:p>
      <w:pPr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2025年制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一、此表为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青浦</w:t>
      </w:r>
      <w:r>
        <w:rPr>
          <w:rFonts w:hint="eastAsia" w:ascii="仿宋_GB2312" w:hAnsi="宋体" w:cs="宋体"/>
          <w:sz w:val="32"/>
          <w:szCs w:val="32"/>
        </w:rPr>
        <w:t>区产业规划类专利导航服务机构自荐表，封面“自荐机构”填写法人单位名称。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二、表格均用四号仿宋_GB2312填写。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三、一般情况下，填表单位应按照表格字数要求进行填写，如确需增加内容可对表格进行自行扩展。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四、自荐表应盖章，否则视为无效申请。</w:t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p>
      <w:pPr>
        <w:jc w:val="lef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br w:type="page"/>
      </w:r>
    </w:p>
    <w:p>
      <w:pPr>
        <w:ind w:firstLine="640" w:firstLineChars="200"/>
        <w:rPr>
          <w:rFonts w:ascii="仿宋_GB2312" w:hAnsi="宋体" w:cs="宋体"/>
          <w:sz w:val="32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113"/>
        <w:gridCol w:w="821"/>
        <w:gridCol w:w="1264"/>
        <w:gridCol w:w="9"/>
        <w:gridCol w:w="520"/>
        <w:gridCol w:w="331"/>
        <w:gridCol w:w="614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部门人数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21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知识产权业务简介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（可附件）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二、本次导航承担项目情况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525" w:type="dxa"/>
            <w:gridSpan w:val="12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黑体"/>
                <w:color w:val="000000"/>
                <w:kern w:val="0"/>
                <w:sz w:val="28"/>
                <w:szCs w:val="28"/>
              </w:rPr>
              <w:t>（含在谈业务的，项目数量、项目开展情况）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三、本项目服务团队情况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8525" w:type="dxa"/>
            <w:gridSpan w:val="12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四、公司专利导航业务经验及相关案例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25" w:type="dxa"/>
            <w:gridSpan w:val="12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五、公司专利导航擅长领域（1-2个）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领域1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领域2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涉青浦区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8525" w:type="dxa"/>
            <w:gridSpan w:val="12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/>
              </w:rPr>
              <w:t>在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青浦区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zh-CN"/>
              </w:rPr>
              <w:t>是否有业务，特别是专利导航或知识产权评议类项目，并对涉及哪个行业等情况进行说明。）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zN2MwZTQxZmMyNDQzMDkyZjlmMWYwZGU4ZTQzYjgifQ=="/>
    <w:docVar w:name="KSO_WPS_MARK_KEY" w:val="a8a40a51-eaa4-4463-996b-a9a45134c73a"/>
  </w:docVars>
  <w:rsids>
    <w:rsidRoot w:val="008F4E34"/>
    <w:rsid w:val="00025000"/>
    <w:rsid w:val="008F4E34"/>
    <w:rsid w:val="1EB2050C"/>
    <w:rsid w:val="64D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382</Characters>
  <Lines>3</Lines>
  <Paragraphs>1</Paragraphs>
  <TotalTime>2</TotalTime>
  <ScaleCrop>false</ScaleCrop>
  <LinksUpToDate>false</LinksUpToDate>
  <CharactersWithSpaces>395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2025-02-28T02:39:00Z</dcterms:created>
  <dc:creator>shitianyu</dc:creator>
  <cp:lastModifiedBy>yuyue</cp:lastModifiedBy>
  <dcterms:modified xsi:type="dcterms:W3CDTF">2025-03-05T11:52:04Z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F2FFF8F7BEAB4920A87200A89B1773A7</vt:lpwstr>
  </property>
</Properties>
</file>