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81C34">
      <w:pPr>
        <w:spacing w:before="156" w:beforeLines="50" w:after="468" w:afterLines="150"/>
        <w:jc w:val="center"/>
        <w:rPr>
          <w:rFonts w:ascii="微软雅黑" w:hAnsi="微软雅黑" w:eastAsia="微软雅黑" w:cs="Times New Roman"/>
          <w:b/>
          <w:sz w:val="36"/>
          <w:szCs w:val="36"/>
        </w:rPr>
      </w:pPr>
      <w:r>
        <w:rPr>
          <w:rFonts w:hint="eastAsia" w:ascii="微软雅黑" w:hAnsi="微软雅黑" w:eastAsia="微软雅黑" w:cs="Times New Roman"/>
          <w:b/>
          <w:sz w:val="36"/>
          <w:szCs w:val="36"/>
        </w:rPr>
        <w:t>苏州工业园区光伏和储能项目征集网上申报指引（企业端）</w:t>
      </w:r>
    </w:p>
    <w:p w14:paraId="46CC03ED">
      <w:pPr>
        <w:pStyle w:val="2"/>
        <w:numPr>
          <w:ilvl w:val="0"/>
          <w:numId w:val="1"/>
        </w:numPr>
        <w:spacing w:before="156" w:beforeLines="50" w:after="156" w:afterLines="50"/>
        <w:rPr>
          <w:rFonts w:ascii="微软雅黑" w:hAnsi="微软雅黑" w:eastAsia="微软雅黑" w:cs="Arial"/>
          <w:sz w:val="32"/>
          <w:szCs w:val="32"/>
        </w:rPr>
      </w:pPr>
      <w:r>
        <w:rPr>
          <w:rFonts w:hint="eastAsia" w:ascii="微软雅黑" w:hAnsi="微软雅黑" w:eastAsia="微软雅黑" w:cs="Arial"/>
          <w:sz w:val="32"/>
          <w:szCs w:val="32"/>
        </w:rPr>
        <w:t>登录说明</w:t>
      </w:r>
    </w:p>
    <w:p w14:paraId="5A87632F">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打开企业发展服务中心网站（http://sme.sipac.gov.cn ）-&gt;登录-&gt;企业用户登录（企业若从未注册，请先注册企业用户。注册、登录如遇到问题请拨打400-8</w:t>
      </w:r>
      <w:r>
        <w:rPr>
          <w:rFonts w:ascii="微软雅黑" w:hAnsi="微软雅黑" w:eastAsia="微软雅黑"/>
          <w:sz w:val="24"/>
          <w:szCs w:val="24"/>
        </w:rPr>
        <w:t>696</w:t>
      </w:r>
      <w:r>
        <w:rPr>
          <w:rFonts w:hint="eastAsia" w:ascii="微软雅黑" w:hAnsi="微软雅黑" w:eastAsia="微软雅黑"/>
          <w:sz w:val="24"/>
          <w:szCs w:val="24"/>
        </w:rPr>
        <w:t>-</w:t>
      </w:r>
      <w:r>
        <w:rPr>
          <w:rFonts w:ascii="微软雅黑" w:hAnsi="微软雅黑" w:eastAsia="微软雅黑"/>
          <w:sz w:val="24"/>
          <w:szCs w:val="24"/>
        </w:rPr>
        <w:t>086</w:t>
      </w:r>
      <w:r>
        <w:rPr>
          <w:rFonts w:hint="eastAsia" w:ascii="微软雅黑" w:hAnsi="微软雅黑" w:eastAsia="微软雅黑"/>
          <w:sz w:val="24"/>
          <w:szCs w:val="24"/>
        </w:rPr>
        <w:t>）；</w:t>
      </w:r>
    </w:p>
    <w:p w14:paraId="269B340B">
      <w:pPr>
        <w:spacing w:before="156" w:beforeLines="50" w:after="156" w:afterLines="50"/>
        <w:jc w:val="both"/>
        <w:rPr>
          <w:rFonts w:ascii="微软雅黑" w:hAnsi="微软雅黑" w:eastAsia="微软雅黑" w:cs="微软雅黑"/>
          <w:sz w:val="24"/>
          <w:szCs w:val="24"/>
        </w:rPr>
      </w:pPr>
      <w:r>
        <w:drawing>
          <wp:inline distT="0" distB="0" distL="114300" distR="114300">
            <wp:extent cx="5273040" cy="3653790"/>
            <wp:effectExtent l="0" t="0" r="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73040" cy="3653790"/>
                    </a:xfrm>
                    <a:prstGeom prst="rect">
                      <a:avLst/>
                    </a:prstGeom>
                    <a:noFill/>
                    <a:ln>
                      <a:noFill/>
                    </a:ln>
                  </pic:spPr>
                </pic:pic>
              </a:graphicData>
            </a:graphic>
          </wp:inline>
        </w:drawing>
      </w:r>
    </w:p>
    <w:p w14:paraId="4CEB8C9D">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企业登录成功后，从</w:t>
      </w:r>
      <w:r>
        <w:rPr>
          <w:rFonts w:hint="eastAsia" w:ascii="微软雅黑" w:hAnsi="微软雅黑" w:eastAsia="微软雅黑"/>
          <w:sz w:val="24"/>
          <w:szCs w:val="24"/>
          <w:lang w:val="en-US" w:eastAsia="zh-CN"/>
        </w:rPr>
        <w:t>用户空间-专题应用</w:t>
      </w:r>
      <w:r>
        <w:rPr>
          <w:rFonts w:hint="eastAsia" w:ascii="微软雅黑" w:hAnsi="微软雅黑" w:eastAsia="微软雅黑"/>
          <w:sz w:val="24"/>
          <w:szCs w:val="24"/>
        </w:rPr>
        <w:t>下点击进入财政专项资金平台。</w:t>
      </w:r>
      <w:r>
        <w:rPr>
          <w:rFonts w:hint="eastAsia" w:ascii="微软雅黑" w:hAnsi="微软雅黑" w:eastAsia="微软雅黑"/>
          <w:sz w:val="24"/>
          <w:szCs w:val="24"/>
        </w:rPr>
        <w:br w:type="textWrapping"/>
      </w:r>
      <w:r>
        <w:drawing>
          <wp:inline distT="0" distB="0" distL="114300" distR="114300">
            <wp:extent cx="5267960" cy="1673860"/>
            <wp:effectExtent l="0" t="0" r="508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5267960" cy="1673860"/>
                    </a:xfrm>
                    <a:prstGeom prst="rect">
                      <a:avLst/>
                    </a:prstGeom>
                    <a:noFill/>
                    <a:ln>
                      <a:noFill/>
                    </a:ln>
                  </pic:spPr>
                </pic:pic>
              </a:graphicData>
            </a:graphic>
          </wp:inline>
        </w:drawing>
      </w:r>
      <w:r>
        <w:br w:type="textWrapping"/>
      </w:r>
      <w:r>
        <w:drawing>
          <wp:inline distT="0" distB="0" distL="114300" distR="114300">
            <wp:extent cx="5270500" cy="1352550"/>
            <wp:effectExtent l="0" t="0" r="254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5270500" cy="1352550"/>
                    </a:xfrm>
                    <a:prstGeom prst="rect">
                      <a:avLst/>
                    </a:prstGeom>
                    <a:noFill/>
                    <a:ln>
                      <a:noFill/>
                    </a:ln>
                  </pic:spPr>
                </pic:pic>
              </a:graphicData>
            </a:graphic>
          </wp:inline>
        </w:drawing>
      </w:r>
      <w:bookmarkStart w:id="1" w:name="_GoBack"/>
      <w:bookmarkEnd w:id="1"/>
    </w:p>
    <w:p w14:paraId="62040E85">
      <w:pPr>
        <w:spacing w:before="156" w:beforeLines="50" w:after="156" w:afterLines="50" w:line="360" w:lineRule="auto"/>
        <w:rPr>
          <w:rFonts w:ascii="微软雅黑" w:hAnsi="微软雅黑" w:eastAsia="微软雅黑" w:cs="Arial"/>
          <w:sz w:val="24"/>
          <w:szCs w:val="24"/>
        </w:rPr>
      </w:pPr>
    </w:p>
    <w:p w14:paraId="5000F012">
      <w:pPr>
        <w:spacing w:before="156" w:beforeLines="50" w:after="156" w:afterLines="50" w:line="360" w:lineRule="auto"/>
        <w:rPr>
          <w:rFonts w:ascii="微软雅黑" w:hAnsi="微软雅黑" w:eastAsia="微软雅黑" w:cs="Arial"/>
          <w:sz w:val="24"/>
          <w:szCs w:val="24"/>
        </w:rPr>
      </w:pPr>
    </w:p>
    <w:p w14:paraId="7ECF7989">
      <w:pPr>
        <w:pStyle w:val="2"/>
        <w:numPr>
          <w:ilvl w:val="0"/>
          <w:numId w:val="1"/>
        </w:numPr>
        <w:spacing w:before="156" w:beforeLines="50" w:after="156" w:afterLines="50"/>
        <w:rPr>
          <w:rFonts w:ascii="微软雅黑" w:hAnsi="微软雅黑" w:eastAsia="微软雅黑" w:cs="Arial"/>
          <w:sz w:val="30"/>
          <w:szCs w:val="30"/>
        </w:rPr>
      </w:pPr>
      <w:r>
        <w:rPr>
          <w:rFonts w:hint="eastAsia" w:ascii="微软雅黑" w:hAnsi="微软雅黑" w:eastAsia="微软雅黑" w:cs="Arial"/>
          <w:sz w:val="30"/>
          <w:szCs w:val="30"/>
        </w:rPr>
        <w:t>申报说明</w:t>
      </w:r>
    </w:p>
    <w:p w14:paraId="21CAE4A0">
      <w:pPr>
        <w:pStyle w:val="3"/>
        <w:rPr>
          <w:rFonts w:ascii="微软雅黑" w:hAnsi="微软雅黑" w:eastAsia="微软雅黑"/>
          <w:sz w:val="28"/>
          <w:szCs w:val="28"/>
        </w:rPr>
      </w:pPr>
      <w:r>
        <w:rPr>
          <w:rFonts w:hint="eastAsia" w:ascii="微软雅黑" w:hAnsi="微软雅黑" w:eastAsia="微软雅黑"/>
          <w:sz w:val="28"/>
          <w:szCs w:val="28"/>
        </w:rPr>
        <w:t>1、基础设置（若之前已设置过可直接跳过）</w:t>
      </w:r>
    </w:p>
    <w:p w14:paraId="2651B755">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首次申请财政专项资金的企业，在开始财政专项资金申请前，建议您先按照温馨提示完成以下工作，以便后续操作：</w:t>
      </w:r>
    </w:p>
    <w:p w14:paraId="7B7C8829">
      <w:pPr>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53005"/>
            <wp:effectExtent l="19050" t="19050" r="21590" b="234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453005"/>
                    </a:xfrm>
                    <a:prstGeom prst="rect">
                      <a:avLst/>
                    </a:prstGeom>
                    <a:ln>
                      <a:solidFill>
                        <a:schemeClr val="accent1"/>
                      </a:solidFill>
                    </a:ln>
                  </pic:spPr>
                </pic:pic>
              </a:graphicData>
            </a:graphic>
          </wp:inline>
        </w:drawing>
      </w:r>
    </w:p>
    <w:p w14:paraId="0886780C">
      <w:pPr>
        <w:pStyle w:val="4"/>
        <w:rPr>
          <w:rFonts w:ascii="微软雅黑" w:hAnsi="微软雅黑" w:eastAsia="微软雅黑"/>
          <w:sz w:val="24"/>
          <w:szCs w:val="24"/>
        </w:rPr>
      </w:pPr>
      <w:r>
        <w:rPr>
          <w:rFonts w:ascii="微软雅黑" w:hAnsi="微软雅黑" w:eastAsia="微软雅黑"/>
          <w:sz w:val="24"/>
          <w:szCs w:val="24"/>
        </w:rPr>
        <w:t>1.1</w:t>
      </w:r>
      <w:r>
        <w:rPr>
          <w:rFonts w:hint="eastAsia" w:ascii="微软雅黑" w:hAnsi="微软雅黑" w:eastAsia="微软雅黑"/>
          <w:sz w:val="24"/>
          <w:szCs w:val="24"/>
        </w:rPr>
        <w:t>信用承诺书</w:t>
      </w:r>
    </w:p>
    <w:p w14:paraId="71209EFE">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根据苏州工业园区财政专项资金管理办法要求，企业申请财政专项资金时需统一签署苏州工业园区财政专项资金申报信用承诺书，后续各项资金申报时可被引用。信用承诺书未上传且被审核通过，不可进行任何资金申报。</w:t>
      </w:r>
    </w:p>
    <w:p w14:paraId="7EC25812">
      <w:pPr>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60625"/>
            <wp:effectExtent l="19050" t="19050" r="2159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460625"/>
                    </a:xfrm>
                    <a:prstGeom prst="rect">
                      <a:avLst/>
                    </a:prstGeom>
                    <a:ln>
                      <a:solidFill>
                        <a:schemeClr val="accent1"/>
                      </a:solidFill>
                    </a:ln>
                  </pic:spPr>
                </pic:pic>
              </a:graphicData>
            </a:graphic>
          </wp:inline>
        </w:drawing>
      </w:r>
    </w:p>
    <w:p w14:paraId="0055FEBD">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点击“信用承诺书”，请按照温馨提示内容下载信用承诺书模版并按标红小字要求填写后打印、盖章后扫描上传。提交之后，等待管理员审核，审核一般需要1-</w:t>
      </w:r>
      <w:r>
        <w:rPr>
          <w:rFonts w:ascii="微软雅黑" w:hAnsi="微软雅黑" w:eastAsia="微软雅黑"/>
          <w:sz w:val="24"/>
          <w:szCs w:val="24"/>
        </w:rPr>
        <w:t>2</w:t>
      </w:r>
      <w:r>
        <w:rPr>
          <w:rFonts w:hint="eastAsia" w:ascii="微软雅黑" w:hAnsi="微软雅黑" w:eastAsia="微软雅黑"/>
          <w:sz w:val="24"/>
          <w:szCs w:val="24"/>
        </w:rPr>
        <w:t>个工作日，了解进度可拨打热线电话0</w:t>
      </w:r>
      <w:r>
        <w:rPr>
          <w:rFonts w:ascii="微软雅黑" w:hAnsi="微软雅黑" w:eastAsia="微软雅黑"/>
          <w:sz w:val="24"/>
          <w:szCs w:val="24"/>
        </w:rPr>
        <w:t>512</w:t>
      </w:r>
      <w:r>
        <w:rPr>
          <w:rFonts w:hint="eastAsia" w:ascii="微软雅黑" w:hAnsi="微软雅黑" w:eastAsia="微软雅黑"/>
          <w:sz w:val="24"/>
          <w:szCs w:val="24"/>
        </w:rPr>
        <w:t>-</w:t>
      </w:r>
      <w:r>
        <w:rPr>
          <w:rFonts w:ascii="微软雅黑" w:hAnsi="微软雅黑" w:eastAsia="微软雅黑"/>
          <w:sz w:val="24"/>
          <w:szCs w:val="24"/>
        </w:rPr>
        <w:t>67068000</w:t>
      </w:r>
      <w:r>
        <w:rPr>
          <w:rFonts w:hint="eastAsia" w:ascii="微软雅黑" w:hAnsi="微软雅黑" w:eastAsia="微软雅黑"/>
          <w:sz w:val="24"/>
          <w:szCs w:val="24"/>
        </w:rPr>
        <w:t>。</w:t>
      </w:r>
    </w:p>
    <w:p w14:paraId="76B753C9">
      <w:pPr>
        <w:spacing w:before="156" w:beforeLines="50" w:after="156" w:afterLines="50"/>
        <w:rPr>
          <w:rFonts w:ascii="微软雅黑" w:hAnsi="微软雅黑" w:eastAsia="微软雅黑" w:cs="Open Sans"/>
          <w:color w:val="000000"/>
          <w:sz w:val="24"/>
          <w:szCs w:val="24"/>
        </w:rPr>
      </w:pPr>
      <w:r>
        <w:rPr>
          <w:rFonts w:ascii="微软雅黑" w:hAnsi="微软雅黑" w:eastAsia="微软雅黑"/>
          <w:sz w:val="24"/>
          <w:szCs w:val="24"/>
        </w:rPr>
        <w:drawing>
          <wp:inline distT="0" distB="0" distL="0" distR="0">
            <wp:extent cx="5274310" cy="2470150"/>
            <wp:effectExtent l="19050" t="19050" r="2159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2470150"/>
                    </a:xfrm>
                    <a:prstGeom prst="rect">
                      <a:avLst/>
                    </a:prstGeom>
                    <a:ln>
                      <a:solidFill>
                        <a:schemeClr val="accent1"/>
                      </a:solidFill>
                    </a:ln>
                  </pic:spPr>
                </pic:pic>
              </a:graphicData>
            </a:graphic>
          </wp:inline>
        </w:drawing>
      </w:r>
    </w:p>
    <w:p w14:paraId="1D4B96F5">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审核通过之后将在申请园区各项财政专项资金时被引用，若单位信息发生变化，可发起变更。</w:t>
      </w:r>
    </w:p>
    <w:p w14:paraId="0F56BD07">
      <w:pPr>
        <w:pStyle w:val="21"/>
        <w:ind w:left="360" w:firstLine="0" w:firstLineChars="0"/>
        <w:jc w:val="center"/>
        <w:rPr>
          <w:rFonts w:ascii="微软雅黑" w:hAnsi="微软雅黑" w:eastAsia="微软雅黑"/>
          <w:sz w:val="24"/>
        </w:rPr>
      </w:pPr>
      <w:r>
        <w:rPr>
          <w:rFonts w:ascii="微软雅黑" w:hAnsi="微软雅黑" w:eastAsia="微软雅黑"/>
          <w:sz w:val="24"/>
        </w:rPr>
        <w:drawing>
          <wp:inline distT="0" distB="0" distL="0" distR="0">
            <wp:extent cx="5274310" cy="2451735"/>
            <wp:effectExtent l="19050" t="19050" r="21590"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74310" cy="2451735"/>
                    </a:xfrm>
                    <a:prstGeom prst="rect">
                      <a:avLst/>
                    </a:prstGeom>
                    <a:ln>
                      <a:solidFill>
                        <a:schemeClr val="accent1"/>
                      </a:solidFill>
                    </a:ln>
                  </pic:spPr>
                </pic:pic>
              </a:graphicData>
            </a:graphic>
          </wp:inline>
        </w:drawing>
      </w:r>
    </w:p>
    <w:p w14:paraId="5537FBA9">
      <w:pPr>
        <w:pStyle w:val="4"/>
        <w:rPr>
          <w:rFonts w:ascii="微软雅黑" w:hAnsi="微软雅黑" w:eastAsia="微软雅黑"/>
          <w:sz w:val="24"/>
          <w:szCs w:val="24"/>
        </w:rPr>
      </w:pPr>
      <w:r>
        <w:rPr>
          <w:rFonts w:ascii="微软雅黑" w:hAnsi="微软雅黑" w:eastAsia="微软雅黑"/>
          <w:sz w:val="24"/>
          <w:szCs w:val="24"/>
        </w:rPr>
        <w:t>1.2</w:t>
      </w:r>
      <w:r>
        <w:rPr>
          <w:rFonts w:hint="eastAsia" w:ascii="微软雅黑" w:hAnsi="微软雅黑" w:eastAsia="微软雅黑"/>
          <w:sz w:val="24"/>
          <w:szCs w:val="24"/>
        </w:rPr>
        <w:t>联系人设置</w:t>
      </w:r>
    </w:p>
    <w:p w14:paraId="5DFDF6F5">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此模块为企业统一联系人管理，可新增，编辑和注销。办理各项业务时，可以直接从已有企业联系人中进行选择。</w:t>
      </w:r>
    </w:p>
    <w:p w14:paraId="032D1CDD">
      <w:pPr>
        <w:pStyle w:val="21"/>
        <w:ind w:left="360" w:firstLine="0" w:firstLineChars="0"/>
        <w:rPr>
          <w:rFonts w:ascii="微软雅黑" w:hAnsi="微软雅黑" w:eastAsia="微软雅黑"/>
          <w:sz w:val="24"/>
        </w:rPr>
      </w:pPr>
      <w:r>
        <w:rPr>
          <w:rFonts w:ascii="微软雅黑" w:hAnsi="微软雅黑" w:eastAsia="微软雅黑"/>
          <w:sz w:val="24"/>
        </w:rPr>
        <w:drawing>
          <wp:inline distT="0" distB="0" distL="0" distR="0">
            <wp:extent cx="5274310" cy="2413000"/>
            <wp:effectExtent l="19050" t="19050" r="21590" b="254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5274310" cy="2413000"/>
                    </a:xfrm>
                    <a:prstGeom prst="rect">
                      <a:avLst/>
                    </a:prstGeom>
                    <a:ln>
                      <a:solidFill>
                        <a:schemeClr val="accent1"/>
                      </a:solidFill>
                    </a:ln>
                  </pic:spPr>
                </pic:pic>
              </a:graphicData>
            </a:graphic>
          </wp:inline>
        </w:drawing>
      </w:r>
    </w:p>
    <w:p w14:paraId="3D0ED902">
      <w:pPr>
        <w:pStyle w:val="4"/>
        <w:rPr>
          <w:rFonts w:ascii="微软雅黑" w:hAnsi="微软雅黑" w:eastAsia="微软雅黑"/>
          <w:sz w:val="24"/>
          <w:szCs w:val="24"/>
        </w:rPr>
      </w:pPr>
      <w:r>
        <w:rPr>
          <w:rFonts w:ascii="微软雅黑" w:hAnsi="微软雅黑" w:eastAsia="微软雅黑"/>
          <w:sz w:val="24"/>
          <w:szCs w:val="24"/>
        </w:rPr>
        <w:t>1.3</w:t>
      </w:r>
      <w:r>
        <w:rPr>
          <w:rFonts w:hint="eastAsia" w:ascii="微软雅黑" w:hAnsi="微软雅黑" w:eastAsia="微软雅黑"/>
          <w:sz w:val="24"/>
          <w:szCs w:val="24"/>
        </w:rPr>
        <w:t>银行账户设置</w:t>
      </w:r>
    </w:p>
    <w:p w14:paraId="2D1832BA">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此模块为企业统一银行账户管理，可新增，编辑和删除。办理各项业务时，可以直接从已有银行账户中进行选择。</w:t>
      </w:r>
    </w:p>
    <w:p w14:paraId="0404B2B7">
      <w:pPr>
        <w:ind w:left="360"/>
        <w:jc w:val="center"/>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25700"/>
            <wp:effectExtent l="19050" t="19050" r="2159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25700"/>
                    </a:xfrm>
                    <a:prstGeom prst="rect">
                      <a:avLst/>
                    </a:prstGeom>
                    <a:ln>
                      <a:solidFill>
                        <a:schemeClr val="accent1"/>
                      </a:solidFill>
                    </a:ln>
                  </pic:spPr>
                </pic:pic>
              </a:graphicData>
            </a:graphic>
          </wp:inline>
        </w:drawing>
      </w:r>
    </w:p>
    <w:p w14:paraId="03AD4319">
      <w:pPr>
        <w:pStyle w:val="4"/>
        <w:rPr>
          <w:rFonts w:ascii="微软雅黑" w:hAnsi="微软雅黑" w:eastAsia="微软雅黑"/>
          <w:sz w:val="24"/>
          <w:szCs w:val="24"/>
        </w:rPr>
      </w:pPr>
      <w:r>
        <w:rPr>
          <w:rFonts w:hint="eastAsia" w:ascii="微软雅黑" w:hAnsi="微软雅黑" w:eastAsia="微软雅黑"/>
          <w:sz w:val="24"/>
          <w:szCs w:val="24"/>
        </w:rPr>
        <w:t>1</w:t>
      </w:r>
      <w:r>
        <w:rPr>
          <w:rFonts w:ascii="微软雅黑" w:hAnsi="微软雅黑" w:eastAsia="微软雅黑"/>
          <w:sz w:val="24"/>
          <w:szCs w:val="24"/>
        </w:rPr>
        <w:t>.4</w:t>
      </w:r>
      <w:r>
        <w:rPr>
          <w:rFonts w:hint="eastAsia" w:ascii="微软雅黑" w:hAnsi="微软雅黑" w:eastAsia="微软雅黑"/>
          <w:sz w:val="24"/>
          <w:szCs w:val="24"/>
        </w:rPr>
        <w:t>单位信息维护</w:t>
      </w:r>
    </w:p>
    <w:p w14:paraId="3A0518B2">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正式开始项目申报之前，请先维护单位信息，每年度维护一次。入口如下图示意：</w:t>
      </w:r>
    </w:p>
    <w:p w14:paraId="445DFA1F">
      <w:pPr>
        <w:ind w:left="360"/>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06015"/>
            <wp:effectExtent l="19050" t="19050" r="2159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4310" cy="2406015"/>
                    </a:xfrm>
                    <a:prstGeom prst="rect">
                      <a:avLst/>
                    </a:prstGeom>
                    <a:ln>
                      <a:solidFill>
                        <a:schemeClr val="accent1"/>
                      </a:solidFill>
                    </a:ln>
                  </pic:spPr>
                </pic:pic>
              </a:graphicData>
            </a:graphic>
          </wp:inline>
        </w:drawing>
      </w:r>
    </w:p>
    <w:p w14:paraId="2614FBA0">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标红字段为必填，其中：</w:t>
      </w:r>
    </w:p>
    <w:p w14:paraId="7EE38E04">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①单位名称、法定代表人、成立时间、单位性质和所属功能区系统自动带出，不可修改，若有问题，请联系技术支持：4</w:t>
      </w:r>
      <w:r>
        <w:rPr>
          <w:rFonts w:ascii="微软雅黑" w:hAnsi="微软雅黑" w:eastAsia="微软雅黑"/>
          <w:sz w:val="24"/>
          <w:szCs w:val="24"/>
        </w:rPr>
        <w:t>00</w:t>
      </w:r>
      <w:r>
        <w:rPr>
          <w:rFonts w:hint="eastAsia" w:ascii="微软雅黑" w:hAnsi="微软雅黑" w:eastAsia="微软雅黑"/>
          <w:sz w:val="24"/>
          <w:szCs w:val="24"/>
        </w:rPr>
        <w:t>-</w:t>
      </w:r>
      <w:r>
        <w:rPr>
          <w:rFonts w:ascii="微软雅黑" w:hAnsi="微软雅黑" w:eastAsia="微软雅黑"/>
          <w:sz w:val="24"/>
          <w:szCs w:val="24"/>
        </w:rPr>
        <w:t>8696</w:t>
      </w:r>
      <w:r>
        <w:rPr>
          <w:rFonts w:hint="eastAsia" w:ascii="微软雅黑" w:hAnsi="微软雅黑" w:eastAsia="微软雅黑"/>
          <w:sz w:val="24"/>
          <w:szCs w:val="24"/>
        </w:rPr>
        <w:t>-</w:t>
      </w:r>
      <w:r>
        <w:rPr>
          <w:rFonts w:ascii="微软雅黑" w:hAnsi="微软雅黑" w:eastAsia="微软雅黑"/>
          <w:sz w:val="24"/>
          <w:szCs w:val="24"/>
        </w:rPr>
        <w:t>086</w:t>
      </w:r>
      <w:r>
        <w:rPr>
          <w:rFonts w:hint="eastAsia" w:ascii="微软雅黑" w:hAnsi="微软雅黑" w:eastAsia="微软雅黑"/>
          <w:sz w:val="24"/>
          <w:szCs w:val="24"/>
        </w:rPr>
        <w:t>修改；</w:t>
      </w:r>
    </w:p>
    <w:p w14:paraId="724D4C6E">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②实际经营地址系统带出注册地址，可修改；</w:t>
      </w:r>
    </w:p>
    <w:p w14:paraId="470B8474">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③经营情况和人员情况需填写上一年度数据情况。</w:t>
      </w:r>
    </w:p>
    <w:p w14:paraId="053A437F">
      <w:pPr>
        <w:ind w:left="360"/>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7180580"/>
            <wp:effectExtent l="19050" t="19050" r="21590" b="20320"/>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屏幕截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180580"/>
                    </a:xfrm>
                    <a:prstGeom prst="rect">
                      <a:avLst/>
                    </a:prstGeom>
                    <a:ln>
                      <a:solidFill>
                        <a:schemeClr val="accent1"/>
                      </a:solidFill>
                    </a:ln>
                  </pic:spPr>
                </pic:pic>
              </a:graphicData>
            </a:graphic>
          </wp:inline>
        </w:drawing>
      </w:r>
    </w:p>
    <w:p w14:paraId="2CC91317">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单位信息填写并提交后，在业务人员未审核之前还可以随意修改保存，一旦业务人员审核通过之后，基本信息依然可以随意修改，但上年度经营情况和人员情况本年度便不可再更改。</w:t>
      </w:r>
    </w:p>
    <w:p w14:paraId="587FB6E3">
      <w:pPr>
        <w:pStyle w:val="3"/>
        <w:rPr>
          <w:rFonts w:ascii="微软雅黑" w:hAnsi="微软雅黑" w:eastAsia="微软雅黑"/>
          <w:sz w:val="28"/>
          <w:szCs w:val="28"/>
        </w:rPr>
      </w:pPr>
      <w:r>
        <w:rPr>
          <w:rFonts w:ascii="微软雅黑" w:hAnsi="微软雅黑" w:eastAsia="微软雅黑"/>
          <w:sz w:val="28"/>
          <w:szCs w:val="28"/>
        </w:rPr>
        <w:t>2</w:t>
      </w:r>
      <w:r>
        <w:rPr>
          <w:rFonts w:hint="eastAsia" w:ascii="微软雅黑" w:hAnsi="微软雅黑" w:eastAsia="微软雅黑"/>
          <w:sz w:val="28"/>
          <w:szCs w:val="28"/>
        </w:rPr>
        <w:t>、项目申报</w:t>
      </w:r>
    </w:p>
    <w:p w14:paraId="1FD63DB1">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基础信息设置完成之后，便可以直接开始项目申报。</w:t>
      </w:r>
      <w:bookmarkStart w:id="0" w:name="_Hlk8829556"/>
    </w:p>
    <w:bookmarkEnd w:id="0"/>
    <w:p w14:paraId="20973CB4">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企业进入财政专项资金平台后，点击资金申报，进入本级专项资金申报首页，选择“绿色发展重点扶持项目”申报专题进入。</w:t>
      </w:r>
    </w:p>
    <w:p w14:paraId="6BD28EE3">
      <w:pPr>
        <w:ind w:left="360"/>
        <w:jc w:val="center"/>
        <w:rPr>
          <w:rFonts w:ascii="微软雅黑" w:hAnsi="微软雅黑" w:eastAsia="微软雅黑"/>
          <w:sz w:val="24"/>
          <w:szCs w:val="24"/>
        </w:rPr>
      </w:pPr>
      <w:r>
        <w:drawing>
          <wp:inline distT="0" distB="0" distL="0" distR="0">
            <wp:extent cx="5274310" cy="2436495"/>
            <wp:effectExtent l="19050" t="19050" r="21590"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74310" cy="2436495"/>
                    </a:xfrm>
                    <a:prstGeom prst="rect">
                      <a:avLst/>
                    </a:prstGeom>
                    <a:ln>
                      <a:solidFill>
                        <a:schemeClr val="accent1"/>
                      </a:solidFill>
                    </a:ln>
                  </pic:spPr>
                </pic:pic>
              </a:graphicData>
            </a:graphic>
          </wp:inline>
        </w:drawing>
      </w:r>
    </w:p>
    <w:p w14:paraId="6E7F6D19">
      <w:pPr>
        <w:ind w:left="360"/>
        <w:jc w:val="center"/>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2405" cy="2596515"/>
            <wp:effectExtent l="9525" t="9525" r="18415" b="17145"/>
            <wp:docPr id="1" name="图片 1" descr="165916315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9163157762"/>
                    <pic:cNvPicPr>
                      <a:picLocks noChangeAspect="1"/>
                    </pic:cNvPicPr>
                  </pic:nvPicPr>
                  <pic:blipFill>
                    <a:blip r:embed="rId16"/>
                    <a:stretch>
                      <a:fillRect/>
                    </a:stretch>
                  </pic:blipFill>
                  <pic:spPr>
                    <a:xfrm>
                      <a:off x="0" y="0"/>
                      <a:ext cx="5272405" cy="2596515"/>
                    </a:xfrm>
                    <a:prstGeom prst="rect">
                      <a:avLst/>
                    </a:prstGeom>
                    <a:ln>
                      <a:solidFill>
                        <a:srgbClr val="0000FF"/>
                      </a:solidFill>
                    </a:ln>
                  </pic:spPr>
                </pic:pic>
              </a:graphicData>
            </a:graphic>
          </wp:inline>
        </w:drawing>
      </w:r>
    </w:p>
    <w:p w14:paraId="1128D1DF">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进入 “绿色发展重点扶持项目”申报专题后，在业务办理模块，选择“光伏和储能项目征集”入口开始申报。此时若此前单位信息未维护，系统会提示先去维护单位信息。</w:t>
      </w:r>
    </w:p>
    <w:p w14:paraId="66A0553D">
      <w:pPr>
        <w:ind w:left="360"/>
        <w:jc w:val="left"/>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6690" cy="2676525"/>
            <wp:effectExtent l="9525" t="9525" r="13335" b="12700"/>
            <wp:docPr id="3" name="图片 3" descr="165916319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9163191066"/>
                    <pic:cNvPicPr>
                      <a:picLocks noChangeAspect="1"/>
                    </pic:cNvPicPr>
                  </pic:nvPicPr>
                  <pic:blipFill>
                    <a:blip r:embed="rId17"/>
                    <a:stretch>
                      <a:fillRect/>
                    </a:stretch>
                  </pic:blipFill>
                  <pic:spPr>
                    <a:xfrm>
                      <a:off x="0" y="0"/>
                      <a:ext cx="5266690" cy="2676525"/>
                    </a:xfrm>
                    <a:prstGeom prst="rect">
                      <a:avLst/>
                    </a:prstGeom>
                    <a:ln>
                      <a:solidFill>
                        <a:srgbClr val="0000FF"/>
                      </a:solidFill>
                    </a:ln>
                  </pic:spPr>
                </pic:pic>
              </a:graphicData>
            </a:graphic>
          </wp:inline>
        </w:drawing>
      </w:r>
    </w:p>
    <w:p w14:paraId="4FAC9B7F">
      <w:pPr>
        <w:ind w:left="360"/>
        <w:jc w:val="left"/>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6690" cy="2676525"/>
            <wp:effectExtent l="9525" t="9525" r="13335" b="12700"/>
            <wp:docPr id="6" name="图片 6" descr="165916324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9163242988"/>
                    <pic:cNvPicPr>
                      <a:picLocks noChangeAspect="1"/>
                    </pic:cNvPicPr>
                  </pic:nvPicPr>
                  <pic:blipFill>
                    <a:blip r:embed="rId18"/>
                    <a:stretch>
                      <a:fillRect/>
                    </a:stretch>
                  </pic:blipFill>
                  <pic:spPr>
                    <a:xfrm>
                      <a:off x="0" y="0"/>
                      <a:ext cx="5266690" cy="2676525"/>
                    </a:xfrm>
                    <a:prstGeom prst="rect">
                      <a:avLst/>
                    </a:prstGeom>
                    <a:ln>
                      <a:solidFill>
                        <a:srgbClr val="0000FF"/>
                      </a:solidFill>
                    </a:ln>
                  </pic:spPr>
                </pic:pic>
              </a:graphicData>
            </a:graphic>
          </wp:inline>
        </w:drawing>
      </w:r>
    </w:p>
    <w:p w14:paraId="64E87146">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根据系统提示，签署苏州工业园区财政专项资金申报信用承诺书，若之前已经上传过且不需要变更，直接选择同意即可。</w:t>
      </w:r>
    </w:p>
    <w:p w14:paraId="30EBB103">
      <w:pPr>
        <w:spacing w:before="156" w:beforeLines="50" w:after="156" w:afterLines="50"/>
        <w:ind w:firstLine="480" w:firstLineChars="200"/>
        <w:rPr>
          <w:rFonts w:ascii="微软雅黑" w:hAnsi="微软雅黑" w:eastAsia="微软雅黑" w:cs="Arial"/>
          <w:sz w:val="24"/>
          <w:szCs w:val="24"/>
        </w:rPr>
      </w:pPr>
      <w:r>
        <w:rPr>
          <w:rFonts w:hint="eastAsia" w:ascii="微软雅黑" w:hAnsi="微软雅黑" w:eastAsia="微软雅黑" w:cs="Arial"/>
          <w:sz w:val="24"/>
          <w:szCs w:val="24"/>
        </w:rPr>
        <w:drawing>
          <wp:inline distT="0" distB="0" distL="114300" distR="114300">
            <wp:extent cx="5266690" cy="2676525"/>
            <wp:effectExtent l="9525" t="9525" r="13335" b="12700"/>
            <wp:docPr id="8" name="图片 8" descr="16591643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9164331076"/>
                    <pic:cNvPicPr>
                      <a:picLocks noChangeAspect="1"/>
                    </pic:cNvPicPr>
                  </pic:nvPicPr>
                  <pic:blipFill>
                    <a:blip r:embed="rId19"/>
                    <a:stretch>
                      <a:fillRect/>
                    </a:stretch>
                  </pic:blipFill>
                  <pic:spPr>
                    <a:xfrm>
                      <a:off x="0" y="0"/>
                      <a:ext cx="5266690" cy="2676525"/>
                    </a:xfrm>
                    <a:prstGeom prst="rect">
                      <a:avLst/>
                    </a:prstGeom>
                    <a:ln>
                      <a:solidFill>
                        <a:srgbClr val="0000FF"/>
                      </a:solidFill>
                    </a:ln>
                  </pic:spPr>
                </pic:pic>
              </a:graphicData>
            </a:graphic>
          </wp:inline>
        </w:drawing>
      </w:r>
    </w:p>
    <w:p w14:paraId="2033DB9B">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同意之后进入 “光伏和储能项目征集”填报页面，需先选择申报子类：分布式光伏项目、光伏建筑一体化项目、分布式储能项目后点击“我要报名”。</w:t>
      </w:r>
    </w:p>
    <w:p w14:paraId="13771E99">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填报包括三部分内容：</w:t>
      </w:r>
    </w:p>
    <w:p w14:paraId="4FCC080D">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（1）基础信息</w:t>
      </w:r>
    </w:p>
    <w:p w14:paraId="2C81D7E0">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申请人和项目子类系统自动带出，需要申报企业输入项目名称。</w:t>
      </w:r>
    </w:p>
    <w:p w14:paraId="59EBFD3C">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（2）填报内容</w:t>
      </w:r>
    </w:p>
    <w:p w14:paraId="354E876D">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点击“下载模版文件”，严格按照模版提示内容要求填写完成后，点击“上传文件”将文件上传至系统。其中，所有打*信息项为必填项。</w:t>
      </w:r>
    </w:p>
    <w:p w14:paraId="313DB1B9">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w:t>
      </w:r>
      <w:r>
        <w:rPr>
          <w:rFonts w:ascii="微软雅黑" w:hAnsi="微软雅黑" w:eastAsia="微软雅黑"/>
          <w:sz w:val="24"/>
          <w:szCs w:val="24"/>
        </w:rPr>
        <w:t>3</w:t>
      </w:r>
      <w:r>
        <w:rPr>
          <w:rFonts w:hint="eastAsia" w:ascii="微软雅黑" w:hAnsi="微软雅黑" w:eastAsia="微软雅黑"/>
          <w:sz w:val="24"/>
          <w:szCs w:val="24"/>
        </w:rPr>
        <w:t>）选择联系人</w:t>
      </w:r>
    </w:p>
    <w:p w14:paraId="2B308BEE">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请选择本项目对应的负责联系人。</w:t>
      </w:r>
    </w:p>
    <w:p w14:paraId="59E652AA">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w:t>
      </w:r>
      <w:r>
        <w:rPr>
          <w:rFonts w:ascii="微软雅黑" w:hAnsi="微软雅黑" w:eastAsia="微软雅黑"/>
          <w:sz w:val="24"/>
          <w:szCs w:val="24"/>
        </w:rPr>
        <w:t>4</w:t>
      </w:r>
      <w:r>
        <w:rPr>
          <w:rFonts w:hint="eastAsia" w:ascii="微软雅黑" w:hAnsi="微软雅黑" w:eastAsia="微软雅黑"/>
          <w:sz w:val="24"/>
          <w:szCs w:val="24"/>
        </w:rPr>
        <w:t>）上传附件</w:t>
      </w:r>
    </w:p>
    <w:p w14:paraId="33D58136">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请根据附件说明提示上传附件，若有附件模版请先下载模版。</w:t>
      </w:r>
    </w:p>
    <w:p w14:paraId="3FE1FB37">
      <w:pPr>
        <w:spacing w:before="156" w:beforeLines="50" w:after="156" w:afterLines="50"/>
        <w:ind w:firstLine="480" w:firstLineChars="200"/>
        <w:rPr>
          <w:rFonts w:ascii="微软雅黑" w:hAnsi="微软雅黑" w:eastAsia="微软雅黑"/>
          <w:sz w:val="24"/>
          <w:szCs w:val="24"/>
        </w:rPr>
      </w:pPr>
      <w:r>
        <w:rPr>
          <w:rFonts w:ascii="微软雅黑" w:hAnsi="微软雅黑" w:eastAsia="微软雅黑"/>
          <w:sz w:val="24"/>
          <w:szCs w:val="24"/>
        </w:rPr>
        <w:t>温馨提示：建议使用最新的Wps，Office2007以上版本进行填报，系统仅支持.xlsx格式。</w:t>
      </w:r>
    </w:p>
    <w:p w14:paraId="1F325A15">
      <w:pPr>
        <w:spacing w:before="156" w:beforeLines="50" w:after="156" w:afterLines="50"/>
        <w:ind w:firstLine="480" w:firstLineChars="200"/>
        <w:rPr>
          <w:rFonts w:ascii="微软雅黑" w:hAnsi="微软雅黑" w:eastAsia="微软雅黑"/>
          <w:sz w:val="24"/>
          <w:szCs w:val="24"/>
        </w:rPr>
      </w:pPr>
      <w:r>
        <w:rPr>
          <w:rFonts w:hint="eastAsia" w:ascii="微软雅黑" w:hAnsi="微软雅黑" w:eastAsia="微软雅黑"/>
          <w:sz w:val="24"/>
          <w:szCs w:val="24"/>
        </w:rPr>
        <w:t>所以内容维护完成后，点击提交即可。若需查询申报记录，请至“绿色发展重点扶持项目”申报专题页面-业务办理-光伏和储能项目征集，点击“申报记录”进行查询。</w:t>
      </w:r>
    </w:p>
    <w:p w14:paraId="30A489DA">
      <w:pPr>
        <w:spacing w:before="156" w:beforeLines="50" w:after="156" w:afterLines="50"/>
        <w:ind w:firstLine="480" w:firstLineChars="200"/>
        <w:rPr>
          <w:rFonts w:ascii="微软雅黑" w:hAnsi="微软雅黑" w:eastAsia="微软雅黑"/>
          <w:sz w:val="24"/>
          <w:szCs w:val="24"/>
        </w:rPr>
      </w:pPr>
    </w:p>
    <w:p w14:paraId="12C181AD">
      <w:pPr>
        <w:pStyle w:val="2"/>
        <w:spacing w:before="156" w:beforeLines="50" w:after="156" w:afterLines="50"/>
        <w:rPr>
          <w:rFonts w:ascii="微软雅黑" w:hAnsi="微软雅黑" w:eastAsia="微软雅黑" w:cs="Arial"/>
          <w:sz w:val="32"/>
          <w:szCs w:val="32"/>
        </w:rPr>
      </w:pPr>
      <w:r>
        <w:rPr>
          <w:rFonts w:hint="eastAsia" w:ascii="微软雅黑" w:hAnsi="微软雅黑" w:eastAsia="微软雅黑" w:cs="Arial"/>
          <w:sz w:val="32"/>
          <w:szCs w:val="32"/>
        </w:rPr>
        <w:t>三、系统技术支持</w:t>
      </w:r>
    </w:p>
    <w:p w14:paraId="213A5F02">
      <w:pPr>
        <w:spacing w:before="156" w:beforeLines="50" w:after="156" w:afterLines="50"/>
        <w:ind w:firstLine="480" w:firstLineChars="200"/>
        <w:rPr>
          <w:rFonts w:ascii="微软雅黑" w:hAnsi="微软雅黑" w:eastAsia="微软雅黑" w:cs="仿宋"/>
          <w:sz w:val="24"/>
          <w:szCs w:val="24"/>
        </w:rPr>
      </w:pPr>
      <w:r>
        <w:rPr>
          <w:rFonts w:hint="eastAsia" w:ascii="微软雅黑" w:hAnsi="微软雅黑" w:eastAsia="微软雅黑" w:cs="仿宋"/>
          <w:sz w:val="24"/>
          <w:szCs w:val="24"/>
        </w:rPr>
        <w:t>开发单位：苏州德融嘉信信用管理技术股份有限公司</w:t>
      </w:r>
    </w:p>
    <w:p w14:paraId="15855CA4">
      <w:pPr>
        <w:spacing w:before="156" w:beforeLines="50" w:after="156" w:afterLines="50"/>
        <w:ind w:firstLine="480" w:firstLineChars="200"/>
        <w:rPr>
          <w:rFonts w:ascii="微软雅黑" w:hAnsi="微软雅黑" w:eastAsia="微软雅黑" w:cs="仿宋"/>
          <w:sz w:val="24"/>
          <w:szCs w:val="24"/>
        </w:rPr>
      </w:pPr>
      <w:r>
        <w:rPr>
          <w:rFonts w:hint="eastAsia" w:ascii="微软雅黑" w:hAnsi="微软雅黑" w:eastAsia="微软雅黑" w:cs="仿宋"/>
          <w:sz w:val="24"/>
          <w:szCs w:val="24"/>
        </w:rPr>
        <w:t>热线电话：400-8696-086</w:t>
      </w:r>
    </w:p>
    <w:p w14:paraId="41E5BA54">
      <w:pPr>
        <w:spacing w:before="156" w:beforeLines="50" w:after="156" w:afterLines="50"/>
        <w:ind w:firstLine="480" w:firstLineChars="200"/>
        <w:rPr>
          <w:rFonts w:ascii="微软雅黑" w:hAnsi="微软雅黑" w:eastAsia="微软雅黑" w:cs="仿宋"/>
          <w:sz w:val="24"/>
          <w:szCs w:val="24"/>
        </w:rPr>
      </w:pPr>
      <w:r>
        <w:rPr>
          <w:rFonts w:hint="eastAsia" w:ascii="微软雅黑" w:hAnsi="微软雅黑" w:eastAsia="微软雅黑" w:cs="仿宋"/>
          <w:sz w:val="24"/>
          <w:szCs w:val="24"/>
        </w:rPr>
        <w:t>微信号：s18913131676，或者扫描下方二维码</w:t>
      </w:r>
    </w:p>
    <w:p w14:paraId="2A77F238">
      <w:pPr>
        <w:spacing w:before="156" w:beforeLines="50" w:after="156" w:afterLines="50"/>
        <w:ind w:firstLine="480" w:firstLineChars="200"/>
        <w:jc w:val="center"/>
        <w:rPr>
          <w:rFonts w:ascii="微软雅黑" w:hAnsi="微软雅黑" w:eastAsia="微软雅黑" w:cs="仿宋"/>
          <w:sz w:val="24"/>
          <w:szCs w:val="24"/>
        </w:rPr>
      </w:pPr>
      <w:r>
        <w:rPr>
          <w:rFonts w:hint="eastAsia" w:ascii="微软雅黑" w:hAnsi="微软雅黑" w:eastAsia="微软雅黑" w:cs="仿宋"/>
          <w:sz w:val="24"/>
          <w:szCs w:val="24"/>
        </w:rPr>
        <w:drawing>
          <wp:inline distT="0" distB="0" distL="0" distR="0">
            <wp:extent cx="1514475" cy="14192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14475" cy="1419225"/>
                    </a:xfrm>
                    <a:prstGeom prst="rect">
                      <a:avLst/>
                    </a:prstGeom>
                    <a:noFill/>
                    <a:ln>
                      <a:noFill/>
                    </a:ln>
                  </pic:spPr>
                </pic:pic>
              </a:graphicData>
            </a:graphic>
          </wp:inline>
        </w:drawing>
      </w:r>
    </w:p>
    <w:p w14:paraId="5950E08C">
      <w:pPr>
        <w:spacing w:before="156" w:beforeLines="50" w:after="156" w:afterLines="50"/>
        <w:ind w:left="630" w:leftChars="300"/>
        <w:rPr>
          <w:rFonts w:ascii="微软雅黑" w:hAnsi="微软雅黑" w:eastAsia="微软雅黑" w:cs="仿宋"/>
          <w:sz w:val="24"/>
          <w:szCs w:val="24"/>
        </w:rPr>
      </w:pPr>
      <w:r>
        <w:rPr>
          <w:rFonts w:hint="eastAsia" w:ascii="微软雅黑" w:hAnsi="微软雅黑" w:eastAsia="微软雅黑" w:cs="仿宋"/>
          <w:sz w:val="24"/>
          <w:szCs w:val="24"/>
        </w:rPr>
        <w:t>QQ：2967266691</w:t>
      </w:r>
      <w:r>
        <w:rPr>
          <w:rFonts w:hint="eastAsia" w:ascii="微软雅黑" w:hAnsi="微软雅黑" w:eastAsia="微软雅黑" w:cs="仿宋"/>
          <w:sz w:val="24"/>
          <w:szCs w:val="24"/>
        </w:rPr>
        <w:br w:type="textWrapping"/>
      </w:r>
      <w:r>
        <w:rPr>
          <w:rFonts w:hint="eastAsia" w:ascii="微软雅黑" w:hAnsi="微软雅黑" w:eastAsia="微软雅黑" w:cs="仿宋"/>
          <w:sz w:val="24"/>
          <w:szCs w:val="24"/>
        </w:rPr>
        <w:t>邮箱：techsoft@sipac.gov.cn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Open Sans">
    <w:panose1 w:val="020B0606030504020204"/>
    <w:charset w:val="00"/>
    <w:family w:val="swiss"/>
    <w:pitch w:val="default"/>
    <w:sig w:usb0="E00002EF" w:usb1="4000205B" w:usb2="00000028"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45608F"/>
    <w:multiLevelType w:val="multilevel"/>
    <w:tmpl w:val="6845608F"/>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63CB4BA8"/>
    <w:rsid w:val="00002438"/>
    <w:rsid w:val="00016C1C"/>
    <w:rsid w:val="00053CDF"/>
    <w:rsid w:val="00060BED"/>
    <w:rsid w:val="00061D5A"/>
    <w:rsid w:val="00080458"/>
    <w:rsid w:val="000A2E3A"/>
    <w:rsid w:val="000B3073"/>
    <w:rsid w:val="000F264A"/>
    <w:rsid w:val="00101DE4"/>
    <w:rsid w:val="001108B4"/>
    <w:rsid w:val="00111495"/>
    <w:rsid w:val="00152413"/>
    <w:rsid w:val="0015689A"/>
    <w:rsid w:val="00157989"/>
    <w:rsid w:val="00170115"/>
    <w:rsid w:val="001705A6"/>
    <w:rsid w:val="001737B1"/>
    <w:rsid w:val="001F2E16"/>
    <w:rsid w:val="002151C8"/>
    <w:rsid w:val="0024160B"/>
    <w:rsid w:val="00287DF5"/>
    <w:rsid w:val="002B4FE7"/>
    <w:rsid w:val="002B74E6"/>
    <w:rsid w:val="002E3453"/>
    <w:rsid w:val="002E390B"/>
    <w:rsid w:val="002F75D9"/>
    <w:rsid w:val="00317A9D"/>
    <w:rsid w:val="003505AC"/>
    <w:rsid w:val="00355EC5"/>
    <w:rsid w:val="00376613"/>
    <w:rsid w:val="00386D5D"/>
    <w:rsid w:val="00391792"/>
    <w:rsid w:val="003919B2"/>
    <w:rsid w:val="003B0FC4"/>
    <w:rsid w:val="003D6E58"/>
    <w:rsid w:val="00403A3A"/>
    <w:rsid w:val="00416317"/>
    <w:rsid w:val="004444BF"/>
    <w:rsid w:val="004600EC"/>
    <w:rsid w:val="00471967"/>
    <w:rsid w:val="00473D15"/>
    <w:rsid w:val="004768CF"/>
    <w:rsid w:val="00486603"/>
    <w:rsid w:val="004C0856"/>
    <w:rsid w:val="004C2522"/>
    <w:rsid w:val="004D4511"/>
    <w:rsid w:val="004E4B73"/>
    <w:rsid w:val="004E7ADF"/>
    <w:rsid w:val="005353CF"/>
    <w:rsid w:val="00550E6B"/>
    <w:rsid w:val="00582F1D"/>
    <w:rsid w:val="005A2327"/>
    <w:rsid w:val="005A4F2F"/>
    <w:rsid w:val="005A7C87"/>
    <w:rsid w:val="005E0806"/>
    <w:rsid w:val="005E4941"/>
    <w:rsid w:val="005F60D8"/>
    <w:rsid w:val="006146B1"/>
    <w:rsid w:val="006204BD"/>
    <w:rsid w:val="00683D7E"/>
    <w:rsid w:val="00685D98"/>
    <w:rsid w:val="006C13BE"/>
    <w:rsid w:val="006C1E69"/>
    <w:rsid w:val="006D6BBE"/>
    <w:rsid w:val="00703C7A"/>
    <w:rsid w:val="00775FFC"/>
    <w:rsid w:val="00782D7F"/>
    <w:rsid w:val="00793412"/>
    <w:rsid w:val="007C00ED"/>
    <w:rsid w:val="00812AB6"/>
    <w:rsid w:val="0081564B"/>
    <w:rsid w:val="00840796"/>
    <w:rsid w:val="00842397"/>
    <w:rsid w:val="00850E6D"/>
    <w:rsid w:val="00862DDA"/>
    <w:rsid w:val="008812E3"/>
    <w:rsid w:val="00891C12"/>
    <w:rsid w:val="00892A65"/>
    <w:rsid w:val="00895EB2"/>
    <w:rsid w:val="008C149A"/>
    <w:rsid w:val="008E4449"/>
    <w:rsid w:val="008F56BB"/>
    <w:rsid w:val="00920F8C"/>
    <w:rsid w:val="00943F09"/>
    <w:rsid w:val="009B78BF"/>
    <w:rsid w:val="009C5095"/>
    <w:rsid w:val="009D1195"/>
    <w:rsid w:val="009D7C9D"/>
    <w:rsid w:val="009E77CE"/>
    <w:rsid w:val="00A15187"/>
    <w:rsid w:val="00A95107"/>
    <w:rsid w:val="00A96F49"/>
    <w:rsid w:val="00AA797F"/>
    <w:rsid w:val="00AB03B8"/>
    <w:rsid w:val="00AD444C"/>
    <w:rsid w:val="00AE02D8"/>
    <w:rsid w:val="00AF73CE"/>
    <w:rsid w:val="00B152BE"/>
    <w:rsid w:val="00B359D8"/>
    <w:rsid w:val="00B36B56"/>
    <w:rsid w:val="00BA6A4A"/>
    <w:rsid w:val="00BB0B41"/>
    <w:rsid w:val="00BB0CC8"/>
    <w:rsid w:val="00C0390B"/>
    <w:rsid w:val="00C43581"/>
    <w:rsid w:val="00C916F1"/>
    <w:rsid w:val="00C967D1"/>
    <w:rsid w:val="00CA0254"/>
    <w:rsid w:val="00CB623A"/>
    <w:rsid w:val="00CD3849"/>
    <w:rsid w:val="00CD6CF3"/>
    <w:rsid w:val="00D00C1B"/>
    <w:rsid w:val="00D639BD"/>
    <w:rsid w:val="00DB3224"/>
    <w:rsid w:val="00DD3CE8"/>
    <w:rsid w:val="00E736CD"/>
    <w:rsid w:val="00F143E6"/>
    <w:rsid w:val="00F240AE"/>
    <w:rsid w:val="00F37ED2"/>
    <w:rsid w:val="00F76A7D"/>
    <w:rsid w:val="00F8615B"/>
    <w:rsid w:val="00F94A1F"/>
    <w:rsid w:val="00F97599"/>
    <w:rsid w:val="00FB3C77"/>
    <w:rsid w:val="00FD18F3"/>
    <w:rsid w:val="00FE4247"/>
    <w:rsid w:val="010D1EB8"/>
    <w:rsid w:val="02212DE1"/>
    <w:rsid w:val="02484421"/>
    <w:rsid w:val="06D0390D"/>
    <w:rsid w:val="078E0475"/>
    <w:rsid w:val="080C0C36"/>
    <w:rsid w:val="0B9B638F"/>
    <w:rsid w:val="10705869"/>
    <w:rsid w:val="11D00F60"/>
    <w:rsid w:val="13221308"/>
    <w:rsid w:val="13E30CA5"/>
    <w:rsid w:val="1465338F"/>
    <w:rsid w:val="14987110"/>
    <w:rsid w:val="14D46119"/>
    <w:rsid w:val="1C446404"/>
    <w:rsid w:val="1E2E0639"/>
    <w:rsid w:val="1EF122E7"/>
    <w:rsid w:val="1F1601E6"/>
    <w:rsid w:val="21190834"/>
    <w:rsid w:val="219C1218"/>
    <w:rsid w:val="25750685"/>
    <w:rsid w:val="2638294D"/>
    <w:rsid w:val="264E57A5"/>
    <w:rsid w:val="29944C3D"/>
    <w:rsid w:val="2C2122E7"/>
    <w:rsid w:val="2C854B19"/>
    <w:rsid w:val="2E0D459B"/>
    <w:rsid w:val="2E1135C3"/>
    <w:rsid w:val="2FC011EF"/>
    <w:rsid w:val="31BC6F67"/>
    <w:rsid w:val="32012D7C"/>
    <w:rsid w:val="36B37BF0"/>
    <w:rsid w:val="3BFD3AA3"/>
    <w:rsid w:val="42A25019"/>
    <w:rsid w:val="4596272A"/>
    <w:rsid w:val="45CA0ADD"/>
    <w:rsid w:val="46D93BC9"/>
    <w:rsid w:val="47FC1586"/>
    <w:rsid w:val="49A150D2"/>
    <w:rsid w:val="4B045017"/>
    <w:rsid w:val="4B6247D0"/>
    <w:rsid w:val="4DAA5FC6"/>
    <w:rsid w:val="508F4347"/>
    <w:rsid w:val="50FA4123"/>
    <w:rsid w:val="515960E1"/>
    <w:rsid w:val="53425058"/>
    <w:rsid w:val="544E6EB9"/>
    <w:rsid w:val="54864057"/>
    <w:rsid w:val="569C3E48"/>
    <w:rsid w:val="58F8076C"/>
    <w:rsid w:val="5C7D7814"/>
    <w:rsid w:val="5DE94240"/>
    <w:rsid w:val="5E9341D1"/>
    <w:rsid w:val="608F60CF"/>
    <w:rsid w:val="61615736"/>
    <w:rsid w:val="63CB4BA8"/>
    <w:rsid w:val="63DB5CF6"/>
    <w:rsid w:val="666A6A20"/>
    <w:rsid w:val="66DB5DB6"/>
    <w:rsid w:val="68DA6016"/>
    <w:rsid w:val="69BE0695"/>
    <w:rsid w:val="6A642CFF"/>
    <w:rsid w:val="6ACE2E12"/>
    <w:rsid w:val="6B4E1138"/>
    <w:rsid w:val="6CF96CD9"/>
    <w:rsid w:val="6E2467E4"/>
    <w:rsid w:val="70047B88"/>
    <w:rsid w:val="705D456F"/>
    <w:rsid w:val="73DF25A7"/>
    <w:rsid w:val="73F34D4F"/>
    <w:rsid w:val="74A204B9"/>
    <w:rsid w:val="75251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autoSpaceDE w:val="0"/>
      <w:autoSpaceDN w:val="0"/>
      <w:adjustRightInd w:val="0"/>
      <w:snapToGrid w:val="0"/>
      <w:spacing w:beforeLines="100" w:afterLines="100" w:line="360" w:lineRule="auto"/>
      <w:jc w:val="left"/>
      <w:outlineLvl w:val="0"/>
    </w:pPr>
    <w:rPr>
      <w:rFonts w:ascii="Arial" w:hAnsi="Arial" w:eastAsia="黑体" w:cs="宋体"/>
      <w:b/>
      <w:bCs/>
      <w:color w:val="000000"/>
      <w:kern w:val="0"/>
      <w:sz w:val="36"/>
      <w:szCs w:val="36"/>
    </w:rPr>
  </w:style>
  <w:style w:type="paragraph" w:styleId="3">
    <w:name w:val="heading 2"/>
    <w:basedOn w:val="1"/>
    <w:next w:val="1"/>
    <w:unhideWhenUsed/>
    <w:qFormat/>
    <w:uiPriority w:val="0"/>
    <w:pPr>
      <w:keepNext/>
      <w:keepLines/>
      <w:spacing w:before="260" w:after="260" w:line="410" w:lineRule="auto"/>
      <w:ind w:left="420" w:hanging="420"/>
      <w:outlineLvl w:val="1"/>
    </w:pPr>
    <w:rPr>
      <w:rFonts w:ascii="Arial" w:hAnsi="Arial" w:eastAsia="黑体" w:cs="Times New Roman"/>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3"/>
    <w:unhideWhenUsed/>
    <w:qFormat/>
    <w:uiPriority w:val="99"/>
    <w:pPr>
      <w:jc w:val="left"/>
    </w:pPr>
  </w:style>
  <w:style w:type="paragraph" w:styleId="7">
    <w:name w:val="Balloon Text"/>
    <w:basedOn w:val="1"/>
    <w:link w:val="17"/>
    <w:qFormat/>
    <w:uiPriority w:val="0"/>
    <w:rPr>
      <w:sz w:val="18"/>
      <w:szCs w:val="18"/>
    </w:r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Title"/>
    <w:basedOn w:val="1"/>
    <w:next w:val="1"/>
    <w:link w:val="22"/>
    <w:qFormat/>
    <w:uiPriority w:val="0"/>
    <w:pPr>
      <w:spacing w:before="240" w:after="60"/>
      <w:jc w:val="center"/>
      <w:outlineLvl w:val="0"/>
    </w:pPr>
    <w:rPr>
      <w:rFonts w:asciiTheme="majorHAnsi" w:hAnsiTheme="majorHAnsi" w:eastAsiaTheme="majorEastAsia" w:cstheme="majorBidi"/>
      <w:b/>
      <w:bCs/>
      <w:sz w:val="32"/>
      <w:szCs w:val="32"/>
    </w:rPr>
  </w:style>
  <w:style w:type="paragraph" w:styleId="12">
    <w:name w:val="annotation subject"/>
    <w:basedOn w:val="6"/>
    <w:next w:val="6"/>
    <w:link w:val="24"/>
    <w:semiHidden/>
    <w:unhideWhenUsed/>
    <w:qFormat/>
    <w:uiPriority w:val="0"/>
    <w:rPr>
      <w:b/>
      <w:bCs/>
    </w:rPr>
  </w:style>
  <w:style w:type="character" w:styleId="15">
    <w:name w:val="Hyperlink"/>
    <w:basedOn w:val="14"/>
    <w:qFormat/>
    <w:uiPriority w:val="0"/>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character" w:customStyle="1" w:styleId="17">
    <w:name w:val="批注框文本 Char"/>
    <w:basedOn w:val="14"/>
    <w:link w:val="7"/>
    <w:qFormat/>
    <w:uiPriority w:val="0"/>
    <w:rPr>
      <w:rFonts w:asciiTheme="minorHAnsi" w:hAnsiTheme="minorHAnsi" w:eastAsiaTheme="minorEastAsia" w:cstheme="minorBidi"/>
      <w:kern w:val="2"/>
      <w:sz w:val="18"/>
      <w:szCs w:val="18"/>
    </w:rPr>
  </w:style>
  <w:style w:type="character" w:customStyle="1" w:styleId="18">
    <w:name w:val="页眉 Char"/>
    <w:basedOn w:val="14"/>
    <w:link w:val="9"/>
    <w:qFormat/>
    <w:uiPriority w:val="0"/>
    <w:rPr>
      <w:rFonts w:asciiTheme="minorHAnsi" w:hAnsiTheme="minorHAnsi" w:eastAsiaTheme="minorEastAsia" w:cstheme="minorBidi"/>
      <w:kern w:val="2"/>
      <w:sz w:val="18"/>
      <w:szCs w:val="18"/>
    </w:rPr>
  </w:style>
  <w:style w:type="character" w:customStyle="1" w:styleId="19">
    <w:name w:val="页脚 Char"/>
    <w:basedOn w:val="14"/>
    <w:link w:val="8"/>
    <w:qFormat/>
    <w:uiPriority w:val="0"/>
    <w:rPr>
      <w:rFonts w:asciiTheme="minorHAnsi" w:hAnsiTheme="minorHAnsi" w:eastAsiaTheme="minorEastAsia" w:cstheme="minorBidi"/>
      <w:kern w:val="2"/>
      <w:sz w:val="18"/>
      <w:szCs w:val="18"/>
    </w:rPr>
  </w:style>
  <w:style w:type="paragraph" w:customStyle="1" w:styleId="20">
    <w:name w:val="列出段落1"/>
    <w:basedOn w:val="1"/>
    <w:unhideWhenUsed/>
    <w:qFormat/>
    <w:uiPriority w:val="99"/>
    <w:pPr>
      <w:ind w:firstLine="420" w:firstLineChars="200"/>
    </w:pPr>
  </w:style>
  <w:style w:type="paragraph" w:styleId="21">
    <w:name w:val="List Paragraph"/>
    <w:basedOn w:val="1"/>
    <w:qFormat/>
    <w:uiPriority w:val="34"/>
    <w:pPr>
      <w:ind w:firstLine="420" w:firstLineChars="200"/>
    </w:pPr>
    <w:rPr>
      <w:szCs w:val="24"/>
    </w:rPr>
  </w:style>
  <w:style w:type="character" w:customStyle="1" w:styleId="22">
    <w:name w:val="标题 Char"/>
    <w:basedOn w:val="14"/>
    <w:link w:val="11"/>
    <w:qFormat/>
    <w:uiPriority w:val="0"/>
    <w:rPr>
      <w:rFonts w:asciiTheme="majorHAnsi" w:hAnsiTheme="majorHAnsi" w:eastAsiaTheme="majorEastAsia" w:cstheme="majorBidi"/>
      <w:b/>
      <w:bCs/>
      <w:kern w:val="2"/>
      <w:sz w:val="32"/>
      <w:szCs w:val="32"/>
    </w:rPr>
  </w:style>
  <w:style w:type="character" w:customStyle="1" w:styleId="23">
    <w:name w:val="批注文字 Char"/>
    <w:basedOn w:val="14"/>
    <w:link w:val="6"/>
    <w:qFormat/>
    <w:uiPriority w:val="99"/>
    <w:rPr>
      <w:rFonts w:asciiTheme="minorHAnsi" w:hAnsiTheme="minorHAnsi" w:eastAsiaTheme="minorEastAsia" w:cstheme="minorBidi"/>
      <w:kern w:val="2"/>
      <w:sz w:val="21"/>
      <w:szCs w:val="22"/>
    </w:rPr>
  </w:style>
  <w:style w:type="character" w:customStyle="1" w:styleId="24">
    <w:name w:val="批注主题 Char"/>
    <w:basedOn w:val="23"/>
    <w:link w:val="12"/>
    <w:semiHidden/>
    <w:qFormat/>
    <w:uiPriority w:val="0"/>
    <w:rPr>
      <w:rFonts w:asciiTheme="minorHAnsi" w:hAnsiTheme="minorHAnsi" w:eastAsiaTheme="minorEastAsia" w:cstheme="minorBidi"/>
      <w:b/>
      <w:bCs/>
      <w:kern w:val="2"/>
      <w:sz w:val="21"/>
      <w:szCs w:val="22"/>
    </w:rPr>
  </w:style>
  <w:style w:type="character" w:customStyle="1" w:styleId="25">
    <w:name w:val="标题 4 Char"/>
    <w:basedOn w:val="14"/>
    <w:link w:val="5"/>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1386</Words>
  <Characters>1521</Characters>
  <Lines>1</Lines>
  <Paragraphs>3</Paragraphs>
  <TotalTime>10</TotalTime>
  <ScaleCrop>false</ScaleCrop>
  <LinksUpToDate>false</LinksUpToDate>
  <CharactersWithSpaces>1524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2022-08-01T01:12:00Z</dcterms:created>
  <dc:creator>dejax</dc:creator>
  <cp:lastModifiedBy>Monster</cp:lastModifiedBy>
  <dcterms:modified xsi:type="dcterms:W3CDTF">2025-03-05T08:46:23Z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93CF791094DA47749B0909A891786A50</vt:lpwstr>
  </property>
  <property fmtid="{D5CDD505-2E9C-101B-9397-08002B2CF9AE}" pid="4" name="KSOTemplateDocerSaveRecord">
    <vt:lpwstr>eyJoZGlkIjoiMDc2NmJjNzZkMDE4OTZkOTBmYTgxYzNkYjRhMjU3YWEiLCJ1c2VySWQiOiI2OTQwOTMyNzEifQ==</vt:lpwstr>
  </property>
</Properties>
</file>