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7" w:afterLines="50" w:line="558" w:lineRule="exact"/>
        <w:jc w:val="left"/>
        <w:outlineLvl w:val="0"/>
        <w:rPr>
          <w:rFonts w:hint="eastAsia" w:ascii="方正小标宋简体" w:hAnsi="方正小标宋简体" w:eastAsia="方正小标宋简体" w:cs="方正小标宋简体"/>
          <w:sz w:val="44"/>
          <w:szCs w:val="44"/>
        </w:rPr>
      </w:pPr>
      <w:r>
        <w:rPr>
          <w:rFonts w:hint="eastAsia" w:ascii="黑体" w:hAnsi="黑体" w:eastAsia="黑体" w:cs="黑体"/>
          <w:color w:val="333333"/>
          <w:spacing w:val="15"/>
          <w:kern w:val="0"/>
          <w:sz w:val="32"/>
          <w:szCs w:val="32"/>
          <w:shd w:val="clear" w:color="auto" w:fill="FFFFFF"/>
        </w:rPr>
        <w:t>附件5</w:t>
      </w:r>
    </w:p>
    <w:p>
      <w:pPr>
        <w:spacing w:after="157" w:afterLines="50" w:line="558"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2025年地方金融组织落户奖励</w:t>
      </w:r>
    </w:p>
    <w:p>
      <w:pPr>
        <w:spacing w:after="0" w:line="558"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办事指南</w:t>
      </w:r>
    </w:p>
    <w:p>
      <w:pPr>
        <w:spacing w:after="0" w:line="558" w:lineRule="exact"/>
        <w:rPr>
          <w:rFonts w:hint="eastAsia" w:ascii="仿宋_GB2312" w:hAnsi="仿宋_GB2312" w:eastAsia="仿宋_GB2312" w:cs="仿宋_GB2312"/>
          <w:sz w:val="32"/>
          <w:szCs w:val="32"/>
        </w:rPr>
      </w:pPr>
    </w:p>
    <w:p>
      <w:pPr>
        <w:spacing w:after="0" w:line="558" w:lineRule="exact"/>
        <w:ind w:firstLine="640" w:firstLineChars="200"/>
        <w:outlineLvl w:val="0"/>
        <w:rPr>
          <w:rFonts w:hint="eastAsia" w:ascii="黑体" w:hAnsi="黑体" w:eastAsia="黑体" w:cs="黑体"/>
          <w:color w:val="000000"/>
          <w:kern w:val="0"/>
          <w:sz w:val="32"/>
          <w:szCs w:val="32"/>
        </w:rPr>
      </w:pPr>
      <w:r>
        <w:rPr>
          <w:rFonts w:hint="eastAsia" w:ascii="黑体" w:hAnsi="黑体" w:eastAsia="黑体" w:cs="黑体"/>
          <w:sz w:val="32"/>
          <w:szCs w:val="32"/>
        </w:rPr>
        <w:t>一、政策依据</w:t>
      </w:r>
      <w:bookmarkStart w:id="0" w:name="_GoBack"/>
      <w:bookmarkEnd w:id="0"/>
    </w:p>
    <w:p>
      <w:pPr>
        <w:spacing w:after="0" w:line="558" w:lineRule="exact"/>
        <w:ind w:firstLine="640"/>
      </w:pPr>
      <w:r>
        <w:rPr>
          <w:rFonts w:hint="eastAsia" w:ascii="仿宋_GB2312" w:hAnsi="仿宋_GB2312" w:eastAsia="仿宋_GB2312" w:cs="仿宋_GB2312"/>
          <w:bCs/>
          <w:color w:val="000000"/>
          <w:kern w:val="0"/>
          <w:sz w:val="32"/>
          <w:szCs w:val="32"/>
        </w:rPr>
        <w:t>《北京经济技术开发区关于加快推动产业金融高质量发展的若干措施》（京技管发〔2024〕33号）中第十条“</w:t>
      </w:r>
      <w:r>
        <w:rPr>
          <w:rFonts w:hint="eastAsia" w:ascii="仿宋_GB2312" w:hAnsi="仿宋_GB2312" w:eastAsia="仿宋_GB2312" w:cs="仿宋_GB2312"/>
          <w:sz w:val="32"/>
          <w:szCs w:val="32"/>
          <w:lang w:val="zh-TW" w:eastAsia="zh-TW"/>
        </w:rPr>
        <w:t>推动形成多层次地方金融组织体系，支持优质市场主体设立地方金融组织。支持地方金融组织引入战略投资者、开展股权激励等方式优化股权结构。经北京市地方金融管理局批准新设立的融资租赁公司、商业保理公司、融资担保公司，实收资本5亿元（含）以上的，按实收资本的0.5%给予一次性落户奖励，最高不超过2500万元。实收资本每增加1亿元（含）以上的，按增资额度的0.5%给予奖励，每次最高不超过500万元。</w:t>
      </w:r>
      <w:r>
        <w:rPr>
          <w:rFonts w:hint="eastAsia" w:ascii="仿宋_GB2312" w:hAnsi="仿宋_GB2312" w:eastAsia="仿宋_GB2312" w:cs="仿宋_GB2312"/>
          <w:bCs/>
          <w:color w:val="000000"/>
          <w:kern w:val="0"/>
          <w:sz w:val="32"/>
          <w:szCs w:val="32"/>
        </w:rPr>
        <w:t>”</w:t>
      </w:r>
    </w:p>
    <w:p>
      <w:pPr>
        <w:spacing w:after="0"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二、申报事项</w:t>
      </w:r>
    </w:p>
    <w:p>
      <w:pPr>
        <w:spacing w:after="0" w:line="558" w:lineRule="exact"/>
        <w:ind w:firstLine="640" w:firstLineChars="200"/>
        <w:outlineLvl w:val="0"/>
        <w:rPr>
          <w:rFonts w:hint="eastAsia" w:ascii="黑体" w:hAnsi="黑体" w:eastAsia="黑体" w:cs="黑体"/>
          <w:bCs/>
          <w:color w:val="000000"/>
          <w:kern w:val="0"/>
          <w:sz w:val="32"/>
          <w:szCs w:val="32"/>
        </w:rPr>
      </w:pPr>
      <w:r>
        <w:rPr>
          <w:rFonts w:hint="eastAsia" w:ascii="仿宋_GB2312" w:hAnsi="仿宋_GB2312" w:eastAsia="仿宋_GB2312" w:cs="仿宋_GB2312"/>
          <w:sz w:val="32"/>
          <w:szCs w:val="32"/>
          <w:lang w:val="zh-TW" w:eastAsia="zh-TW"/>
        </w:rPr>
        <w:t>2025年地</w:t>
      </w:r>
      <w:r>
        <w:rPr>
          <w:rFonts w:hint="eastAsia" w:eastAsia="仿宋_GB2312" w:cs="仿宋_GB2312"/>
          <w:sz w:val="32"/>
          <w:szCs w:val="32"/>
        </w:rPr>
        <w:t>方金融组织落户奖励</w:t>
      </w:r>
    </w:p>
    <w:p>
      <w:pPr>
        <w:spacing w:after="0" w:line="558" w:lineRule="exact"/>
        <w:ind w:firstLine="640" w:firstLineChars="200"/>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spacing w:after="0" w:line="558"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（一）申报主体在亦庄新城225平方公里范围内注册并实际经营。</w:t>
      </w:r>
    </w:p>
    <w:p>
      <w:pPr>
        <w:spacing w:after="0"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（二）申报主体</w:t>
      </w:r>
      <w:r>
        <w:rPr>
          <w:rFonts w:ascii="仿宋_GB2312" w:hAnsi="仿宋_GB2312" w:eastAsia="仿宋_GB2312" w:cs="仿宋_GB2312"/>
          <w:sz w:val="32"/>
          <w:szCs w:val="32"/>
        </w:rPr>
        <w:t>近三年</w:t>
      </w:r>
      <w:r>
        <w:rPr>
          <w:rFonts w:hint="eastAsia" w:ascii="仿宋_GB2312" w:hAnsi="仿宋_GB2312" w:eastAsia="仿宋_GB2312" w:cs="仿宋_GB2312"/>
          <w:sz w:val="32"/>
          <w:szCs w:val="32"/>
        </w:rPr>
        <w:t>无重大行政处罚记录和刑事犯罪记录，未列入严重违法失信主体名单的法人和其他组织。</w:t>
      </w:r>
    </w:p>
    <w:p>
      <w:pPr>
        <w:spacing w:after="0" w:line="558" w:lineRule="exact"/>
        <w:ind w:firstLine="640"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6"/>
          <w:sz w:val="32"/>
          <w:szCs w:val="32"/>
        </w:rPr>
        <w:t>申报主体的资格需要满足以下条件之一：</w:t>
      </w:r>
    </w:p>
    <w:p>
      <w:pPr>
        <w:spacing w:after="0" w:line="558" w:lineRule="exact"/>
        <w:ind w:firstLine="664" w:firstLineChars="200"/>
        <w:rPr>
          <w:rFonts w:hint="eastAsia" w:ascii="仿宋_GB2312" w:hAnsi="仿宋_GB2312" w:eastAsia="仿宋_GB2312" w:cs="仿宋_GB2312"/>
          <w:sz w:val="32"/>
          <w:szCs w:val="32"/>
          <w:lang w:val="zh-TW"/>
        </w:rPr>
      </w:pPr>
      <w:r>
        <w:rPr>
          <w:rFonts w:hint="eastAsia" w:ascii="仿宋_GB2312" w:hAnsi="仿宋_GB2312" w:eastAsia="仿宋_GB2312" w:cs="仿宋_GB2312"/>
          <w:spacing w:val="6"/>
          <w:sz w:val="32"/>
          <w:szCs w:val="32"/>
        </w:rPr>
        <w:t>1.经北京市地方金融管理局批准新设立，并颁发经营许可证，具有独立法人资格的融</w:t>
      </w:r>
      <w:r>
        <w:rPr>
          <w:rFonts w:hint="eastAsia" w:ascii="仿宋_GB2312" w:hAnsi="仿宋_GB2312" w:eastAsia="仿宋_GB2312" w:cs="仿宋_GB2312"/>
          <w:sz w:val="32"/>
          <w:szCs w:val="32"/>
          <w:lang w:val="zh-TW" w:eastAsia="zh-TW"/>
        </w:rPr>
        <w:t>资租赁公司、商业保理公司、融资担保公司</w:t>
      </w:r>
      <w:r>
        <w:rPr>
          <w:rFonts w:hint="eastAsia" w:ascii="仿宋_GB2312" w:hAnsi="仿宋_GB2312" w:eastAsia="仿宋_GB2312" w:cs="仿宋_GB2312"/>
          <w:spacing w:val="6"/>
          <w:sz w:val="32"/>
          <w:szCs w:val="32"/>
        </w:rPr>
        <w:t>，实收资本需在</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TW" w:eastAsia="zh-TW"/>
        </w:rPr>
        <w:t>亿元（含）以上</w:t>
      </w:r>
      <w:r>
        <w:rPr>
          <w:rFonts w:hint="eastAsia" w:ascii="仿宋_GB2312" w:hAnsi="仿宋_GB2312" w:eastAsia="仿宋_GB2312" w:cs="仿宋_GB2312"/>
          <w:sz w:val="32"/>
          <w:szCs w:val="32"/>
          <w:lang w:val="zh-TW"/>
        </w:rPr>
        <w:t>。</w:t>
      </w:r>
    </w:p>
    <w:p>
      <w:pPr>
        <w:spacing w:after="0" w:line="558" w:lineRule="exact"/>
        <w:ind w:firstLine="664"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2.经北京市地方金融管理局批准在经开区已设立，并颁发经营许可证，具有独立法人资格的融</w:t>
      </w:r>
      <w:r>
        <w:rPr>
          <w:rFonts w:hint="eastAsia" w:ascii="仿宋_GB2312" w:hAnsi="仿宋_GB2312" w:eastAsia="仿宋_GB2312" w:cs="仿宋_GB2312"/>
          <w:sz w:val="32"/>
          <w:szCs w:val="32"/>
          <w:lang w:val="zh-TW" w:eastAsia="zh-TW"/>
        </w:rPr>
        <w:t>资租赁公司、商业保理公司、融资担保公司</w:t>
      </w:r>
      <w:r>
        <w:rPr>
          <w:rFonts w:hint="eastAsia" w:ascii="仿宋_GB2312" w:hAnsi="仿宋_GB2312" w:eastAsia="仿宋_GB2312" w:cs="仿宋_GB2312"/>
          <w:spacing w:val="6"/>
          <w:sz w:val="32"/>
          <w:szCs w:val="32"/>
        </w:rPr>
        <w:t>，实收资本需要单次增资1亿元（含）以上。</w:t>
      </w:r>
    </w:p>
    <w:p>
      <w:pPr>
        <w:spacing w:after="0" w:line="558" w:lineRule="exact"/>
        <w:ind w:firstLine="640" w:firstLineChars="200"/>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spacing w:after="0"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zh-TW" w:eastAsia="zh-TW"/>
        </w:rPr>
        <w:t>对北京市地方金融管理局批准新设立的融资租赁公司、商业保理公司、融资担保公司，实收资本</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TW" w:eastAsia="zh-TW"/>
        </w:rPr>
        <w:t>亿元（含）以上的，按实收资本的</w:t>
      </w:r>
      <w:r>
        <w:rPr>
          <w:rFonts w:hint="eastAsia" w:ascii="仿宋_GB2312" w:hAnsi="仿宋_GB2312" w:eastAsia="仿宋_GB2312" w:cs="仿宋_GB2312"/>
          <w:sz w:val="32"/>
          <w:szCs w:val="32"/>
        </w:rPr>
        <w:t>0.5%</w:t>
      </w:r>
      <w:r>
        <w:rPr>
          <w:rFonts w:hint="eastAsia" w:ascii="仿宋_GB2312" w:hAnsi="仿宋_GB2312" w:eastAsia="仿宋_GB2312" w:cs="仿宋_GB2312"/>
          <w:sz w:val="32"/>
          <w:szCs w:val="32"/>
          <w:lang w:val="zh-TW" w:eastAsia="zh-TW"/>
        </w:rPr>
        <w:t>给予一次性落户奖励，最高不超过</w:t>
      </w:r>
      <w:r>
        <w:rPr>
          <w:rFonts w:hint="eastAsia" w:ascii="仿宋_GB2312" w:hAnsi="仿宋_GB2312" w:eastAsia="仿宋_GB2312" w:cs="仿宋_GB2312"/>
          <w:sz w:val="32"/>
          <w:szCs w:val="32"/>
        </w:rPr>
        <w:t>2500</w:t>
      </w:r>
      <w:r>
        <w:rPr>
          <w:rFonts w:hint="eastAsia" w:ascii="仿宋_GB2312" w:hAnsi="仿宋_GB2312" w:eastAsia="仿宋_GB2312" w:cs="仿宋_GB2312"/>
          <w:sz w:val="32"/>
          <w:szCs w:val="32"/>
          <w:lang w:val="zh-TW" w:eastAsia="zh-TW"/>
        </w:rPr>
        <w:t>万元。</w:t>
      </w:r>
    </w:p>
    <w:p>
      <w:pPr>
        <w:spacing w:after="0" w:line="558" w:lineRule="exact"/>
        <w:ind w:firstLine="640"/>
        <w:rPr>
          <w:rFonts w:hint="eastAsia" w:ascii="仿宋_GB2312" w:hAnsi="仿宋_GB2312" w:eastAsia="仿宋_GB2312" w:cs="仿宋_GB2312"/>
          <w:sz w:val="32"/>
          <w:szCs w:val="32"/>
          <w:lang w:val="zh-TW"/>
        </w:rPr>
      </w:pPr>
      <w:r>
        <w:rPr>
          <w:rFonts w:hint="eastAsia" w:ascii="仿宋_GB2312" w:hAnsi="仿宋_GB2312" w:eastAsia="仿宋_GB2312" w:cs="仿宋_GB2312"/>
          <w:sz w:val="32"/>
          <w:szCs w:val="32"/>
        </w:rPr>
        <w:t>（二）对</w:t>
      </w:r>
      <w:r>
        <w:rPr>
          <w:rFonts w:hint="eastAsia" w:ascii="仿宋_GB2312" w:hAnsi="仿宋_GB2312" w:eastAsia="仿宋_GB2312" w:cs="仿宋_GB2312"/>
          <w:sz w:val="32"/>
          <w:szCs w:val="32"/>
          <w:lang w:val="zh-TW" w:eastAsia="zh-TW"/>
        </w:rPr>
        <w:t>北京市地方金融管理局批准</w:t>
      </w:r>
      <w:r>
        <w:rPr>
          <w:rFonts w:hint="eastAsia" w:ascii="仿宋_GB2312" w:hAnsi="仿宋_GB2312" w:eastAsia="仿宋_GB2312" w:cs="仿宋_GB2312"/>
          <w:spacing w:val="6"/>
          <w:sz w:val="32"/>
          <w:szCs w:val="32"/>
        </w:rPr>
        <w:t>在经开区已设立的</w:t>
      </w:r>
      <w:r>
        <w:rPr>
          <w:rFonts w:hint="eastAsia" w:ascii="仿宋_GB2312" w:hAnsi="仿宋_GB2312" w:eastAsia="仿宋_GB2312" w:cs="仿宋_GB2312"/>
          <w:sz w:val="32"/>
          <w:szCs w:val="32"/>
          <w:lang w:val="zh-TW" w:eastAsia="zh-TW"/>
        </w:rPr>
        <w:t>融资租赁公司、商业保理公司、融资担保公司</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lang w:val="zh-TW" w:eastAsia="zh-TW"/>
        </w:rPr>
        <w:t>实收资本每次增加达1亿元（含）以上的，按增资额度的0.5%给予奖励，每次最高不超过500万元。政策有效期内，多次增资且符合条件的，可重复享受。</w:t>
      </w:r>
    </w:p>
    <w:p>
      <w:pPr>
        <w:spacing w:after="0" w:line="558" w:lineRule="exact"/>
        <w:ind w:firstLine="640"/>
        <w:rPr>
          <w:rFonts w:hint="eastAsia" w:ascii="仿宋_GB2312" w:hAnsi="仿宋_GB2312" w:eastAsia="仿宋_GB2312" w:cs="仿宋_GB2312"/>
          <w:sz w:val="32"/>
          <w:szCs w:val="32"/>
          <w:lang w:val="zh-TW"/>
        </w:rPr>
      </w:pPr>
      <w:r>
        <w:rPr>
          <w:rFonts w:hint="eastAsia" w:ascii="仿宋_GB2312" w:hAnsi="仿宋_GB2312" w:eastAsia="仿宋_GB2312" w:cs="仿宋_GB2312"/>
          <w:sz w:val="32"/>
          <w:szCs w:val="32"/>
          <w:lang w:val="zh-TW"/>
        </w:rPr>
        <w:t>（三）</w:t>
      </w:r>
      <w:r>
        <w:rPr>
          <w:rFonts w:hint="eastAsia" w:ascii="仿宋_GB2312" w:hAnsi="仿宋_GB2312" w:eastAsia="仿宋_GB2312" w:cs="仿宋_GB2312"/>
          <w:sz w:val="32"/>
          <w:szCs w:val="32"/>
          <w:lang w:val="zh-TW" w:eastAsia="zh-TW"/>
        </w:rPr>
        <w:t>支持金额以万元为单位，保留两位小数，不足百元部分舍去。</w:t>
      </w:r>
    </w:p>
    <w:p>
      <w:pPr>
        <w:spacing w:after="0"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五、申报材料及要求</w:t>
      </w:r>
    </w:p>
    <w:p>
      <w:pPr>
        <w:spacing w:after="0" w:line="558" w:lineRule="exact"/>
        <w:ind w:firstLine="664" w:firstLineChars="200"/>
        <w:outlineLvl w:val="1"/>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（一）申报材料</w:t>
      </w:r>
    </w:p>
    <w:p>
      <w:pPr>
        <w:spacing w:after="0" w:line="558" w:lineRule="exact"/>
        <w:ind w:firstLine="640" w:firstLineChars="200"/>
        <w:outlineLvl w:val="2"/>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1.2025年地方金融组织落户奖励申报表，在线填写</w:t>
      </w:r>
      <w:r>
        <w:rPr>
          <w:rFonts w:hint="eastAsia" w:ascii="仿宋_GB2312" w:hAnsi="仿宋_GB2312" w:eastAsia="仿宋_GB2312" w:cs="仿宋_GB2312"/>
          <w:spacing w:val="6"/>
          <w:sz w:val="32"/>
          <w:szCs w:val="32"/>
        </w:rPr>
        <w:t>；</w:t>
      </w:r>
    </w:p>
    <w:p>
      <w:pPr>
        <w:spacing w:after="0" w:line="558"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2.企业营业执照，选取电子证照；</w:t>
      </w:r>
    </w:p>
    <w:p>
      <w:pPr>
        <w:spacing w:after="0" w:line="558"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3.承诺书，下载模板填写，</w:t>
      </w:r>
      <w:r>
        <w:rPr>
          <w:rFonts w:hint="eastAsia" w:ascii="仿宋_GB2312" w:hAnsi="仿宋_GB2312" w:eastAsia="仿宋_GB2312" w:cs="仿宋_GB2312"/>
          <w:spacing w:val="6"/>
          <w:sz w:val="32"/>
          <w:szCs w:val="32"/>
        </w:rPr>
        <w:t>签字</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after="0" w:line="558"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4.银行账户信息，下载模板填写，加盖公章，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after="0" w:line="558"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5.国家金融监管部门或北京市地方金融监督管理局颁发的金融许可证，原件彩色扫描上传；</w:t>
      </w:r>
    </w:p>
    <w:p>
      <w:pPr>
        <w:spacing w:after="0"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6.实收资本</w:t>
      </w:r>
      <w:r>
        <w:rPr>
          <w:rFonts w:ascii="仿宋_GB2312" w:hAnsi="仿宋_GB2312" w:eastAsia="仿宋_GB2312" w:cs="仿宋_GB2312"/>
          <w:sz w:val="32"/>
          <w:szCs w:val="32"/>
        </w:rPr>
        <w:t>验资报告</w:t>
      </w:r>
      <w:r>
        <w:rPr>
          <w:rFonts w:hint="eastAsia" w:ascii="仿宋_GB2312" w:hAnsi="仿宋_GB2312" w:eastAsia="仿宋_GB2312" w:cs="仿宋_GB2312"/>
          <w:sz w:val="32"/>
          <w:szCs w:val="32"/>
        </w:rPr>
        <w:t>，原件彩色扫描上传。</w:t>
      </w:r>
    </w:p>
    <w:p>
      <w:pPr>
        <w:spacing w:after="0" w:line="558"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（二）打印纸质材料要求</w:t>
      </w:r>
    </w:p>
    <w:p>
      <w:pPr>
        <w:spacing w:after="0" w:line="55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收到打印纸质材料短信通知后，在3个工作日内从平台下载带水印全套申报材料进行打印，一式一份有序装订（整本首页、骑缝盖章），其中银行账户信息无需装订，加盖公章，一并递交至受理窗口。</w:t>
      </w:r>
    </w:p>
    <w:p>
      <w:pPr>
        <w:spacing w:after="0"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六、办理程序</w:t>
      </w:r>
    </w:p>
    <w:p>
      <w:pPr>
        <w:pStyle w:val="6"/>
        <w:widowControl/>
        <w:numPr>
          <w:ilvl w:val="255"/>
          <w:numId w:val="0"/>
        </w:numPr>
        <w:shd w:val="clear" w:color="auto" w:fill="FFFFFF"/>
        <w:spacing w:beforeAutospacing="0" w:after="0" w:afterAutospacing="0" w:line="55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：通过经开区官网</w:t>
      </w:r>
      <w:r>
        <w:rPr>
          <w:rFonts w:hint="eastAsia" w:ascii="仿宋_GB2312" w:hAnsi="仿宋_GB2312" w:eastAsia="仿宋_GB2312" w:cs="仿宋_GB2312"/>
          <w:sz w:val="32"/>
          <w:szCs w:val="32"/>
        </w:rPr>
        <w:t>政策兑现模块</w:t>
      </w:r>
      <w:r>
        <w:rPr>
          <w:rFonts w:hint="eastAsia" w:ascii="仿宋_GB2312" w:hAnsi="仿宋_GB2312" w:eastAsia="仿宋_GB2312" w:cs="仿宋_GB2312"/>
          <w:color w:val="000000"/>
          <w:sz w:val="32"/>
          <w:szCs w:val="32"/>
        </w:rPr>
        <w:t>进入政策兑现综合服务平台，</w:t>
      </w:r>
      <w:r>
        <w:rPr>
          <w:rFonts w:hint="eastAsia" w:ascii="仿宋_GB2312" w:hAnsi="仿宋_GB2312" w:eastAsia="仿宋_GB2312" w:cs="仿宋_GB2312"/>
          <w:sz w:val="32"/>
          <w:szCs w:val="32"/>
        </w:rPr>
        <w:t>或使用360浏览器的极速模式登录网址：zcdx.kfqgw.beijing.gov.cn</w:t>
      </w:r>
      <w:r>
        <w:rPr>
          <w:rFonts w:hint="eastAsia" w:ascii="仿宋_GB2312" w:hAnsi="仿宋_GB2312" w:eastAsia="仿宋_GB2312" w:cs="仿宋_GB2312"/>
          <w:color w:val="000000"/>
          <w:sz w:val="32"/>
          <w:szCs w:val="32"/>
        </w:rPr>
        <w:t>，注册登录后进行项目申报。如未在规定时间内提交申请的，视为自动放弃。</w:t>
      </w:r>
    </w:p>
    <w:p>
      <w:pPr>
        <w:pStyle w:val="6"/>
        <w:widowControl/>
        <w:numPr>
          <w:ilvl w:val="255"/>
          <w:numId w:val="0"/>
        </w:numPr>
        <w:shd w:val="clear" w:color="auto" w:fill="FFFFFF"/>
        <w:spacing w:beforeAutospacing="0" w:after="0" w:afterAutospacing="0" w:line="558"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：经开区营商环境建设局对申报主体提交的材料进行完整性审查，材料不齐全或不符合要求的，告知申报主体补齐补正。</w:t>
      </w:r>
    </w:p>
    <w:p>
      <w:pPr>
        <w:pStyle w:val="6"/>
        <w:widowControl/>
        <w:shd w:val="clear" w:color="auto" w:fill="FFFFFF"/>
        <w:spacing w:beforeAutospacing="0" w:after="0" w:afterAutospacing="0" w:line="558"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商务金融局</w:t>
      </w:r>
      <w:r>
        <w:rPr>
          <w:rFonts w:hint="eastAsia" w:ascii="仿宋_GB2312" w:hAnsi="仿宋_GB2312" w:eastAsia="仿宋_GB2312" w:cs="仿宋_GB2312"/>
          <w:color w:val="000000"/>
          <w:kern w:val="2"/>
          <w:sz w:val="32"/>
          <w:szCs w:val="32"/>
        </w:rPr>
        <w:t>对申报材料进行实质审核。</w:t>
      </w:r>
    </w:p>
    <w:p>
      <w:pPr>
        <w:pStyle w:val="6"/>
        <w:widowControl/>
        <w:shd w:val="clear" w:color="auto" w:fill="FFFFFF"/>
        <w:spacing w:beforeAutospacing="0" w:after="0" w:afterAutospacing="0" w:line="558"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线下受理</w:t>
      </w:r>
      <w:r>
        <w:rPr>
          <w:rFonts w:hint="eastAsia" w:ascii="仿宋_GB2312" w:hAnsi="仿宋_GB2312" w:eastAsia="仿宋_GB2312" w:cs="仿宋_GB2312"/>
          <w:color w:val="000000"/>
          <w:kern w:val="2"/>
          <w:sz w:val="32"/>
          <w:szCs w:val="32"/>
        </w:rPr>
        <w:t>：申报主体在规定期间内从平台下载带水印的申报材料进行打印，并前往政务服务大厅“政策申报”窗口提交材料，工作人员核验，与网上提交材料一致的，予以收件；不符合的，当场告知补正要求。</w:t>
      </w:r>
    </w:p>
    <w:p>
      <w:pPr>
        <w:pStyle w:val="6"/>
        <w:widowControl/>
        <w:shd w:val="clear" w:color="auto" w:fill="FFFFFF"/>
        <w:spacing w:beforeAutospacing="0" w:after="0" w:afterAutospacing="0" w:line="558"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：经开区商务金融局对审核通过的申报主体拟定兑现扶持奖励金额。</w:t>
      </w:r>
    </w:p>
    <w:p>
      <w:pPr>
        <w:pStyle w:val="6"/>
        <w:widowControl/>
        <w:shd w:val="clear" w:color="auto" w:fill="FFFFFF"/>
        <w:spacing w:beforeAutospacing="0" w:after="0" w:afterAutospacing="0" w:line="558"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：经开区商务金融局通过政策兑现综合服务平台对审核通过的申报主体进行公示。</w:t>
      </w:r>
    </w:p>
    <w:p>
      <w:pPr>
        <w:pStyle w:val="6"/>
        <w:widowControl/>
        <w:shd w:val="clear" w:color="auto" w:fill="FFFFFF"/>
        <w:spacing w:beforeAutospacing="0" w:after="0" w:afterAutospacing="0" w:line="55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（七）</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：经公示无异议的，经开区综合服务保障中心完成资金拨付工作。</w:t>
      </w:r>
    </w:p>
    <w:p>
      <w:pPr>
        <w:spacing w:after="0"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七、主责部门</w:t>
      </w:r>
    </w:p>
    <w:p>
      <w:pPr>
        <w:spacing w:after="0" w:line="558" w:lineRule="exact"/>
        <w:ind w:firstLine="640" w:firstLineChars="200"/>
        <w:rPr>
          <w:rFonts w:hint="eastAsia" w:ascii="仿宋_GB2312" w:hAnsi="仿宋_GB2312" w:eastAsia="仿宋_GB2312" w:cs="仿宋_GB2312"/>
          <w:b/>
          <w:bCs/>
          <w:sz w:val="32"/>
          <w:szCs w:val="32"/>
        </w:rPr>
      </w:pPr>
      <w:r>
        <w:rPr>
          <w:rFonts w:hint="eastAsia" w:eastAsia="仿宋_GB2312" w:cs="仿宋_GB2312"/>
          <w:sz w:val="32"/>
          <w:szCs w:val="32"/>
        </w:rPr>
        <w:t>经开区商务金融局</w:t>
      </w:r>
    </w:p>
    <w:p>
      <w:pPr>
        <w:spacing w:after="0"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八、受理窗口</w:t>
      </w:r>
    </w:p>
    <w:p>
      <w:pPr>
        <w:spacing w:after="0" w:line="558"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北京经济技术开发区万源街4号政务服务大厅“政策申报”窗口</w:t>
      </w:r>
    </w:p>
    <w:p>
      <w:pPr>
        <w:spacing w:after="0"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九、申报时间</w:t>
      </w:r>
    </w:p>
    <w:p>
      <w:pPr>
        <w:spacing w:after="0"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年3月7日至202</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年3月21日</w:t>
      </w:r>
    </w:p>
    <w:p>
      <w:pPr>
        <w:spacing w:after="0"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十、联系人及联系方式</w:t>
      </w:r>
    </w:p>
    <w:p>
      <w:pPr>
        <w:spacing w:after="0" w:line="558" w:lineRule="exact"/>
        <w:ind w:firstLine="640" w:firstLineChars="200"/>
        <w:rPr>
          <w:rFonts w:eastAsia="仿宋_GB2312"/>
          <w:sz w:val="32"/>
          <w:szCs w:val="32"/>
        </w:rPr>
      </w:pPr>
      <w:r>
        <w:rPr>
          <w:rFonts w:hint="eastAsia" w:eastAsia="仿宋_GB2312"/>
          <w:sz w:val="32"/>
          <w:szCs w:val="32"/>
        </w:rPr>
        <w:t>政策咨询：</w:t>
      </w:r>
    </w:p>
    <w:p>
      <w:pPr>
        <w:spacing w:after="0" w:line="558" w:lineRule="exact"/>
        <w:ind w:firstLine="640" w:firstLineChars="200"/>
        <w:rPr>
          <w:rFonts w:eastAsia="仿宋_GB2312"/>
          <w:sz w:val="32"/>
          <w:szCs w:val="32"/>
        </w:rPr>
      </w:pPr>
      <w:r>
        <w:rPr>
          <w:rFonts w:hint="eastAsia" w:eastAsia="仿宋_GB2312"/>
          <w:sz w:val="32"/>
          <w:szCs w:val="32"/>
        </w:rPr>
        <w:t>经开区政务服务大厅“政策申报”窗口，联系电话：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spacing w:after="0" w:line="558" w:lineRule="exact"/>
        <w:ind w:firstLine="640" w:firstLineChars="200"/>
        <w:rPr>
          <w:rFonts w:eastAsia="仿宋_GB2312"/>
          <w:sz w:val="32"/>
          <w:szCs w:val="32"/>
        </w:rPr>
      </w:pPr>
      <w:r>
        <w:rPr>
          <w:rFonts w:hint="eastAsia" w:eastAsia="仿宋_GB2312"/>
          <w:sz w:val="32"/>
          <w:szCs w:val="32"/>
        </w:rPr>
        <w:t>经开</w:t>
      </w:r>
      <w:r>
        <w:rPr>
          <w:rFonts w:hint="eastAsia" w:ascii="仿宋_GB2312" w:hAnsi="仿宋_GB2312" w:eastAsia="仿宋_GB2312" w:cs="仿宋_GB2312"/>
          <w:sz w:val="32"/>
          <w:szCs w:val="32"/>
        </w:rPr>
        <w:t>区商务金融局，联系人：李镕辰，联系电话：010-</w:t>
      </w:r>
      <w:r>
        <w:rPr>
          <w:rFonts w:hint="eastAsia" w:ascii="仿宋_GB2312" w:hAnsi="仿宋_GB2312" w:eastAsia="仿宋_GB2312" w:cs="仿宋_GB2312"/>
          <w:sz w:val="32"/>
          <w:szCs w:val="32"/>
          <w:lang w:val="en-US" w:eastAsia="zh-CN"/>
        </w:rPr>
        <w:t>87163239</w:t>
      </w:r>
      <w:r>
        <w:rPr>
          <w:rFonts w:hint="eastAsia" w:ascii="仿宋_GB2312" w:hAnsi="仿宋_GB2312" w:eastAsia="仿宋_GB2312" w:cs="仿宋_GB2312"/>
          <w:sz w:val="32"/>
          <w:szCs w:val="32"/>
        </w:rPr>
        <w:t>，工作日上午9:00—12:00，下午2:00—6:00。</w:t>
      </w:r>
    </w:p>
    <w:p>
      <w:pPr>
        <w:spacing w:after="0" w:line="558" w:lineRule="exact"/>
        <w:ind w:firstLine="640" w:firstLineChars="200"/>
        <w:rPr>
          <w:rFonts w:eastAsia="仿宋_GB2312"/>
          <w:sz w:val="32"/>
          <w:szCs w:val="32"/>
        </w:rPr>
      </w:pPr>
      <w:r>
        <w:rPr>
          <w:rFonts w:hint="eastAsia" w:eastAsia="仿宋_GB2312"/>
          <w:sz w:val="32"/>
          <w:szCs w:val="32"/>
        </w:rPr>
        <w:t>技术支持：</w:t>
      </w:r>
    </w:p>
    <w:p>
      <w:pPr>
        <w:spacing w:after="0" w:line="558" w:lineRule="exact"/>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：010-67857638，工作日上午9:00—12:00，下午2:00—6:00。</w:t>
      </w:r>
    </w:p>
    <w:p>
      <w:pPr>
        <w:spacing w:after="0" w:line="558" w:lineRule="exact"/>
        <w:ind w:firstLine="640" w:firstLineChars="200"/>
        <w:outlineLvl w:val="0"/>
        <w:rPr>
          <w:rFonts w:hint="eastAsia" w:ascii="仿宋_GB2312" w:hAnsi="仿宋_GB2312" w:eastAsia="仿宋_GB2312" w:cs="仿宋_GB2312"/>
          <w:sz w:val="32"/>
          <w:szCs w:val="32"/>
        </w:rPr>
      </w:pPr>
      <w:r>
        <w:rPr>
          <w:rFonts w:hint="eastAsia" w:ascii="黑体" w:hAnsi="黑体" w:eastAsia="黑体" w:cs="黑体"/>
          <w:sz w:val="32"/>
          <w:szCs w:val="32"/>
        </w:rPr>
        <w:t>十一、收费标准</w:t>
      </w:r>
    </w:p>
    <w:p>
      <w:pPr>
        <w:spacing w:after="0" w:line="55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after="0" w:line="558"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十二、特别说明</w:t>
      </w:r>
    </w:p>
    <w:p>
      <w:pPr>
        <w:spacing w:after="0" w:line="558"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60EF1"/>
    <w:rsid w:val="0001192B"/>
    <w:rsid w:val="00060052"/>
    <w:rsid w:val="00062C5F"/>
    <w:rsid w:val="000F62F2"/>
    <w:rsid w:val="001145E7"/>
    <w:rsid w:val="00161422"/>
    <w:rsid w:val="00161CCE"/>
    <w:rsid w:val="002838D9"/>
    <w:rsid w:val="002B6831"/>
    <w:rsid w:val="00360EF1"/>
    <w:rsid w:val="00395968"/>
    <w:rsid w:val="00457B4D"/>
    <w:rsid w:val="004A7074"/>
    <w:rsid w:val="005260C3"/>
    <w:rsid w:val="00532920"/>
    <w:rsid w:val="006052A1"/>
    <w:rsid w:val="00653603"/>
    <w:rsid w:val="006A1513"/>
    <w:rsid w:val="006D0140"/>
    <w:rsid w:val="00710378"/>
    <w:rsid w:val="007D1B75"/>
    <w:rsid w:val="00844BDB"/>
    <w:rsid w:val="008678F2"/>
    <w:rsid w:val="008E2002"/>
    <w:rsid w:val="00900A14"/>
    <w:rsid w:val="00923A77"/>
    <w:rsid w:val="0098077A"/>
    <w:rsid w:val="00A3406B"/>
    <w:rsid w:val="00B74D80"/>
    <w:rsid w:val="00C122AB"/>
    <w:rsid w:val="00C41A4D"/>
    <w:rsid w:val="00D460B2"/>
    <w:rsid w:val="00D668C9"/>
    <w:rsid w:val="00D76185"/>
    <w:rsid w:val="00D85A9F"/>
    <w:rsid w:val="00D90D53"/>
    <w:rsid w:val="00EA199B"/>
    <w:rsid w:val="00EC5561"/>
    <w:rsid w:val="01540D91"/>
    <w:rsid w:val="01586909"/>
    <w:rsid w:val="015C7ADB"/>
    <w:rsid w:val="01904DED"/>
    <w:rsid w:val="01CB7B50"/>
    <w:rsid w:val="01D948CF"/>
    <w:rsid w:val="020C0B78"/>
    <w:rsid w:val="0225322D"/>
    <w:rsid w:val="02297D4E"/>
    <w:rsid w:val="025430A8"/>
    <w:rsid w:val="026102BC"/>
    <w:rsid w:val="0278373A"/>
    <w:rsid w:val="0290748C"/>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CC64FD"/>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AB08F2"/>
    <w:rsid w:val="0EAD26D4"/>
    <w:rsid w:val="0ED00FB9"/>
    <w:rsid w:val="0EE86C1D"/>
    <w:rsid w:val="0F131376"/>
    <w:rsid w:val="0F193762"/>
    <w:rsid w:val="0F1D02E7"/>
    <w:rsid w:val="0F221A0E"/>
    <w:rsid w:val="0F8C27FB"/>
    <w:rsid w:val="0F934289"/>
    <w:rsid w:val="0FA61C25"/>
    <w:rsid w:val="0FF757D0"/>
    <w:rsid w:val="101D1DF8"/>
    <w:rsid w:val="10452D67"/>
    <w:rsid w:val="106018C4"/>
    <w:rsid w:val="10653491"/>
    <w:rsid w:val="10706EEF"/>
    <w:rsid w:val="1092296C"/>
    <w:rsid w:val="10A01313"/>
    <w:rsid w:val="10C13CF3"/>
    <w:rsid w:val="10E13271"/>
    <w:rsid w:val="117D2BA9"/>
    <w:rsid w:val="118F3527"/>
    <w:rsid w:val="11CA43B8"/>
    <w:rsid w:val="11D62CBE"/>
    <w:rsid w:val="121B617A"/>
    <w:rsid w:val="1252310C"/>
    <w:rsid w:val="12E52159"/>
    <w:rsid w:val="12EE4885"/>
    <w:rsid w:val="12F16B66"/>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612585"/>
    <w:rsid w:val="196452DD"/>
    <w:rsid w:val="197A58E4"/>
    <w:rsid w:val="19856C91"/>
    <w:rsid w:val="19B8431B"/>
    <w:rsid w:val="19DB76A4"/>
    <w:rsid w:val="19EC634B"/>
    <w:rsid w:val="19F32EB8"/>
    <w:rsid w:val="1A0B0313"/>
    <w:rsid w:val="1A0C4625"/>
    <w:rsid w:val="1AB25631"/>
    <w:rsid w:val="1AC071AC"/>
    <w:rsid w:val="1AC627E0"/>
    <w:rsid w:val="1AF423CA"/>
    <w:rsid w:val="1B6F2C26"/>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81D61"/>
    <w:rsid w:val="20AA00DB"/>
    <w:rsid w:val="20C93EA2"/>
    <w:rsid w:val="20CC2FA6"/>
    <w:rsid w:val="20D514AE"/>
    <w:rsid w:val="20DE69DC"/>
    <w:rsid w:val="2117052E"/>
    <w:rsid w:val="21335EBD"/>
    <w:rsid w:val="21835613"/>
    <w:rsid w:val="21B6442D"/>
    <w:rsid w:val="21C06C9F"/>
    <w:rsid w:val="21D10780"/>
    <w:rsid w:val="21F93416"/>
    <w:rsid w:val="220962A9"/>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6102E1"/>
    <w:rsid w:val="2AB25697"/>
    <w:rsid w:val="2ACF7AB8"/>
    <w:rsid w:val="2B035A09"/>
    <w:rsid w:val="2B2024A7"/>
    <w:rsid w:val="2B833D12"/>
    <w:rsid w:val="2B9B0A58"/>
    <w:rsid w:val="2BA7027E"/>
    <w:rsid w:val="2BAB54C5"/>
    <w:rsid w:val="2BC05AF8"/>
    <w:rsid w:val="2BE54D11"/>
    <w:rsid w:val="2BF7EAA2"/>
    <w:rsid w:val="2C522435"/>
    <w:rsid w:val="2CEC36C7"/>
    <w:rsid w:val="2D2A602F"/>
    <w:rsid w:val="2D6B0ED7"/>
    <w:rsid w:val="2D715293"/>
    <w:rsid w:val="2D7649D6"/>
    <w:rsid w:val="2DA064BD"/>
    <w:rsid w:val="2E236E07"/>
    <w:rsid w:val="2E2B3CCA"/>
    <w:rsid w:val="2E491136"/>
    <w:rsid w:val="2EC908A3"/>
    <w:rsid w:val="2ED73427"/>
    <w:rsid w:val="2F2F2A58"/>
    <w:rsid w:val="2F36E2E4"/>
    <w:rsid w:val="2F5D1137"/>
    <w:rsid w:val="2F6E0190"/>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A1FD6"/>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9869E2"/>
    <w:rsid w:val="3AA934A6"/>
    <w:rsid w:val="3B0A5D15"/>
    <w:rsid w:val="3B6877C8"/>
    <w:rsid w:val="3BDA7DE5"/>
    <w:rsid w:val="3C2F160E"/>
    <w:rsid w:val="3C5F033A"/>
    <w:rsid w:val="3CD117BD"/>
    <w:rsid w:val="3CF83180"/>
    <w:rsid w:val="3D0B1E04"/>
    <w:rsid w:val="3D23696B"/>
    <w:rsid w:val="3D94503B"/>
    <w:rsid w:val="3DAA6DAB"/>
    <w:rsid w:val="3DD55352"/>
    <w:rsid w:val="3DD73586"/>
    <w:rsid w:val="3DE32562"/>
    <w:rsid w:val="3E20508B"/>
    <w:rsid w:val="3ED12338"/>
    <w:rsid w:val="3EE438FE"/>
    <w:rsid w:val="3EF468CE"/>
    <w:rsid w:val="3F087986"/>
    <w:rsid w:val="3F2328C1"/>
    <w:rsid w:val="3F31781F"/>
    <w:rsid w:val="3F346049"/>
    <w:rsid w:val="3F3D4664"/>
    <w:rsid w:val="3F580B78"/>
    <w:rsid w:val="3FBC30E1"/>
    <w:rsid w:val="3FD009E6"/>
    <w:rsid w:val="3FD3067D"/>
    <w:rsid w:val="3FD4707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9006A23"/>
    <w:rsid w:val="492A682B"/>
    <w:rsid w:val="49596A53"/>
    <w:rsid w:val="49AE2D68"/>
    <w:rsid w:val="49C3065B"/>
    <w:rsid w:val="49FE7196"/>
    <w:rsid w:val="4A2E4F9F"/>
    <w:rsid w:val="4A3148B7"/>
    <w:rsid w:val="4A3C2091"/>
    <w:rsid w:val="4A41431D"/>
    <w:rsid w:val="4A8A325C"/>
    <w:rsid w:val="4AB84ECB"/>
    <w:rsid w:val="4ACF4B48"/>
    <w:rsid w:val="4AD86E60"/>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80981"/>
    <w:rsid w:val="4E2B5D5D"/>
    <w:rsid w:val="4E8B3508"/>
    <w:rsid w:val="4ED13285"/>
    <w:rsid w:val="4F1A6236"/>
    <w:rsid w:val="4F6A651C"/>
    <w:rsid w:val="4F721548"/>
    <w:rsid w:val="4F7E00FD"/>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6954CA"/>
    <w:rsid w:val="5AA36BE1"/>
    <w:rsid w:val="5AF64E2C"/>
    <w:rsid w:val="5AFE68EE"/>
    <w:rsid w:val="5B263105"/>
    <w:rsid w:val="5B505870"/>
    <w:rsid w:val="5B9546C3"/>
    <w:rsid w:val="5B982FC7"/>
    <w:rsid w:val="5B9A26B1"/>
    <w:rsid w:val="5BB64501"/>
    <w:rsid w:val="5BBE2157"/>
    <w:rsid w:val="5BE96A8D"/>
    <w:rsid w:val="5BF15375"/>
    <w:rsid w:val="5BF790FD"/>
    <w:rsid w:val="5BF938B5"/>
    <w:rsid w:val="5C523F6F"/>
    <w:rsid w:val="5C76716F"/>
    <w:rsid w:val="5C8552B1"/>
    <w:rsid w:val="5C866EDB"/>
    <w:rsid w:val="5C973F92"/>
    <w:rsid w:val="5C9A1486"/>
    <w:rsid w:val="5C9A6C78"/>
    <w:rsid w:val="5CAC0B80"/>
    <w:rsid w:val="5CBFB4DD"/>
    <w:rsid w:val="5CE23BD6"/>
    <w:rsid w:val="5CFF4E17"/>
    <w:rsid w:val="5D1237AB"/>
    <w:rsid w:val="5D442416"/>
    <w:rsid w:val="5D5B7524"/>
    <w:rsid w:val="5D731173"/>
    <w:rsid w:val="5DB61076"/>
    <w:rsid w:val="5DB96EBE"/>
    <w:rsid w:val="5DFA426F"/>
    <w:rsid w:val="5E062DB0"/>
    <w:rsid w:val="5E60221A"/>
    <w:rsid w:val="5E852B06"/>
    <w:rsid w:val="5EBB0773"/>
    <w:rsid w:val="5EC9424F"/>
    <w:rsid w:val="5F3F6EB7"/>
    <w:rsid w:val="5F595787"/>
    <w:rsid w:val="5F8D1C46"/>
    <w:rsid w:val="5FBD03D0"/>
    <w:rsid w:val="5FE50B69"/>
    <w:rsid w:val="601B4866"/>
    <w:rsid w:val="60303D05"/>
    <w:rsid w:val="60386110"/>
    <w:rsid w:val="606977B6"/>
    <w:rsid w:val="60B75222"/>
    <w:rsid w:val="610966E3"/>
    <w:rsid w:val="61A06ED8"/>
    <w:rsid w:val="61CC6283"/>
    <w:rsid w:val="61EB1FBB"/>
    <w:rsid w:val="620458E9"/>
    <w:rsid w:val="624422CE"/>
    <w:rsid w:val="62812C52"/>
    <w:rsid w:val="6284439F"/>
    <w:rsid w:val="6298596F"/>
    <w:rsid w:val="634E079D"/>
    <w:rsid w:val="635553E5"/>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F3BCF6"/>
    <w:rsid w:val="67F973CE"/>
    <w:rsid w:val="6808097F"/>
    <w:rsid w:val="686076FC"/>
    <w:rsid w:val="68E479A1"/>
    <w:rsid w:val="6A7C3B1B"/>
    <w:rsid w:val="6A9153AF"/>
    <w:rsid w:val="6A9A5399"/>
    <w:rsid w:val="6B3F3AAD"/>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EC648DD"/>
    <w:rsid w:val="6EEF0E38"/>
    <w:rsid w:val="6F0C63B7"/>
    <w:rsid w:val="6F345206"/>
    <w:rsid w:val="6F941165"/>
    <w:rsid w:val="6F9D2D94"/>
    <w:rsid w:val="6FBC2D32"/>
    <w:rsid w:val="6FFF6326"/>
    <w:rsid w:val="70007B47"/>
    <w:rsid w:val="702F1D23"/>
    <w:rsid w:val="705342C1"/>
    <w:rsid w:val="708D3892"/>
    <w:rsid w:val="70A8641D"/>
    <w:rsid w:val="70B75CF8"/>
    <w:rsid w:val="70C079DE"/>
    <w:rsid w:val="712573D2"/>
    <w:rsid w:val="7155010D"/>
    <w:rsid w:val="715C4E8A"/>
    <w:rsid w:val="717F152D"/>
    <w:rsid w:val="71D07EE4"/>
    <w:rsid w:val="720F3D8F"/>
    <w:rsid w:val="72A75458"/>
    <w:rsid w:val="72D92721"/>
    <w:rsid w:val="732D07CF"/>
    <w:rsid w:val="73436223"/>
    <w:rsid w:val="735538BA"/>
    <w:rsid w:val="73AC6967"/>
    <w:rsid w:val="73AE56BA"/>
    <w:rsid w:val="740941C7"/>
    <w:rsid w:val="74A24F54"/>
    <w:rsid w:val="74DA21D9"/>
    <w:rsid w:val="75250E17"/>
    <w:rsid w:val="75576C93"/>
    <w:rsid w:val="75711074"/>
    <w:rsid w:val="75893E4D"/>
    <w:rsid w:val="75BA3B6D"/>
    <w:rsid w:val="75D12F9F"/>
    <w:rsid w:val="75E87AE4"/>
    <w:rsid w:val="76206188"/>
    <w:rsid w:val="767E6D89"/>
    <w:rsid w:val="768B48F5"/>
    <w:rsid w:val="76A32A08"/>
    <w:rsid w:val="76DD66F2"/>
    <w:rsid w:val="76EC6FC3"/>
    <w:rsid w:val="76FEE61E"/>
    <w:rsid w:val="770B2702"/>
    <w:rsid w:val="7718563E"/>
    <w:rsid w:val="776A3F9A"/>
    <w:rsid w:val="77901978"/>
    <w:rsid w:val="77915027"/>
    <w:rsid w:val="779D4F4D"/>
    <w:rsid w:val="77CF1648"/>
    <w:rsid w:val="77D40FF5"/>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B201A3E"/>
    <w:rsid w:val="7B3C52F1"/>
    <w:rsid w:val="7B9D0472"/>
    <w:rsid w:val="7BA046F3"/>
    <w:rsid w:val="7BC37346"/>
    <w:rsid w:val="7BDF9FD9"/>
    <w:rsid w:val="7BDFD3A3"/>
    <w:rsid w:val="7BE71A21"/>
    <w:rsid w:val="7BF87E00"/>
    <w:rsid w:val="7C064DA7"/>
    <w:rsid w:val="7C0A2379"/>
    <w:rsid w:val="7C551636"/>
    <w:rsid w:val="7C5F3CF1"/>
    <w:rsid w:val="7C697AB1"/>
    <w:rsid w:val="7CB460B3"/>
    <w:rsid w:val="7CD445C4"/>
    <w:rsid w:val="7CED17F8"/>
    <w:rsid w:val="7CF17B62"/>
    <w:rsid w:val="7D274421"/>
    <w:rsid w:val="7D3D452B"/>
    <w:rsid w:val="7D74F307"/>
    <w:rsid w:val="7D957EE1"/>
    <w:rsid w:val="7DFC4CA2"/>
    <w:rsid w:val="7E137B54"/>
    <w:rsid w:val="7E4E0E62"/>
    <w:rsid w:val="7E503B32"/>
    <w:rsid w:val="7E6B7B24"/>
    <w:rsid w:val="7E757D8F"/>
    <w:rsid w:val="7E782A8A"/>
    <w:rsid w:val="7EFFFA7B"/>
    <w:rsid w:val="7F7E16B3"/>
    <w:rsid w:val="7FC14E2C"/>
    <w:rsid w:val="7FF9E07E"/>
    <w:rsid w:val="7FFB8B28"/>
    <w:rsid w:val="7FFFCBD1"/>
    <w:rsid w:val="97EE3509"/>
    <w:rsid w:val="9F6F6015"/>
    <w:rsid w:val="BEFE81B6"/>
    <w:rsid w:val="C7DB93C8"/>
    <w:rsid w:val="DD7E7DC7"/>
    <w:rsid w:val="DEF5E07B"/>
    <w:rsid w:val="EBEFC481"/>
    <w:rsid w:val="EFEEB9E2"/>
    <w:rsid w:val="F55FDB79"/>
    <w:rsid w:val="F5DBA8FA"/>
    <w:rsid w:val="FDEF8289"/>
    <w:rsid w:val="FDF54A2A"/>
    <w:rsid w:val="FFB96ABB"/>
    <w:rsid w:val="FFF73784"/>
    <w:rsid w:val="FFFFF9C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ody Text"/>
    <w:basedOn w:val="1"/>
    <w:qFormat/>
    <w:uiPriority w:val="1"/>
    <w:rPr>
      <w:rFonts w:ascii="仿宋_GB2312" w:hAnsi="仿宋_GB2312" w:eastAsia="仿宋_GB2312" w:cs="仿宋_GB2312"/>
      <w:sz w:val="32"/>
      <w:szCs w:val="32"/>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paragraph" w:styleId="7">
    <w:name w:val="annotation subject"/>
    <w:basedOn w:val="2"/>
    <w:next w:val="2"/>
    <w:link w:val="17"/>
    <w:qFormat/>
    <w:uiPriority w:val="0"/>
    <w:rPr>
      <w:b/>
      <w:bCs/>
    </w:rPr>
  </w:style>
  <w:style w:type="character" w:styleId="10">
    <w:name w:val="Hyperlink"/>
    <w:basedOn w:val="9"/>
    <w:qFormat/>
    <w:uiPriority w:val="0"/>
    <w:rPr>
      <w:color w:val="0000FF"/>
      <w:u w:val="single"/>
    </w:rPr>
  </w:style>
  <w:style w:type="character" w:styleId="11">
    <w:name w:val="annotation reference"/>
    <w:basedOn w:val="9"/>
    <w:qFormat/>
    <w:uiPriority w:val="0"/>
    <w:rPr>
      <w:sz w:val="21"/>
      <w:szCs w:val="21"/>
    </w:rPr>
  </w:style>
  <w:style w:type="character" w:customStyle="1" w:styleId="12">
    <w:name w:val="页眉 字符"/>
    <w:basedOn w:val="9"/>
    <w:link w:val="5"/>
    <w:qFormat/>
    <w:uiPriority w:val="0"/>
    <w:rPr>
      <w:kern w:val="2"/>
      <w:sz w:val="18"/>
      <w:szCs w:val="18"/>
    </w:rPr>
  </w:style>
  <w:style w:type="character" w:customStyle="1" w:styleId="13">
    <w:name w:val="页脚 字符"/>
    <w:basedOn w:val="9"/>
    <w:link w:val="4"/>
    <w:qFormat/>
    <w:uiPriority w:val="0"/>
    <w:rPr>
      <w:kern w:val="2"/>
      <w:sz w:val="18"/>
      <w:szCs w:val="18"/>
    </w:rPr>
  </w:style>
  <w:style w:type="paragraph" w:customStyle="1" w:styleId="14">
    <w:name w:val="修订1"/>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15">
    <w:name w:val="修订2"/>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16">
    <w:name w:val="批注文字 字符"/>
    <w:basedOn w:val="9"/>
    <w:link w:val="2"/>
    <w:qFormat/>
    <w:uiPriority w:val="0"/>
    <w:rPr>
      <w:kern w:val="2"/>
      <w:sz w:val="21"/>
      <w:szCs w:val="24"/>
    </w:rPr>
  </w:style>
  <w:style w:type="character" w:customStyle="1" w:styleId="17">
    <w:name w:val="批注主题 字符"/>
    <w:basedOn w:val="16"/>
    <w:link w:val="7"/>
    <w:qFormat/>
    <w:uiPriority w:val="0"/>
    <w:rPr>
      <w:b/>
      <w:bCs/>
      <w:kern w:val="2"/>
      <w:sz w:val="21"/>
      <w:szCs w:val="24"/>
    </w:rPr>
  </w:style>
  <w:style w:type="paragraph" w:customStyle="1" w:styleId="18">
    <w:name w:val="Revision"/>
    <w:hidden/>
    <w:unhideWhenUsed/>
    <w:qFormat/>
    <w:uiPriority w:val="99"/>
    <w:pPr>
      <w:spacing w:after="0" w:line="240" w:lineRule="auto"/>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1709</Words>
  <Characters>1876</Characters>
  <Lines>13</Lines>
  <Paragraphs>3</Paragraphs>
  <TotalTime>3</TotalTime>
  <ScaleCrop>false</ScaleCrop>
  <LinksUpToDate>false</LinksUpToDate>
  <CharactersWithSpaces>1876</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2019-08-18T14:54:00Z</dcterms:created>
  <dc:creator>zkk</dc:creator>
  <cp:lastModifiedBy>BDA</cp:lastModifiedBy>
  <cp:lastPrinted>2020-03-28T11:03:00Z</cp:lastPrinted>
  <dcterms:modified xsi:type="dcterms:W3CDTF">2025-03-03T17:48:26Z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D0C6CB4D3DD449CF9F01DB31742842FE</vt:lpwstr>
  </property>
  <property fmtid="{D5CDD505-2E9C-101B-9397-08002B2CF9AE}" pid="4" name="KSOTemplateDocerSaveRecord">
    <vt:lpwstr>eyJoZGlkIjoiZmRiZjNjZDEzYWJlODQ5ZTcyZjk0MDY2YTgyNTRlMzAiLCJ1c2VySWQiOiIyNTczMzg5MjQifQ==</vt:lpwstr>
  </property>
</Properties>
</file>