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7" w:afterLines="50" w:line="558" w:lineRule="exact"/>
        <w:jc w:val="left"/>
        <w:outlineLvl w:val="0"/>
        <w:rPr>
          <w:rFonts w:hint="eastAsia" w:ascii="方正小标宋简体" w:hAnsi="方正小标宋简体" w:eastAsia="方正小标宋简体" w:cs="方正小标宋简体"/>
          <w:sz w:val="44"/>
          <w:szCs w:val="44"/>
        </w:rPr>
      </w:pPr>
      <w:r>
        <w:rPr>
          <w:rFonts w:hint="eastAsia" w:ascii="黑体" w:hAnsi="黑体" w:eastAsia="黑体" w:cs="黑体"/>
          <w:color w:val="333333"/>
          <w:spacing w:val="15"/>
          <w:kern w:val="0"/>
          <w:sz w:val="32"/>
          <w:szCs w:val="32"/>
          <w:shd w:val="clear" w:color="auto" w:fill="FFFFFF"/>
        </w:rPr>
        <w:t>附件3</w:t>
      </w:r>
    </w:p>
    <w:p>
      <w:pPr>
        <w:spacing w:after="157" w:afterLines="50" w:line="558"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2025年各类金融机构提升业务增速奖励</w:t>
      </w:r>
    </w:p>
    <w:p>
      <w:pPr>
        <w:spacing w:after="0" w:line="558"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办事指南</w:t>
      </w:r>
    </w:p>
    <w:p>
      <w:pPr>
        <w:spacing w:after="0" w:line="558" w:lineRule="exact"/>
        <w:rPr>
          <w:rFonts w:hint="eastAsia" w:ascii="仿宋_GB2312" w:hAnsi="仿宋_GB2312" w:eastAsia="仿宋_GB2312" w:cs="仿宋_GB2312"/>
          <w:sz w:val="32"/>
          <w:szCs w:val="32"/>
        </w:rPr>
      </w:pPr>
      <w:bookmarkStart w:id="1" w:name="_GoBack"/>
      <w:bookmarkEnd w:id="1"/>
    </w:p>
    <w:p>
      <w:pPr>
        <w:spacing w:after="0" w:line="558" w:lineRule="exact"/>
        <w:ind w:firstLine="640" w:firstLineChars="200"/>
        <w:outlineLvl w:val="0"/>
        <w:rPr>
          <w:rFonts w:hint="eastAsia" w:ascii="黑体" w:hAnsi="黑体" w:eastAsia="黑体" w:cs="黑体"/>
          <w:color w:val="000000"/>
          <w:kern w:val="0"/>
          <w:sz w:val="32"/>
          <w:szCs w:val="32"/>
        </w:rPr>
      </w:pPr>
      <w:r>
        <w:rPr>
          <w:rFonts w:hint="eastAsia" w:ascii="黑体" w:hAnsi="黑体" w:eastAsia="黑体" w:cs="黑体"/>
          <w:sz w:val="32"/>
          <w:szCs w:val="32"/>
        </w:rPr>
        <w:t>一、政策依据</w:t>
      </w:r>
    </w:p>
    <w:p>
      <w:pPr>
        <w:spacing w:after="0" w:line="558" w:lineRule="exact"/>
        <w:ind w:firstLine="640"/>
      </w:pPr>
      <w:r>
        <w:rPr>
          <w:rFonts w:hint="eastAsia" w:ascii="仿宋_GB2312" w:hAnsi="仿宋_GB2312" w:eastAsia="仿宋_GB2312" w:cs="仿宋_GB2312"/>
          <w:bCs/>
          <w:color w:val="000000"/>
          <w:kern w:val="0"/>
          <w:sz w:val="32"/>
          <w:szCs w:val="32"/>
        </w:rPr>
        <w:t>《北京经济技术开发区关于加快推动产业金融高质量发展的若干措施》（京技管发〔2024〕33号）中第十四条“</w:t>
      </w:r>
      <w:r>
        <w:rPr>
          <w:rFonts w:hint="eastAsia" w:ascii="仿宋_GB2312" w:hAnsi="仿宋_GB2312" w:eastAsia="仿宋_GB2312" w:cs="仿宋_GB2312"/>
          <w:sz w:val="32"/>
          <w:szCs w:val="32"/>
          <w:lang w:val="zh-TW" w:eastAsia="zh-TW"/>
        </w:rPr>
        <w:t>鼓励各类金融机构精准对接产业需求，创新金融产品和服务模式。畅通金融机构展业渠道，鼓励各类金融机构探索创新业务发展路径。对符合本措施奖励对象的所有金融类机构（统计代码66、67、68、69开头），全年营业收入5000万元以下、增速18%（含）以上，按年度营业收入增量部分的2%给予支持；全年营业收入达5000万元（含）以上、增速15%（含）以上，按年度营业收入增量部分的2%给予支持；单家机构每年最高支持金额200万元。同一系统内的机构，在经开区存在上下级关系，只给予上级机构业务增速奖励。本条内容与第三条、第十三条按“就高不重复”原则执行。</w:t>
      </w:r>
      <w:r>
        <w:rPr>
          <w:rFonts w:hint="eastAsia" w:ascii="仿宋_GB2312" w:hAnsi="仿宋_GB2312" w:eastAsia="仿宋_GB2312" w:cs="仿宋_GB2312"/>
          <w:bCs/>
          <w:color w:val="000000"/>
          <w:kern w:val="0"/>
          <w:sz w:val="32"/>
          <w:szCs w:val="32"/>
        </w:rPr>
        <w:t>”</w:t>
      </w:r>
    </w:p>
    <w:p>
      <w:pPr>
        <w:spacing w:after="0" w:line="558"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二、申报事项</w:t>
      </w:r>
    </w:p>
    <w:p>
      <w:pPr>
        <w:spacing w:after="0" w:line="558" w:lineRule="exact"/>
        <w:ind w:firstLine="640" w:firstLineChars="200"/>
        <w:rPr>
          <w:rFonts w:eastAsia="仿宋_GB2312" w:cs="仿宋_GB2312"/>
          <w:sz w:val="32"/>
          <w:szCs w:val="32"/>
        </w:rPr>
      </w:pPr>
      <w:r>
        <w:rPr>
          <w:rFonts w:hint="eastAsia" w:ascii="仿宋_GB2312" w:hAnsi="仿宋_GB2312" w:eastAsia="仿宋_GB2312" w:cs="仿宋_GB2312"/>
          <w:sz w:val="32"/>
          <w:szCs w:val="32"/>
          <w:lang w:val="zh-TW" w:eastAsia="zh-TW"/>
        </w:rPr>
        <w:t>2025年各类</w:t>
      </w:r>
      <w:r>
        <w:rPr>
          <w:rFonts w:hint="eastAsia" w:eastAsia="仿宋_GB2312" w:cs="仿宋_GB2312"/>
          <w:sz w:val="32"/>
          <w:szCs w:val="32"/>
        </w:rPr>
        <w:t>金融机构提升业务增速奖励</w:t>
      </w:r>
    </w:p>
    <w:p>
      <w:pPr>
        <w:spacing w:after="0" w:line="558" w:lineRule="exact"/>
        <w:ind w:firstLine="640" w:firstLineChars="200"/>
        <w:outlineLvl w:val="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pPr>
        <w:spacing w:after="0" w:line="558"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申请企业须同时符合以下条件：</w:t>
      </w:r>
    </w:p>
    <w:p>
      <w:pPr>
        <w:spacing w:after="0" w:line="558"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（一）申报主体在亦庄新城225平方公里范围内注册并实际经营。</w:t>
      </w:r>
    </w:p>
    <w:p>
      <w:pPr>
        <w:spacing w:after="0" w:line="55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（二）申报主体</w:t>
      </w:r>
      <w:r>
        <w:rPr>
          <w:rFonts w:ascii="仿宋_GB2312" w:hAnsi="仿宋_GB2312" w:eastAsia="仿宋_GB2312" w:cs="仿宋_GB2312"/>
          <w:sz w:val="32"/>
          <w:szCs w:val="32"/>
        </w:rPr>
        <w:t>近三年</w:t>
      </w:r>
      <w:r>
        <w:rPr>
          <w:rFonts w:hint="eastAsia" w:ascii="仿宋_GB2312" w:hAnsi="仿宋_GB2312" w:eastAsia="仿宋_GB2312" w:cs="仿宋_GB2312"/>
          <w:sz w:val="32"/>
          <w:szCs w:val="32"/>
        </w:rPr>
        <w:t>无重大行政处罚记录和刑事犯罪记录，未列入严重违法失信主体名单的法人和其他组织。</w:t>
      </w:r>
    </w:p>
    <w:p>
      <w:pPr>
        <w:spacing w:after="0" w:line="55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pacing w:val="6"/>
          <w:sz w:val="32"/>
          <w:szCs w:val="32"/>
        </w:rPr>
        <w:t>申报主体需是经国务院及国家金融监管部门和北京市地方金融监督管理局批准设立，并颁发经营许可证，具有独立法人资格的</w:t>
      </w:r>
      <w:r>
        <w:rPr>
          <w:rFonts w:hint="eastAsia" w:ascii="仿宋_GB2312" w:hAnsi="仿宋_GB2312" w:eastAsia="仿宋_GB2312" w:cs="仿宋_GB2312"/>
          <w:sz w:val="32"/>
          <w:szCs w:val="32"/>
        </w:rPr>
        <w:t>统计代码66开头的金融机构（指提供货币银行服务的商业银行、政策性银行，以及提供非货币银行服务的融资租赁、财务公司、汽车金融公司、小额贷款公司、消费金融公司等）、统计代码67开头的金融机构（指提供证券市场服务、公开募集证券投资基金、非公开募集证券投资基金和期货市场服务等的证券公司、证券资产管理公司、基金管理公司、期货公司等）、统计代码68开头的金融机构（指提供人身保险、财产保险、再保险、保险中介服务、保险资产管理等的保险公司、保险资产管理公司、相互保险组织等保险业机构）、统计代码69开头的金融机构（指提供金融信托与管理服务、控股公司服务、非金融机构支付服务、金融信息服务、金融资产管理及其他未列明金融服务等的信托公司、第三方支付机构、征信机构、金融资产管理公司、货币经纪公司等）。</w:t>
      </w:r>
    </w:p>
    <w:p>
      <w:pPr>
        <w:spacing w:after="0" w:line="55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TW"/>
        </w:rPr>
        <w:t>（四）申报主体</w:t>
      </w:r>
      <w:r>
        <w:rPr>
          <w:rFonts w:hint="eastAsia" w:ascii="仿宋_GB2312" w:hAnsi="仿宋_GB2312" w:eastAsia="仿宋_GB2312" w:cs="仿宋_GB2312"/>
          <w:sz w:val="32"/>
          <w:szCs w:val="32"/>
          <w:lang w:val="zh-TW" w:eastAsia="zh-TW"/>
        </w:rPr>
        <w:t>全年营业收入</w:t>
      </w:r>
      <w:r>
        <w:rPr>
          <w:rFonts w:hint="eastAsia" w:ascii="仿宋_GB2312" w:hAnsi="仿宋_GB2312" w:eastAsia="仿宋_GB2312" w:cs="仿宋_GB2312"/>
          <w:sz w:val="32"/>
          <w:szCs w:val="32"/>
        </w:rPr>
        <w:t>5000</w:t>
      </w:r>
      <w:r>
        <w:rPr>
          <w:rFonts w:hint="eastAsia" w:ascii="仿宋_GB2312" w:hAnsi="仿宋_GB2312" w:eastAsia="仿宋_GB2312" w:cs="仿宋_GB2312"/>
          <w:sz w:val="32"/>
          <w:szCs w:val="32"/>
          <w:lang w:val="zh-TW" w:eastAsia="zh-TW"/>
        </w:rPr>
        <w:t>万元以下、增速</w:t>
      </w: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lang w:val="zh-TW" w:eastAsia="zh-TW"/>
        </w:rPr>
        <w:t>（含）以上</w:t>
      </w:r>
      <w:r>
        <w:rPr>
          <w:rFonts w:hint="eastAsia" w:ascii="仿宋_GB2312" w:hAnsi="仿宋_GB2312" w:eastAsia="仿宋_GB2312" w:cs="仿宋_GB2312"/>
          <w:sz w:val="32"/>
          <w:szCs w:val="32"/>
          <w:lang w:val="zh-TW"/>
        </w:rPr>
        <w:t>；或</w:t>
      </w:r>
      <w:r>
        <w:rPr>
          <w:rFonts w:hint="eastAsia" w:ascii="仿宋_GB2312" w:hAnsi="仿宋_GB2312" w:eastAsia="仿宋_GB2312" w:cs="仿宋_GB2312"/>
          <w:sz w:val="32"/>
          <w:szCs w:val="32"/>
          <w:lang w:val="zh-TW" w:eastAsia="zh-TW"/>
        </w:rPr>
        <w:t>全年营业收入达</w:t>
      </w:r>
      <w:r>
        <w:rPr>
          <w:rFonts w:hint="eastAsia" w:ascii="仿宋_GB2312" w:hAnsi="仿宋_GB2312" w:eastAsia="仿宋_GB2312" w:cs="仿宋_GB2312"/>
          <w:sz w:val="32"/>
          <w:szCs w:val="32"/>
        </w:rPr>
        <w:t>5000</w:t>
      </w:r>
      <w:r>
        <w:rPr>
          <w:rFonts w:hint="eastAsia" w:ascii="仿宋_GB2312" w:hAnsi="仿宋_GB2312" w:eastAsia="仿宋_GB2312" w:cs="仿宋_GB2312"/>
          <w:sz w:val="32"/>
          <w:szCs w:val="32"/>
          <w:lang w:val="zh-TW" w:eastAsia="zh-TW"/>
        </w:rPr>
        <w:t>万元（含）以上、增速</w:t>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lang w:val="zh-TW" w:eastAsia="zh-TW"/>
        </w:rPr>
        <w:t>（含）以上</w:t>
      </w:r>
      <w:r>
        <w:rPr>
          <w:rFonts w:hint="eastAsia" w:ascii="仿宋_GB2312" w:hAnsi="仿宋_GB2312" w:eastAsia="仿宋_GB2312" w:cs="仿宋_GB2312"/>
          <w:sz w:val="32"/>
          <w:szCs w:val="32"/>
          <w:lang w:val="zh-TW"/>
        </w:rPr>
        <w:t>的</w:t>
      </w:r>
      <w:r>
        <w:rPr>
          <w:rFonts w:hint="eastAsia" w:ascii="仿宋_GB2312" w:hAnsi="仿宋_GB2312" w:eastAsia="仿宋_GB2312" w:cs="仿宋_GB2312"/>
          <w:sz w:val="32"/>
          <w:szCs w:val="32"/>
          <w:lang w:val="zh-TW" w:eastAsia="zh-TW"/>
        </w:rPr>
        <w:t>。</w:t>
      </w:r>
    </w:p>
    <w:p>
      <w:pPr>
        <w:spacing w:after="0" w:line="558" w:lineRule="exact"/>
        <w:ind w:firstLine="640" w:firstLineChars="200"/>
        <w:outlineLvl w:val="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pPr>
        <w:spacing w:after="0" w:line="55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zh-TW" w:eastAsia="zh-TW"/>
        </w:rPr>
        <w:t>对符合本措施奖励对象的所有金融类机构，全年营业收入</w:t>
      </w:r>
      <w:r>
        <w:rPr>
          <w:rFonts w:hint="eastAsia" w:ascii="仿宋_GB2312" w:hAnsi="仿宋_GB2312" w:eastAsia="仿宋_GB2312" w:cs="仿宋_GB2312"/>
          <w:sz w:val="32"/>
          <w:szCs w:val="32"/>
        </w:rPr>
        <w:t>5000</w:t>
      </w:r>
      <w:r>
        <w:rPr>
          <w:rFonts w:hint="eastAsia" w:ascii="仿宋_GB2312" w:hAnsi="仿宋_GB2312" w:eastAsia="仿宋_GB2312" w:cs="仿宋_GB2312"/>
          <w:sz w:val="32"/>
          <w:szCs w:val="32"/>
          <w:lang w:val="zh-TW" w:eastAsia="zh-TW"/>
        </w:rPr>
        <w:t>万元以下、增速</w:t>
      </w: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lang w:val="zh-TW" w:eastAsia="zh-TW"/>
        </w:rPr>
        <w:t>（含）以上，按年度营业收入增量部分的</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TW" w:eastAsia="zh-TW"/>
        </w:rPr>
        <w:t>给予支持。</w:t>
      </w:r>
    </w:p>
    <w:p>
      <w:pPr>
        <w:spacing w:after="0" w:line="55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zh-TW" w:eastAsia="zh-TW"/>
        </w:rPr>
        <w:t>对符合本措施奖励对象的所有金融类机构</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lang w:val="zh-TW" w:eastAsia="zh-TW"/>
        </w:rPr>
        <w:t>全年营业收入达</w:t>
      </w:r>
      <w:r>
        <w:rPr>
          <w:rFonts w:hint="eastAsia" w:ascii="仿宋_GB2312" w:hAnsi="仿宋_GB2312" w:eastAsia="仿宋_GB2312" w:cs="仿宋_GB2312"/>
          <w:sz w:val="32"/>
          <w:szCs w:val="32"/>
        </w:rPr>
        <w:t>5000</w:t>
      </w:r>
      <w:r>
        <w:rPr>
          <w:rFonts w:hint="eastAsia" w:ascii="仿宋_GB2312" w:hAnsi="仿宋_GB2312" w:eastAsia="仿宋_GB2312" w:cs="仿宋_GB2312"/>
          <w:sz w:val="32"/>
          <w:szCs w:val="32"/>
          <w:lang w:val="zh-TW" w:eastAsia="zh-TW"/>
        </w:rPr>
        <w:t>万元（含）以上、增速</w:t>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lang w:val="zh-TW" w:eastAsia="zh-TW"/>
        </w:rPr>
        <w:t>（含）以上，按年度营业收入增量部分的</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TW" w:eastAsia="zh-TW"/>
        </w:rPr>
        <w:t>给予支持；单家机构每年最高支持金额</w:t>
      </w:r>
      <w:r>
        <w:rPr>
          <w:rFonts w:hint="eastAsia" w:ascii="仿宋_GB2312" w:hAnsi="仿宋_GB2312" w:eastAsia="仿宋_GB2312" w:cs="仿宋_GB2312"/>
          <w:sz w:val="32"/>
          <w:szCs w:val="32"/>
        </w:rPr>
        <w:t>200</w:t>
      </w:r>
      <w:r>
        <w:rPr>
          <w:rFonts w:hint="eastAsia" w:ascii="仿宋_GB2312" w:hAnsi="仿宋_GB2312" w:eastAsia="仿宋_GB2312" w:cs="仿宋_GB2312"/>
          <w:sz w:val="32"/>
          <w:szCs w:val="32"/>
          <w:lang w:val="zh-TW" w:eastAsia="zh-TW"/>
        </w:rPr>
        <w:t>万元</w:t>
      </w:r>
      <w:r>
        <w:rPr>
          <w:rFonts w:hint="eastAsia" w:ascii="仿宋_GB2312" w:hAnsi="仿宋_GB2312" w:eastAsia="仿宋_GB2312" w:cs="仿宋_GB2312"/>
          <w:sz w:val="32"/>
          <w:szCs w:val="32"/>
        </w:rPr>
        <w:t>。</w:t>
      </w:r>
    </w:p>
    <w:p>
      <w:pPr>
        <w:spacing w:after="0" w:line="55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zh-TW" w:eastAsia="zh-TW"/>
        </w:rPr>
        <w:t>单家机构每年最高支持金额</w:t>
      </w:r>
      <w:r>
        <w:rPr>
          <w:rFonts w:hint="eastAsia" w:ascii="仿宋_GB2312" w:hAnsi="仿宋_GB2312" w:eastAsia="仿宋_GB2312" w:cs="仿宋_GB2312"/>
          <w:sz w:val="32"/>
          <w:szCs w:val="32"/>
        </w:rPr>
        <w:t>200</w:t>
      </w:r>
      <w:r>
        <w:rPr>
          <w:rFonts w:hint="eastAsia" w:ascii="仿宋_GB2312" w:hAnsi="仿宋_GB2312" w:eastAsia="仿宋_GB2312" w:cs="仿宋_GB2312"/>
          <w:sz w:val="32"/>
          <w:szCs w:val="32"/>
          <w:lang w:val="zh-TW" w:eastAsia="zh-TW"/>
        </w:rPr>
        <w:t>万元。</w:t>
      </w:r>
    </w:p>
    <w:p>
      <w:pPr>
        <w:spacing w:after="0" w:line="558" w:lineRule="exact"/>
        <w:ind w:firstLine="640" w:firstLineChars="200"/>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zh-TW" w:eastAsia="zh-TW"/>
        </w:rPr>
        <w:t>同一系统内的机构，在经开区存在上下级关系，只给予上级机构业务增速奖励。</w:t>
      </w:r>
    </w:p>
    <w:p>
      <w:pPr>
        <w:spacing w:after="0" w:line="558"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TW"/>
        </w:rPr>
        <w:t>（五）</w:t>
      </w:r>
      <w:r>
        <w:rPr>
          <w:rFonts w:hint="eastAsia" w:ascii="仿宋_GB2312" w:hAnsi="仿宋_GB2312" w:eastAsia="仿宋_GB2312" w:cs="仿宋_GB2312"/>
          <w:sz w:val="32"/>
          <w:szCs w:val="32"/>
        </w:rPr>
        <w:t>补贴金额以万元为单位，保留两位小数，不足百元部分舍去。</w:t>
      </w:r>
    </w:p>
    <w:p>
      <w:pPr>
        <w:spacing w:after="0" w:line="558" w:lineRule="exact"/>
        <w:ind w:firstLine="640"/>
        <w:rPr>
          <w:rFonts w:hint="eastAsia" w:ascii="仿宋_GB2312" w:hAnsi="仿宋_GB2312" w:eastAsia="仿宋_GB2312" w:cs="仿宋_GB2312"/>
          <w:sz w:val="32"/>
          <w:szCs w:val="32"/>
          <w:lang w:val="zh-TW"/>
        </w:rPr>
      </w:pPr>
      <w:r>
        <w:rPr>
          <w:rFonts w:hint="eastAsia" w:ascii="仿宋_GB2312" w:hAnsi="仿宋_GB2312" w:eastAsia="仿宋_GB2312" w:cs="仿宋_GB2312"/>
          <w:sz w:val="32"/>
          <w:szCs w:val="32"/>
        </w:rPr>
        <w:t>（六）申报主体</w:t>
      </w:r>
      <w:r>
        <w:rPr>
          <w:rFonts w:hint="eastAsia" w:ascii="仿宋_GB2312" w:hAnsi="仿宋_GB2312" w:eastAsia="仿宋_GB2312" w:cs="仿宋_GB2312"/>
          <w:kern w:val="0"/>
          <w:sz w:val="32"/>
          <w:szCs w:val="32"/>
          <w:lang w:val="zh-TW" w:eastAsia="zh-TW"/>
        </w:rPr>
        <w:t>同时符合</w:t>
      </w:r>
      <w:r>
        <w:rPr>
          <w:rFonts w:hint="eastAsia" w:ascii="仿宋_GB2312" w:hAnsi="仿宋_GB2312" w:eastAsia="仿宋_GB2312" w:cs="仿宋_GB2312"/>
          <w:sz w:val="32"/>
          <w:szCs w:val="32"/>
          <w:lang w:val="zh-TW" w:eastAsia="zh-TW"/>
        </w:rPr>
        <w:t>本条</w:t>
      </w:r>
      <w:r>
        <w:rPr>
          <w:rFonts w:hint="eastAsia" w:ascii="仿宋_GB2312" w:hAnsi="仿宋_GB2312" w:eastAsia="仿宋_GB2312" w:cs="仿宋_GB2312"/>
          <w:sz w:val="32"/>
          <w:szCs w:val="32"/>
          <w:lang w:val="zh-TW"/>
        </w:rPr>
        <w:t>申报奖励</w:t>
      </w:r>
      <w:r>
        <w:rPr>
          <w:rFonts w:hint="eastAsia" w:ascii="仿宋_GB2312" w:hAnsi="仿宋_GB2312" w:eastAsia="仿宋_GB2312" w:cs="仿宋_GB2312"/>
          <w:sz w:val="32"/>
          <w:szCs w:val="32"/>
          <w:lang w:val="zh-TW" w:eastAsia="zh-TW"/>
        </w:rPr>
        <w:t>与</w:t>
      </w:r>
      <w:r>
        <w:rPr>
          <w:rFonts w:hint="eastAsia" w:ascii="仿宋_GB2312" w:hAnsi="仿宋_GB2312" w:eastAsia="仿宋_GB2312" w:cs="仿宋_GB2312"/>
          <w:bCs/>
          <w:color w:val="000000"/>
          <w:kern w:val="0"/>
          <w:sz w:val="32"/>
          <w:szCs w:val="32"/>
        </w:rPr>
        <w:t>《北京经济技术开发区关于加快推动产业金融高质量发展的若干措施》（京技管发〔2024〕33号）中第三条“发展供应链金融奖励”、</w:t>
      </w:r>
      <w:r>
        <w:rPr>
          <w:rFonts w:hint="eastAsia" w:ascii="仿宋_GB2312" w:hAnsi="仿宋_GB2312" w:eastAsia="仿宋_GB2312" w:cs="仿宋_GB2312"/>
          <w:sz w:val="32"/>
          <w:szCs w:val="32"/>
          <w:lang w:val="zh-TW" w:eastAsia="zh-TW"/>
        </w:rPr>
        <w:t>第十三条</w:t>
      </w:r>
      <w:r>
        <w:rPr>
          <w:rFonts w:hint="eastAsia" w:ascii="仿宋_GB2312" w:hAnsi="仿宋_GB2312" w:eastAsia="仿宋_GB2312" w:cs="仿宋_GB2312"/>
          <w:sz w:val="32"/>
          <w:szCs w:val="32"/>
          <w:lang w:val="zh-TW"/>
        </w:rPr>
        <w:t>“持牌法人金融机构扩大业务规模奖励”的，</w:t>
      </w:r>
      <w:r>
        <w:rPr>
          <w:rFonts w:hint="eastAsia" w:ascii="仿宋_GB2312" w:hAnsi="仿宋_GB2312" w:eastAsia="仿宋_GB2312" w:cs="仿宋_GB2312"/>
          <w:kern w:val="0"/>
          <w:sz w:val="32"/>
          <w:szCs w:val="32"/>
          <w:lang w:val="zh-TW" w:eastAsia="zh-TW"/>
        </w:rPr>
        <w:t>按照</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zh-TW" w:eastAsia="zh-TW"/>
        </w:rPr>
        <w:t>就高不重复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zh-TW" w:eastAsia="zh-TW"/>
        </w:rPr>
        <w:t>原则予以支持</w:t>
      </w:r>
      <w:r>
        <w:rPr>
          <w:rFonts w:hint="eastAsia" w:ascii="仿宋_GB2312" w:hAnsi="仿宋_GB2312" w:eastAsia="仿宋_GB2312" w:cs="仿宋_GB2312"/>
          <w:kern w:val="0"/>
          <w:sz w:val="32"/>
          <w:szCs w:val="32"/>
          <w:lang w:val="zh-TW"/>
        </w:rPr>
        <w:t>。</w:t>
      </w:r>
    </w:p>
    <w:p>
      <w:pPr>
        <w:spacing w:after="0" w:line="558"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五、申报材料及要求</w:t>
      </w:r>
    </w:p>
    <w:p>
      <w:pPr>
        <w:spacing w:after="0" w:line="558" w:lineRule="exact"/>
        <w:ind w:firstLine="664" w:firstLineChars="200"/>
        <w:outlineLvl w:val="1"/>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（一）申报材料</w:t>
      </w:r>
    </w:p>
    <w:p>
      <w:pPr>
        <w:spacing w:after="0" w:line="558" w:lineRule="exact"/>
        <w:ind w:firstLine="640" w:firstLineChars="200"/>
        <w:outlineLvl w:val="2"/>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1.2025年各类金融机构提升业务增速奖励申报表，在线填写</w:t>
      </w:r>
      <w:r>
        <w:rPr>
          <w:rFonts w:hint="eastAsia" w:ascii="仿宋_GB2312" w:hAnsi="仿宋_GB2312" w:eastAsia="仿宋_GB2312" w:cs="仿宋_GB2312"/>
          <w:spacing w:val="6"/>
          <w:sz w:val="32"/>
          <w:szCs w:val="32"/>
        </w:rPr>
        <w:t>；</w:t>
      </w:r>
    </w:p>
    <w:p>
      <w:pPr>
        <w:spacing w:after="0" w:line="558"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2.企业营业执照，选取电子证照；</w:t>
      </w:r>
    </w:p>
    <w:p>
      <w:pPr>
        <w:spacing w:after="0" w:line="558"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3.承诺书，下载模板填写，</w:t>
      </w:r>
      <w:r>
        <w:rPr>
          <w:rFonts w:hint="eastAsia" w:ascii="仿宋_GB2312" w:hAnsi="仿宋_GB2312" w:eastAsia="仿宋_GB2312" w:cs="仿宋_GB2312"/>
          <w:spacing w:val="6"/>
          <w:sz w:val="32"/>
          <w:szCs w:val="32"/>
        </w:rPr>
        <w:t>签字</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spacing w:after="0" w:line="558"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4.银行账户信息，下载模板填写，加盖公章，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spacing w:after="0" w:line="558"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5.国家金融监管部门或北京市地方金融监督管理局颁发的金融许可证，原件彩色扫描上传；</w:t>
      </w:r>
    </w:p>
    <w:p>
      <w:pPr>
        <w:spacing w:after="0" w:line="558" w:lineRule="exact"/>
        <w:ind w:firstLine="640" w:firstLineChars="200"/>
        <w:outlineLvl w:val="2"/>
        <w:rPr>
          <w:rFonts w:hint="eastAsia" w:ascii="仿宋_GB2312" w:hAnsi="仿宋_GB2312" w:eastAsia="仿宋_GB2312" w:cs="仿宋_GB2312"/>
          <w:sz w:val="32"/>
          <w:szCs w:val="32"/>
        </w:rPr>
      </w:pPr>
      <w:bookmarkStart w:id="0" w:name="_Hlk191025579"/>
      <w:r>
        <w:rPr>
          <w:rFonts w:hint="eastAsia" w:ascii="仿宋_GB2312" w:hAnsi="仿宋_GB2312" w:eastAsia="仿宋_GB2312" w:cs="仿宋_GB2312"/>
          <w:sz w:val="32"/>
          <w:szCs w:val="32"/>
        </w:rPr>
        <w:t>6.2023年、2024年企业年度财务报告（原则上提供经审计的报告），原件彩色扫描上传。</w:t>
      </w:r>
    </w:p>
    <w:bookmarkEnd w:id="0"/>
    <w:p>
      <w:pPr>
        <w:spacing w:after="0" w:line="558"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（二）打印纸质材料要求</w:t>
      </w:r>
    </w:p>
    <w:p>
      <w:pPr>
        <w:spacing w:after="0" w:line="55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收到打印纸质材料短信通知后，在3个工作日内从平台下载带水印全套申报材料进行打印，一式一份有序装订（整本首页、骑缝盖章），其中银行账户信息无需装订，加盖公章，一并递交至受理窗口。</w:t>
      </w:r>
    </w:p>
    <w:p>
      <w:pPr>
        <w:spacing w:after="0" w:line="558"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六、办理程序</w:t>
      </w:r>
    </w:p>
    <w:p>
      <w:pPr>
        <w:pStyle w:val="6"/>
        <w:widowControl/>
        <w:numPr>
          <w:ilvl w:val="255"/>
          <w:numId w:val="0"/>
        </w:numPr>
        <w:shd w:val="clear" w:color="auto" w:fill="FFFFFF"/>
        <w:spacing w:beforeAutospacing="0" w:after="0" w:afterAutospacing="0" w:line="55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：通过经开区官网</w:t>
      </w:r>
      <w:r>
        <w:rPr>
          <w:rFonts w:hint="eastAsia" w:ascii="仿宋_GB2312" w:hAnsi="仿宋_GB2312" w:eastAsia="仿宋_GB2312" w:cs="仿宋_GB2312"/>
          <w:sz w:val="32"/>
          <w:szCs w:val="32"/>
        </w:rPr>
        <w:t>政策兑现模块</w:t>
      </w:r>
      <w:r>
        <w:rPr>
          <w:rFonts w:hint="eastAsia" w:ascii="仿宋_GB2312" w:hAnsi="仿宋_GB2312" w:eastAsia="仿宋_GB2312" w:cs="仿宋_GB2312"/>
          <w:color w:val="000000"/>
          <w:sz w:val="32"/>
          <w:szCs w:val="32"/>
        </w:rPr>
        <w:t>进入政策兑现综合服务平台，</w:t>
      </w:r>
      <w:r>
        <w:rPr>
          <w:rFonts w:hint="eastAsia" w:ascii="仿宋_GB2312" w:hAnsi="仿宋_GB2312" w:eastAsia="仿宋_GB2312" w:cs="仿宋_GB2312"/>
          <w:sz w:val="32"/>
          <w:szCs w:val="32"/>
        </w:rPr>
        <w:t>或使用360浏览器的极速模式登录网址：zcdx.kfqgw.beijing.gov.cn</w:t>
      </w:r>
      <w:r>
        <w:rPr>
          <w:rFonts w:hint="eastAsia" w:ascii="仿宋_GB2312" w:hAnsi="仿宋_GB2312" w:eastAsia="仿宋_GB2312" w:cs="仿宋_GB2312"/>
          <w:color w:val="000000"/>
          <w:sz w:val="32"/>
          <w:szCs w:val="32"/>
        </w:rPr>
        <w:t>，注册登录后进行项目申报。如未在规定时间内提交申请的，视为自动放弃。</w:t>
      </w:r>
    </w:p>
    <w:p>
      <w:pPr>
        <w:pStyle w:val="6"/>
        <w:widowControl/>
        <w:numPr>
          <w:ilvl w:val="255"/>
          <w:numId w:val="0"/>
        </w:numPr>
        <w:shd w:val="clear" w:color="auto" w:fill="FFFFFF"/>
        <w:spacing w:beforeAutospacing="0" w:after="0" w:afterAutospacing="0" w:line="558"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：经开区营商环境建设局对申报主体提交的材料进行完整性审查，材料不齐全或不符合要求的，告知申报主体补齐补正。</w:t>
      </w:r>
    </w:p>
    <w:p>
      <w:pPr>
        <w:pStyle w:val="6"/>
        <w:widowControl/>
        <w:shd w:val="clear" w:color="auto" w:fill="FFFFFF"/>
        <w:spacing w:beforeAutospacing="0" w:after="0" w:afterAutospacing="0" w:line="558"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rPr>
        <w:t>商务金融局</w:t>
      </w:r>
      <w:r>
        <w:rPr>
          <w:rFonts w:hint="eastAsia" w:ascii="仿宋_GB2312" w:hAnsi="仿宋_GB2312" w:eastAsia="仿宋_GB2312" w:cs="仿宋_GB2312"/>
          <w:color w:val="000000"/>
          <w:kern w:val="2"/>
          <w:sz w:val="32"/>
          <w:szCs w:val="32"/>
        </w:rPr>
        <w:t>对申报材料进行实质审核。</w:t>
      </w:r>
    </w:p>
    <w:p>
      <w:pPr>
        <w:pStyle w:val="6"/>
        <w:widowControl/>
        <w:shd w:val="clear" w:color="auto" w:fill="FFFFFF"/>
        <w:spacing w:beforeAutospacing="0" w:after="0" w:afterAutospacing="0" w:line="558"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w:t>
      </w:r>
      <w:r>
        <w:rPr>
          <w:rFonts w:hint="eastAsia" w:ascii="仿宋_GB2312" w:hAnsi="仿宋_GB2312" w:eastAsia="仿宋_GB2312" w:cs="仿宋_GB2312"/>
          <w:b/>
          <w:bCs/>
          <w:color w:val="000000"/>
          <w:kern w:val="2"/>
          <w:sz w:val="32"/>
          <w:szCs w:val="32"/>
        </w:rPr>
        <w:t>线下受理</w:t>
      </w:r>
      <w:r>
        <w:rPr>
          <w:rFonts w:hint="eastAsia" w:ascii="仿宋_GB2312" w:hAnsi="仿宋_GB2312" w:eastAsia="仿宋_GB2312" w:cs="仿宋_GB2312"/>
          <w:color w:val="000000"/>
          <w:kern w:val="2"/>
          <w:sz w:val="32"/>
          <w:szCs w:val="32"/>
        </w:rPr>
        <w:t>：申报主体在规定期间内从平台下载带水印的申报材料进行打印，并前往政务服务大厅“政策申报”窗口提交材料，工作人员核验，与网上提交材料一致的，予以收件；不符合的，当场告知补正要求。</w:t>
      </w:r>
    </w:p>
    <w:p>
      <w:pPr>
        <w:pStyle w:val="6"/>
        <w:widowControl/>
        <w:shd w:val="clear" w:color="auto" w:fill="FFFFFF"/>
        <w:spacing w:beforeAutospacing="0" w:after="0" w:afterAutospacing="0" w:line="558"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w:t>
      </w:r>
      <w:r>
        <w:rPr>
          <w:rFonts w:hint="eastAsia" w:ascii="仿宋_GB2312" w:hAnsi="仿宋_GB2312" w:eastAsia="仿宋_GB2312" w:cs="仿宋_GB2312"/>
          <w:b/>
          <w:bCs/>
          <w:color w:val="000000"/>
          <w:kern w:val="2"/>
          <w:sz w:val="32"/>
          <w:szCs w:val="32"/>
        </w:rPr>
        <w:t>确定扶持结果</w:t>
      </w:r>
      <w:r>
        <w:rPr>
          <w:rFonts w:hint="eastAsia" w:ascii="仿宋_GB2312" w:hAnsi="仿宋_GB2312" w:eastAsia="仿宋_GB2312" w:cs="仿宋_GB2312"/>
          <w:color w:val="000000"/>
          <w:kern w:val="2"/>
          <w:sz w:val="32"/>
          <w:szCs w:val="32"/>
        </w:rPr>
        <w:t>：经开区商务金融局对审核通过的申报主体拟定兑现扶持奖励金额。</w:t>
      </w:r>
    </w:p>
    <w:p>
      <w:pPr>
        <w:pStyle w:val="6"/>
        <w:widowControl/>
        <w:shd w:val="clear" w:color="auto" w:fill="FFFFFF"/>
        <w:spacing w:beforeAutospacing="0" w:after="0" w:afterAutospacing="0" w:line="558"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（六）</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：经开区商务金融局通过政策兑现综合服务平台对审核通过的申报主体进行公示。</w:t>
      </w:r>
    </w:p>
    <w:p>
      <w:pPr>
        <w:pStyle w:val="6"/>
        <w:widowControl/>
        <w:shd w:val="clear" w:color="auto" w:fill="FFFFFF"/>
        <w:spacing w:beforeAutospacing="0" w:after="0" w:afterAutospacing="0" w:line="55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（七）</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：经公示无异议的，经开区综合服务保障中心完成资金拨付工作。</w:t>
      </w:r>
    </w:p>
    <w:p>
      <w:pPr>
        <w:spacing w:after="0" w:line="558"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七、主责部门</w:t>
      </w:r>
    </w:p>
    <w:p>
      <w:pPr>
        <w:spacing w:after="0" w:line="558" w:lineRule="exact"/>
        <w:ind w:firstLine="640" w:firstLineChars="200"/>
        <w:rPr>
          <w:rFonts w:hint="eastAsia" w:ascii="仿宋_GB2312" w:hAnsi="仿宋_GB2312" w:eastAsia="仿宋_GB2312" w:cs="仿宋_GB2312"/>
          <w:b/>
          <w:bCs/>
          <w:sz w:val="32"/>
          <w:szCs w:val="32"/>
        </w:rPr>
      </w:pPr>
      <w:r>
        <w:rPr>
          <w:rFonts w:hint="eastAsia" w:eastAsia="仿宋_GB2312" w:cs="仿宋_GB2312"/>
          <w:sz w:val="32"/>
          <w:szCs w:val="32"/>
        </w:rPr>
        <w:t>经开区商务金融局</w:t>
      </w:r>
    </w:p>
    <w:p>
      <w:pPr>
        <w:spacing w:after="0" w:line="558"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八、受理窗口</w:t>
      </w:r>
    </w:p>
    <w:p>
      <w:pPr>
        <w:spacing w:after="0" w:line="558"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北京经济技术开发区万源街4号政务服务大厅“政策申报”窗口</w:t>
      </w:r>
    </w:p>
    <w:p>
      <w:pPr>
        <w:spacing w:after="0" w:line="558"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九、申报时间</w:t>
      </w:r>
    </w:p>
    <w:p>
      <w:pPr>
        <w:spacing w:after="0" w:line="55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年3月7日至202</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年3月21日</w:t>
      </w:r>
    </w:p>
    <w:p>
      <w:pPr>
        <w:spacing w:after="0" w:line="558"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十、联系人及联系方式</w:t>
      </w:r>
    </w:p>
    <w:p>
      <w:pPr>
        <w:spacing w:after="0" w:line="558" w:lineRule="exact"/>
        <w:ind w:firstLine="640" w:firstLineChars="200"/>
        <w:rPr>
          <w:rFonts w:eastAsia="仿宋_GB2312"/>
          <w:sz w:val="32"/>
          <w:szCs w:val="32"/>
        </w:rPr>
      </w:pPr>
      <w:r>
        <w:rPr>
          <w:rFonts w:hint="eastAsia" w:eastAsia="仿宋_GB2312"/>
          <w:sz w:val="32"/>
          <w:szCs w:val="32"/>
        </w:rPr>
        <w:t>政策咨询：</w:t>
      </w:r>
    </w:p>
    <w:p>
      <w:pPr>
        <w:spacing w:after="0" w:line="558" w:lineRule="exact"/>
        <w:ind w:firstLine="640" w:firstLineChars="200"/>
        <w:rPr>
          <w:rFonts w:eastAsia="仿宋_GB2312"/>
          <w:sz w:val="32"/>
          <w:szCs w:val="32"/>
        </w:rPr>
      </w:pPr>
      <w:r>
        <w:rPr>
          <w:rFonts w:hint="eastAsia" w:eastAsia="仿宋_GB2312"/>
          <w:sz w:val="32"/>
          <w:szCs w:val="32"/>
        </w:rPr>
        <w:t>经开区政务服务大厅“政策申报”窗口，联系电话：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pPr>
        <w:spacing w:after="0" w:line="558" w:lineRule="exact"/>
        <w:ind w:firstLine="640" w:firstLineChars="200"/>
        <w:rPr>
          <w:rFonts w:eastAsia="仿宋_GB2312"/>
          <w:sz w:val="32"/>
          <w:szCs w:val="32"/>
        </w:rPr>
      </w:pPr>
      <w:r>
        <w:rPr>
          <w:rFonts w:hint="eastAsia" w:eastAsia="仿宋_GB2312"/>
          <w:sz w:val="32"/>
          <w:szCs w:val="32"/>
        </w:rPr>
        <w:t>经开</w:t>
      </w:r>
      <w:r>
        <w:rPr>
          <w:rFonts w:hint="eastAsia" w:ascii="仿宋_GB2312" w:hAnsi="仿宋_GB2312" w:eastAsia="仿宋_GB2312" w:cs="仿宋_GB2312"/>
          <w:sz w:val="32"/>
          <w:szCs w:val="32"/>
        </w:rPr>
        <w:t>区商务金融局，联系人：李镕辰，联系电话：010-</w:t>
      </w:r>
      <w:r>
        <w:rPr>
          <w:rFonts w:hint="eastAsia" w:ascii="仿宋_GB2312" w:hAnsi="仿宋_GB2312" w:eastAsia="仿宋_GB2312" w:cs="仿宋_GB2312"/>
          <w:sz w:val="32"/>
          <w:szCs w:val="32"/>
          <w:lang w:val="en-US" w:eastAsia="zh-CN"/>
        </w:rPr>
        <w:t>87163239</w:t>
      </w:r>
      <w:r>
        <w:rPr>
          <w:rFonts w:hint="eastAsia" w:ascii="仿宋_GB2312" w:hAnsi="仿宋_GB2312" w:eastAsia="仿宋_GB2312" w:cs="仿宋_GB2312"/>
          <w:sz w:val="32"/>
          <w:szCs w:val="32"/>
        </w:rPr>
        <w:t>，工作日上午9:00—12:00，下午2:00—6:00。</w:t>
      </w:r>
    </w:p>
    <w:p>
      <w:pPr>
        <w:spacing w:after="0" w:line="558" w:lineRule="exact"/>
        <w:ind w:firstLine="640" w:firstLineChars="200"/>
        <w:rPr>
          <w:rFonts w:eastAsia="仿宋_GB2312"/>
          <w:sz w:val="32"/>
          <w:szCs w:val="32"/>
        </w:rPr>
      </w:pPr>
      <w:r>
        <w:rPr>
          <w:rFonts w:hint="eastAsia" w:eastAsia="仿宋_GB2312"/>
          <w:sz w:val="32"/>
          <w:szCs w:val="32"/>
        </w:rPr>
        <w:t>技术支持：</w:t>
      </w:r>
    </w:p>
    <w:p>
      <w:pPr>
        <w:spacing w:after="0" w:line="558" w:lineRule="exact"/>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：010-67857638，工作日上午9:00—12:00，下午2:00—6:00。</w:t>
      </w:r>
    </w:p>
    <w:p>
      <w:pPr>
        <w:spacing w:after="0" w:line="558" w:lineRule="exact"/>
        <w:ind w:firstLine="640" w:firstLineChars="200"/>
        <w:outlineLvl w:val="0"/>
        <w:rPr>
          <w:rFonts w:hint="eastAsia" w:ascii="仿宋_GB2312" w:hAnsi="仿宋_GB2312" w:eastAsia="仿宋_GB2312" w:cs="仿宋_GB2312"/>
          <w:sz w:val="32"/>
          <w:szCs w:val="32"/>
        </w:rPr>
      </w:pPr>
      <w:r>
        <w:rPr>
          <w:rFonts w:hint="eastAsia" w:ascii="黑体" w:hAnsi="黑体" w:eastAsia="黑体" w:cs="黑体"/>
          <w:sz w:val="32"/>
          <w:szCs w:val="32"/>
        </w:rPr>
        <w:t>十一、收费标准</w:t>
      </w:r>
    </w:p>
    <w:p>
      <w:pPr>
        <w:spacing w:after="0" w:line="55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spacing w:after="0" w:line="558"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十二、特别说明</w:t>
      </w:r>
    </w:p>
    <w:p>
      <w:pPr>
        <w:spacing w:after="0" w:line="558"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60EF1"/>
    <w:rsid w:val="0001192B"/>
    <w:rsid w:val="000400DE"/>
    <w:rsid w:val="00051470"/>
    <w:rsid w:val="00060052"/>
    <w:rsid w:val="00062C5F"/>
    <w:rsid w:val="000D2DAA"/>
    <w:rsid w:val="000F62F2"/>
    <w:rsid w:val="001145E7"/>
    <w:rsid w:val="00154381"/>
    <w:rsid w:val="00161422"/>
    <w:rsid w:val="00161CCE"/>
    <w:rsid w:val="001A0124"/>
    <w:rsid w:val="001D276F"/>
    <w:rsid w:val="00270C08"/>
    <w:rsid w:val="002838D9"/>
    <w:rsid w:val="002F066B"/>
    <w:rsid w:val="00333348"/>
    <w:rsid w:val="00360EF1"/>
    <w:rsid w:val="00395968"/>
    <w:rsid w:val="00443D7A"/>
    <w:rsid w:val="00457B4D"/>
    <w:rsid w:val="004C282A"/>
    <w:rsid w:val="00572701"/>
    <w:rsid w:val="00625AB6"/>
    <w:rsid w:val="006347EF"/>
    <w:rsid w:val="006A1513"/>
    <w:rsid w:val="006D0140"/>
    <w:rsid w:val="00710378"/>
    <w:rsid w:val="00844BDB"/>
    <w:rsid w:val="00845846"/>
    <w:rsid w:val="008E2002"/>
    <w:rsid w:val="00900A14"/>
    <w:rsid w:val="00906F5F"/>
    <w:rsid w:val="00923A77"/>
    <w:rsid w:val="0098077A"/>
    <w:rsid w:val="00992FE6"/>
    <w:rsid w:val="00A3406B"/>
    <w:rsid w:val="00B74D80"/>
    <w:rsid w:val="00C122AB"/>
    <w:rsid w:val="00CA5BB9"/>
    <w:rsid w:val="00D460B2"/>
    <w:rsid w:val="00D668C9"/>
    <w:rsid w:val="00D76185"/>
    <w:rsid w:val="00D85A9F"/>
    <w:rsid w:val="00E83BF1"/>
    <w:rsid w:val="00EA199B"/>
    <w:rsid w:val="00EF2FEB"/>
    <w:rsid w:val="00F22B73"/>
    <w:rsid w:val="01540D91"/>
    <w:rsid w:val="01586909"/>
    <w:rsid w:val="015C7ADB"/>
    <w:rsid w:val="01904DED"/>
    <w:rsid w:val="01CB7B50"/>
    <w:rsid w:val="01D948CF"/>
    <w:rsid w:val="020C0B78"/>
    <w:rsid w:val="0225322D"/>
    <w:rsid w:val="02297D4E"/>
    <w:rsid w:val="025430A8"/>
    <w:rsid w:val="026102BC"/>
    <w:rsid w:val="0278373A"/>
    <w:rsid w:val="0290748C"/>
    <w:rsid w:val="03056B13"/>
    <w:rsid w:val="032269ED"/>
    <w:rsid w:val="037C128E"/>
    <w:rsid w:val="03987D96"/>
    <w:rsid w:val="03E353C9"/>
    <w:rsid w:val="03FA3EE0"/>
    <w:rsid w:val="04080ECA"/>
    <w:rsid w:val="04737D47"/>
    <w:rsid w:val="048B28B7"/>
    <w:rsid w:val="04BF0B67"/>
    <w:rsid w:val="052A15A0"/>
    <w:rsid w:val="05933C0C"/>
    <w:rsid w:val="05AE227A"/>
    <w:rsid w:val="05AE34A7"/>
    <w:rsid w:val="05D14D85"/>
    <w:rsid w:val="06113255"/>
    <w:rsid w:val="0646239C"/>
    <w:rsid w:val="06B62BF6"/>
    <w:rsid w:val="06D3553D"/>
    <w:rsid w:val="06FE1C51"/>
    <w:rsid w:val="072A1178"/>
    <w:rsid w:val="074E6B15"/>
    <w:rsid w:val="078B6DBE"/>
    <w:rsid w:val="07936930"/>
    <w:rsid w:val="07B11C5A"/>
    <w:rsid w:val="0840700F"/>
    <w:rsid w:val="08925D0E"/>
    <w:rsid w:val="089620E8"/>
    <w:rsid w:val="08A45B0A"/>
    <w:rsid w:val="08A825A4"/>
    <w:rsid w:val="08B97A0D"/>
    <w:rsid w:val="08BF34BA"/>
    <w:rsid w:val="08CC64FD"/>
    <w:rsid w:val="08D44C62"/>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715E03"/>
    <w:rsid w:val="0EAB08F2"/>
    <w:rsid w:val="0EAD26D4"/>
    <w:rsid w:val="0ED00FB9"/>
    <w:rsid w:val="0EE86C1D"/>
    <w:rsid w:val="0F131376"/>
    <w:rsid w:val="0F193762"/>
    <w:rsid w:val="0F1D02E7"/>
    <w:rsid w:val="0F221A0E"/>
    <w:rsid w:val="0F8C27FB"/>
    <w:rsid w:val="0F934289"/>
    <w:rsid w:val="0FA61C25"/>
    <w:rsid w:val="0FF757D0"/>
    <w:rsid w:val="101D1DF8"/>
    <w:rsid w:val="10452D67"/>
    <w:rsid w:val="106018C4"/>
    <w:rsid w:val="10653491"/>
    <w:rsid w:val="10706EEF"/>
    <w:rsid w:val="1092296C"/>
    <w:rsid w:val="10A01313"/>
    <w:rsid w:val="10C13CF3"/>
    <w:rsid w:val="10E13271"/>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3712FC"/>
    <w:rsid w:val="189F5C4C"/>
    <w:rsid w:val="18DF1E8D"/>
    <w:rsid w:val="18F4326C"/>
    <w:rsid w:val="19612585"/>
    <w:rsid w:val="196452DD"/>
    <w:rsid w:val="197A58E4"/>
    <w:rsid w:val="19856C91"/>
    <w:rsid w:val="19B8431B"/>
    <w:rsid w:val="19DB76A4"/>
    <w:rsid w:val="19EC634B"/>
    <w:rsid w:val="19F32EB8"/>
    <w:rsid w:val="1A0B0313"/>
    <w:rsid w:val="1A0C4625"/>
    <w:rsid w:val="1AB25631"/>
    <w:rsid w:val="1AC071AC"/>
    <w:rsid w:val="1AC627E0"/>
    <w:rsid w:val="1AF423CA"/>
    <w:rsid w:val="1B6F2C26"/>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E3278A5"/>
    <w:rsid w:val="1E447CA3"/>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81D61"/>
    <w:rsid w:val="20AA00DB"/>
    <w:rsid w:val="20C47AEC"/>
    <w:rsid w:val="20C93EA2"/>
    <w:rsid w:val="20CC2FA6"/>
    <w:rsid w:val="20D514AE"/>
    <w:rsid w:val="20DE69DC"/>
    <w:rsid w:val="2117052E"/>
    <w:rsid w:val="21335EBD"/>
    <w:rsid w:val="21835613"/>
    <w:rsid w:val="21B6442D"/>
    <w:rsid w:val="21C06C9F"/>
    <w:rsid w:val="21D10780"/>
    <w:rsid w:val="21F93416"/>
    <w:rsid w:val="220962A9"/>
    <w:rsid w:val="22C97BF8"/>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6873FE"/>
    <w:rsid w:val="288627FF"/>
    <w:rsid w:val="28942D3D"/>
    <w:rsid w:val="28A332E9"/>
    <w:rsid w:val="29857C2F"/>
    <w:rsid w:val="29D97CC6"/>
    <w:rsid w:val="2A1D0ADC"/>
    <w:rsid w:val="2A5F7219"/>
    <w:rsid w:val="2A6102E1"/>
    <w:rsid w:val="2AB25697"/>
    <w:rsid w:val="2ACF7AB8"/>
    <w:rsid w:val="2B035A09"/>
    <w:rsid w:val="2B2024A7"/>
    <w:rsid w:val="2B833D12"/>
    <w:rsid w:val="2B833F98"/>
    <w:rsid w:val="2B9B0A58"/>
    <w:rsid w:val="2BA7027E"/>
    <w:rsid w:val="2BAB54C5"/>
    <w:rsid w:val="2BC05AF8"/>
    <w:rsid w:val="2BE54D11"/>
    <w:rsid w:val="2C522435"/>
    <w:rsid w:val="2CEC36C7"/>
    <w:rsid w:val="2D2A602F"/>
    <w:rsid w:val="2D6B0ED7"/>
    <w:rsid w:val="2D715293"/>
    <w:rsid w:val="2D7649D6"/>
    <w:rsid w:val="2DA064BD"/>
    <w:rsid w:val="2E236E07"/>
    <w:rsid w:val="2E2B3CCA"/>
    <w:rsid w:val="2E491136"/>
    <w:rsid w:val="2EC908A3"/>
    <w:rsid w:val="2ED73427"/>
    <w:rsid w:val="2F2F2A58"/>
    <w:rsid w:val="2F5D1137"/>
    <w:rsid w:val="2F6E0190"/>
    <w:rsid w:val="2F8D4635"/>
    <w:rsid w:val="3012512B"/>
    <w:rsid w:val="30140526"/>
    <w:rsid w:val="306E5387"/>
    <w:rsid w:val="30AB0C90"/>
    <w:rsid w:val="310A0BC4"/>
    <w:rsid w:val="31281962"/>
    <w:rsid w:val="312A1C2B"/>
    <w:rsid w:val="315A3762"/>
    <w:rsid w:val="31624147"/>
    <w:rsid w:val="31714BD5"/>
    <w:rsid w:val="31AA66BF"/>
    <w:rsid w:val="31D65AF9"/>
    <w:rsid w:val="3201564A"/>
    <w:rsid w:val="321C265E"/>
    <w:rsid w:val="32343B0A"/>
    <w:rsid w:val="32A70709"/>
    <w:rsid w:val="32FE69F0"/>
    <w:rsid w:val="336A1FD6"/>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E95DAE"/>
    <w:rsid w:val="37184DFF"/>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DA7DE5"/>
    <w:rsid w:val="3C2F160E"/>
    <w:rsid w:val="3C5F033A"/>
    <w:rsid w:val="3CD117BD"/>
    <w:rsid w:val="3CF83180"/>
    <w:rsid w:val="3D0B1E04"/>
    <w:rsid w:val="3D23696B"/>
    <w:rsid w:val="3D94503B"/>
    <w:rsid w:val="3DAA6DAB"/>
    <w:rsid w:val="3DD55352"/>
    <w:rsid w:val="3DD73586"/>
    <w:rsid w:val="3DE32562"/>
    <w:rsid w:val="3E20508B"/>
    <w:rsid w:val="3ED12338"/>
    <w:rsid w:val="3EE438FE"/>
    <w:rsid w:val="3EF468CE"/>
    <w:rsid w:val="3F087986"/>
    <w:rsid w:val="3F2328C1"/>
    <w:rsid w:val="3F31781F"/>
    <w:rsid w:val="3F346049"/>
    <w:rsid w:val="3F3D4664"/>
    <w:rsid w:val="3F580B78"/>
    <w:rsid w:val="3FBC30E1"/>
    <w:rsid w:val="3FD009E6"/>
    <w:rsid w:val="3FD3067D"/>
    <w:rsid w:val="3FD4707F"/>
    <w:rsid w:val="3FFD57FE"/>
    <w:rsid w:val="40945F74"/>
    <w:rsid w:val="409D6C96"/>
    <w:rsid w:val="40A50B34"/>
    <w:rsid w:val="40C0750A"/>
    <w:rsid w:val="410178FA"/>
    <w:rsid w:val="419C40BE"/>
    <w:rsid w:val="41A74911"/>
    <w:rsid w:val="41C24932"/>
    <w:rsid w:val="41EE09AD"/>
    <w:rsid w:val="42271CA4"/>
    <w:rsid w:val="423A4979"/>
    <w:rsid w:val="42553C37"/>
    <w:rsid w:val="4257249A"/>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3F0C29"/>
    <w:rsid w:val="474159DD"/>
    <w:rsid w:val="48045B63"/>
    <w:rsid w:val="484F2842"/>
    <w:rsid w:val="49006A23"/>
    <w:rsid w:val="492A682B"/>
    <w:rsid w:val="49596A53"/>
    <w:rsid w:val="49AE2D68"/>
    <w:rsid w:val="49C3065B"/>
    <w:rsid w:val="49FE7196"/>
    <w:rsid w:val="4A2E4F9F"/>
    <w:rsid w:val="4A3148B7"/>
    <w:rsid w:val="4A3C2091"/>
    <w:rsid w:val="4A41431D"/>
    <w:rsid w:val="4A8A325C"/>
    <w:rsid w:val="4AB84ECB"/>
    <w:rsid w:val="4ACF4B48"/>
    <w:rsid w:val="4AD86E60"/>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E2B5D5D"/>
    <w:rsid w:val="4E8B3508"/>
    <w:rsid w:val="4ED13285"/>
    <w:rsid w:val="4F1A6236"/>
    <w:rsid w:val="4F6A651C"/>
    <w:rsid w:val="4F721548"/>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0927D2"/>
    <w:rsid w:val="5D1237AB"/>
    <w:rsid w:val="5D442416"/>
    <w:rsid w:val="5D5B7524"/>
    <w:rsid w:val="5D731173"/>
    <w:rsid w:val="5DB61076"/>
    <w:rsid w:val="5DB96EBE"/>
    <w:rsid w:val="5DF9063C"/>
    <w:rsid w:val="5DFA426F"/>
    <w:rsid w:val="5E60221A"/>
    <w:rsid w:val="5E852B06"/>
    <w:rsid w:val="5EBB0773"/>
    <w:rsid w:val="5EC9424F"/>
    <w:rsid w:val="5EF9239D"/>
    <w:rsid w:val="5F3F6EB7"/>
    <w:rsid w:val="5F595787"/>
    <w:rsid w:val="5F8D1C46"/>
    <w:rsid w:val="5FBD03D0"/>
    <w:rsid w:val="5FE50B69"/>
    <w:rsid w:val="601B4866"/>
    <w:rsid w:val="60303D05"/>
    <w:rsid w:val="60386110"/>
    <w:rsid w:val="606977B6"/>
    <w:rsid w:val="60B75222"/>
    <w:rsid w:val="610966E3"/>
    <w:rsid w:val="61A06ED8"/>
    <w:rsid w:val="61CC6283"/>
    <w:rsid w:val="61EB1FBB"/>
    <w:rsid w:val="620458E9"/>
    <w:rsid w:val="624422CE"/>
    <w:rsid w:val="62812C52"/>
    <w:rsid w:val="6284439F"/>
    <w:rsid w:val="6298596F"/>
    <w:rsid w:val="634E079D"/>
    <w:rsid w:val="635553E5"/>
    <w:rsid w:val="63E9591E"/>
    <w:rsid w:val="640F4520"/>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C1331A"/>
    <w:rsid w:val="67F973CE"/>
    <w:rsid w:val="6808097F"/>
    <w:rsid w:val="686076FC"/>
    <w:rsid w:val="68E479A1"/>
    <w:rsid w:val="6A7C3B1B"/>
    <w:rsid w:val="6A9153AF"/>
    <w:rsid w:val="6A9A5399"/>
    <w:rsid w:val="6B3F3AAD"/>
    <w:rsid w:val="6B891093"/>
    <w:rsid w:val="6BA55CDC"/>
    <w:rsid w:val="6BC177C6"/>
    <w:rsid w:val="6BC37DD4"/>
    <w:rsid w:val="6C021C08"/>
    <w:rsid w:val="6C0A466E"/>
    <w:rsid w:val="6C1948F8"/>
    <w:rsid w:val="6C4D6808"/>
    <w:rsid w:val="6C725360"/>
    <w:rsid w:val="6C7908D0"/>
    <w:rsid w:val="6C8A0C15"/>
    <w:rsid w:val="6C926DA7"/>
    <w:rsid w:val="6CB16FB4"/>
    <w:rsid w:val="6CE4440B"/>
    <w:rsid w:val="6CF73991"/>
    <w:rsid w:val="6CF83AE2"/>
    <w:rsid w:val="6D0154E8"/>
    <w:rsid w:val="6D034EA5"/>
    <w:rsid w:val="6D1334E9"/>
    <w:rsid w:val="6D231259"/>
    <w:rsid w:val="6D3203DA"/>
    <w:rsid w:val="6D5B79BC"/>
    <w:rsid w:val="6DCF4058"/>
    <w:rsid w:val="6DE9238A"/>
    <w:rsid w:val="6E2B147B"/>
    <w:rsid w:val="6E33263A"/>
    <w:rsid w:val="6E3A4154"/>
    <w:rsid w:val="6E893371"/>
    <w:rsid w:val="6E8C71B7"/>
    <w:rsid w:val="6EA731B5"/>
    <w:rsid w:val="6EB6086C"/>
    <w:rsid w:val="6EC648DD"/>
    <w:rsid w:val="6EEF0E38"/>
    <w:rsid w:val="6F0C63B7"/>
    <w:rsid w:val="6F345206"/>
    <w:rsid w:val="6F941165"/>
    <w:rsid w:val="6F9D2D94"/>
    <w:rsid w:val="6FBC2D32"/>
    <w:rsid w:val="6FFF6326"/>
    <w:rsid w:val="70007B47"/>
    <w:rsid w:val="702F1D23"/>
    <w:rsid w:val="705342C1"/>
    <w:rsid w:val="708D3892"/>
    <w:rsid w:val="70A8641D"/>
    <w:rsid w:val="70B75CF8"/>
    <w:rsid w:val="70C079DE"/>
    <w:rsid w:val="712573D2"/>
    <w:rsid w:val="7155010D"/>
    <w:rsid w:val="715C4E8A"/>
    <w:rsid w:val="717F152D"/>
    <w:rsid w:val="71D07EE4"/>
    <w:rsid w:val="720F3D8F"/>
    <w:rsid w:val="72A75458"/>
    <w:rsid w:val="72D92721"/>
    <w:rsid w:val="732D07CF"/>
    <w:rsid w:val="73436223"/>
    <w:rsid w:val="735538BA"/>
    <w:rsid w:val="73AC6967"/>
    <w:rsid w:val="73AE56BA"/>
    <w:rsid w:val="740941C7"/>
    <w:rsid w:val="74A24F54"/>
    <w:rsid w:val="74DA21D9"/>
    <w:rsid w:val="75250E17"/>
    <w:rsid w:val="75576C93"/>
    <w:rsid w:val="75711074"/>
    <w:rsid w:val="75893E4D"/>
    <w:rsid w:val="75BA3B6D"/>
    <w:rsid w:val="75D12F9F"/>
    <w:rsid w:val="75E87AE4"/>
    <w:rsid w:val="76206188"/>
    <w:rsid w:val="767E6D89"/>
    <w:rsid w:val="768B48F5"/>
    <w:rsid w:val="76A32A08"/>
    <w:rsid w:val="76DD66F2"/>
    <w:rsid w:val="76EC6FC3"/>
    <w:rsid w:val="770B2702"/>
    <w:rsid w:val="7718563E"/>
    <w:rsid w:val="776A3F9A"/>
    <w:rsid w:val="77901978"/>
    <w:rsid w:val="77915027"/>
    <w:rsid w:val="779D4F4D"/>
    <w:rsid w:val="77CF1648"/>
    <w:rsid w:val="77F78C76"/>
    <w:rsid w:val="781D2C7A"/>
    <w:rsid w:val="783A56AF"/>
    <w:rsid w:val="78413BD7"/>
    <w:rsid w:val="788F717D"/>
    <w:rsid w:val="78915F29"/>
    <w:rsid w:val="78A77DB4"/>
    <w:rsid w:val="78B31BDE"/>
    <w:rsid w:val="78E70DA1"/>
    <w:rsid w:val="78F21850"/>
    <w:rsid w:val="791B03AB"/>
    <w:rsid w:val="79714C66"/>
    <w:rsid w:val="797B93E1"/>
    <w:rsid w:val="79D31F15"/>
    <w:rsid w:val="79D657CC"/>
    <w:rsid w:val="79E40A04"/>
    <w:rsid w:val="7A151811"/>
    <w:rsid w:val="7B201A3E"/>
    <w:rsid w:val="7B3C52F1"/>
    <w:rsid w:val="7B9D0472"/>
    <w:rsid w:val="7BA046F3"/>
    <w:rsid w:val="7BC37346"/>
    <w:rsid w:val="7BDF9FD9"/>
    <w:rsid w:val="7BE71A21"/>
    <w:rsid w:val="7BF87E00"/>
    <w:rsid w:val="7C064DA7"/>
    <w:rsid w:val="7C0A2379"/>
    <w:rsid w:val="7C551636"/>
    <w:rsid w:val="7C5F3CF1"/>
    <w:rsid w:val="7C697AB1"/>
    <w:rsid w:val="7CB460B3"/>
    <w:rsid w:val="7CD445C4"/>
    <w:rsid w:val="7CED17F8"/>
    <w:rsid w:val="7CF17B62"/>
    <w:rsid w:val="7CFFC854"/>
    <w:rsid w:val="7D274421"/>
    <w:rsid w:val="7D3D452B"/>
    <w:rsid w:val="7D957EE1"/>
    <w:rsid w:val="7DF37996"/>
    <w:rsid w:val="7DFC4CA2"/>
    <w:rsid w:val="7E137B54"/>
    <w:rsid w:val="7E4E0E62"/>
    <w:rsid w:val="7E503B32"/>
    <w:rsid w:val="7E6B7B24"/>
    <w:rsid w:val="7E757D8F"/>
    <w:rsid w:val="7E782A8A"/>
    <w:rsid w:val="7EFFFA7B"/>
    <w:rsid w:val="7F4BBEEE"/>
    <w:rsid w:val="7F796F28"/>
    <w:rsid w:val="7FC14E2C"/>
    <w:rsid w:val="7FFB8B28"/>
    <w:rsid w:val="7FFFCBD1"/>
    <w:rsid w:val="97EE3509"/>
    <w:rsid w:val="9F6F6015"/>
    <w:rsid w:val="BDBEDDC4"/>
    <w:rsid w:val="C70AF731"/>
    <w:rsid w:val="C7DB93C8"/>
    <w:rsid w:val="DCFE2E5D"/>
    <w:rsid w:val="DD7E7DC7"/>
    <w:rsid w:val="DEF5E07B"/>
    <w:rsid w:val="DF6B9FF1"/>
    <w:rsid w:val="EBEFC481"/>
    <w:rsid w:val="EFEEB9E2"/>
    <w:rsid w:val="F37F7FC0"/>
    <w:rsid w:val="F3FBF7CA"/>
    <w:rsid w:val="F5DBA8FA"/>
    <w:rsid w:val="F7F2C2A9"/>
    <w:rsid w:val="FDEF8289"/>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ody Text"/>
    <w:basedOn w:val="1"/>
    <w:qFormat/>
    <w:uiPriority w:val="1"/>
    <w:rPr>
      <w:rFonts w:ascii="仿宋_GB2312" w:hAnsi="仿宋_GB2312" w:eastAsia="仿宋_GB2312" w:cs="仿宋_GB2312"/>
      <w:sz w:val="32"/>
      <w:szCs w:val="32"/>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paragraph" w:styleId="7">
    <w:name w:val="annotation subject"/>
    <w:basedOn w:val="2"/>
    <w:next w:val="2"/>
    <w:link w:val="16"/>
    <w:qFormat/>
    <w:uiPriority w:val="0"/>
    <w:rPr>
      <w:b/>
      <w:bCs/>
    </w:rPr>
  </w:style>
  <w:style w:type="character" w:styleId="10">
    <w:name w:val="Hyperlink"/>
    <w:basedOn w:val="9"/>
    <w:qFormat/>
    <w:uiPriority w:val="0"/>
    <w:rPr>
      <w:color w:val="0000FF"/>
      <w:u w:val="single"/>
    </w:rPr>
  </w:style>
  <w:style w:type="character" w:styleId="11">
    <w:name w:val="annotation reference"/>
    <w:basedOn w:val="9"/>
    <w:qFormat/>
    <w:uiPriority w:val="0"/>
    <w:rPr>
      <w:sz w:val="21"/>
      <w:szCs w:val="21"/>
    </w:rPr>
  </w:style>
  <w:style w:type="character" w:customStyle="1" w:styleId="12">
    <w:name w:val="页眉 字符"/>
    <w:basedOn w:val="9"/>
    <w:link w:val="5"/>
    <w:qFormat/>
    <w:uiPriority w:val="0"/>
    <w:rPr>
      <w:kern w:val="2"/>
      <w:sz w:val="18"/>
      <w:szCs w:val="18"/>
    </w:rPr>
  </w:style>
  <w:style w:type="character" w:customStyle="1" w:styleId="13">
    <w:name w:val="页脚 字符"/>
    <w:basedOn w:val="9"/>
    <w:link w:val="4"/>
    <w:qFormat/>
    <w:uiPriority w:val="0"/>
    <w:rPr>
      <w:kern w:val="2"/>
      <w:sz w:val="18"/>
      <w:szCs w:val="18"/>
    </w:rPr>
  </w:style>
  <w:style w:type="paragraph" w:customStyle="1" w:styleId="14">
    <w:name w:val="修订1"/>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15">
    <w:name w:val="批注文字 字符"/>
    <w:basedOn w:val="9"/>
    <w:link w:val="2"/>
    <w:qFormat/>
    <w:uiPriority w:val="0"/>
    <w:rPr>
      <w:kern w:val="2"/>
      <w:sz w:val="21"/>
      <w:szCs w:val="24"/>
    </w:rPr>
  </w:style>
  <w:style w:type="character" w:customStyle="1" w:styleId="16">
    <w:name w:val="批注主题 字符"/>
    <w:basedOn w:val="15"/>
    <w:link w:val="7"/>
    <w:qFormat/>
    <w:uiPriority w:val="0"/>
    <w:rPr>
      <w:b/>
      <w:bCs/>
      <w:kern w:val="2"/>
      <w:sz w:val="21"/>
      <w:szCs w:val="24"/>
    </w:rPr>
  </w:style>
  <w:style w:type="paragraph" w:customStyle="1" w:styleId="17">
    <w:name w:val="Revision"/>
    <w:hidden/>
    <w:unhideWhenUsed/>
    <w:qFormat/>
    <w:uiPriority w:val="99"/>
    <w:pPr>
      <w:spacing w:after="0" w:line="240" w:lineRule="auto"/>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2186</Words>
  <Characters>2383</Characters>
  <Lines>17</Lines>
  <Paragraphs>4</Paragraphs>
  <TotalTime>2</TotalTime>
  <ScaleCrop>false</ScaleCrop>
  <LinksUpToDate>false</LinksUpToDate>
  <CharactersWithSpaces>2383</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2019-08-17T22:54:00Z</dcterms:created>
  <dc:creator>zkk</dc:creator>
  <cp:lastModifiedBy>BDA</cp:lastModifiedBy>
  <cp:lastPrinted>2020-03-27T19:03:00Z</cp:lastPrinted>
  <dcterms:modified xsi:type="dcterms:W3CDTF">2025-03-03T17:47:02Z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D0C6CB4D3DD449CF9F01DB31742842FE</vt:lpwstr>
  </property>
  <property fmtid="{D5CDD505-2E9C-101B-9397-08002B2CF9AE}" pid="4" name="KSOTemplateDocerSaveRecord">
    <vt:lpwstr>eyJoZGlkIjoiZmRiZjNjZDEzYWJlODQ5ZTcyZjk0MDY2YTgyNTRlMzAiLCJ1c2VySWQiOiIyNTczMzg5MjQifQ==</vt:lpwstr>
  </property>
</Properties>
</file>