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40" w:lineRule="exact"/>
        <w:ind w:firstLine="0"/>
        <w:rPr>
          <w:rFonts w:eastAsia="黑体"/>
          <w:bCs/>
          <w:kern w:val="44"/>
          <w:szCs w:val="32"/>
        </w:rPr>
      </w:pPr>
      <w:r>
        <w:rPr>
          <w:rFonts w:eastAsia="黑体"/>
          <w:bCs/>
          <w:kern w:val="44"/>
          <w:szCs w:val="32"/>
        </w:rPr>
        <w:t>附件</w:t>
      </w:r>
    </w:p>
    <w:p>
      <w:pPr>
        <w:adjustRightInd w:val="0"/>
        <w:snapToGrid w:val="0"/>
        <w:spacing w:line="500" w:lineRule="exact"/>
        <w:ind w:firstLine="0"/>
        <w:jc w:val="center"/>
        <w:rPr>
          <w:rFonts w:eastAsia="方正小标宋简体"/>
          <w:bCs/>
          <w:kern w:val="44"/>
          <w:sz w:val="44"/>
          <w:szCs w:val="44"/>
        </w:rPr>
      </w:pPr>
    </w:p>
    <w:p>
      <w:pPr>
        <w:adjustRightInd w:val="0"/>
        <w:snapToGrid w:val="0"/>
        <w:spacing w:line="640" w:lineRule="exact"/>
        <w:ind w:firstLine="0"/>
        <w:jc w:val="center"/>
        <w:rPr>
          <w:rFonts w:eastAsia="方正小标宋简体"/>
          <w:bCs/>
          <w:kern w:val="44"/>
          <w:sz w:val="44"/>
          <w:szCs w:val="44"/>
        </w:rPr>
      </w:pPr>
      <w:r>
        <w:rPr>
          <w:rFonts w:eastAsia="方正小标宋简体"/>
          <w:bCs/>
          <w:kern w:val="44"/>
          <w:sz w:val="44"/>
          <w:szCs w:val="44"/>
        </w:rPr>
        <w:t>关于加快推进社会保障卡“一卡通”</w:t>
      </w:r>
    </w:p>
    <w:p>
      <w:pPr>
        <w:adjustRightInd w:val="0"/>
        <w:snapToGrid w:val="0"/>
        <w:spacing w:line="640" w:lineRule="exact"/>
        <w:ind w:firstLine="0"/>
        <w:jc w:val="center"/>
        <w:rPr>
          <w:rFonts w:eastAsia="方正小标宋简体"/>
          <w:bCs/>
          <w:kern w:val="44"/>
          <w:szCs w:val="32"/>
        </w:rPr>
      </w:pPr>
      <w:r>
        <w:rPr>
          <w:rFonts w:eastAsia="方正小标宋简体"/>
          <w:bCs/>
          <w:kern w:val="44"/>
          <w:sz w:val="44"/>
          <w:szCs w:val="44"/>
        </w:rPr>
        <w:t>建设的实施意见</w:t>
      </w:r>
    </w:p>
    <w:p>
      <w:pPr>
        <w:adjustRightInd w:val="0"/>
        <w:snapToGrid w:val="0"/>
        <w:spacing w:line="600" w:lineRule="exact"/>
        <w:ind w:firstLine="0"/>
        <w:jc w:val="center"/>
        <w:rPr>
          <w:bCs/>
          <w:kern w:val="44"/>
          <w:szCs w:val="32"/>
        </w:rPr>
      </w:pPr>
      <w:r>
        <w:rPr>
          <w:rFonts w:eastAsia="楷体_GB2312"/>
          <w:bCs/>
          <w:kern w:val="44"/>
          <w:szCs w:val="32"/>
        </w:rPr>
        <w:t>（征求意见稿）</w:t>
      </w:r>
    </w:p>
    <w:p>
      <w:pPr>
        <w:adjustRightInd w:val="0"/>
        <w:snapToGrid w:val="0"/>
        <w:spacing w:line="500" w:lineRule="exact"/>
        <w:ind w:firstLine="0"/>
        <w:jc w:val="center"/>
        <w:rPr>
          <w:bCs/>
          <w:snapToGrid w:val="0"/>
          <w:kern w:val="0"/>
          <w:szCs w:val="32"/>
        </w:rPr>
      </w:pPr>
    </w:p>
    <w:p>
      <w:pPr>
        <w:adjustRightInd w:val="0"/>
        <w:snapToGrid w:val="0"/>
        <w:spacing w:line="576" w:lineRule="exact"/>
        <w:ind w:firstLine="0"/>
        <w:rPr>
          <w:bCs/>
          <w:snapToGrid w:val="0"/>
          <w:kern w:val="0"/>
          <w:szCs w:val="32"/>
        </w:rPr>
      </w:pPr>
      <w:r>
        <w:rPr>
          <w:bCs/>
          <w:snapToGrid w:val="0"/>
          <w:kern w:val="0"/>
          <w:szCs w:val="32"/>
        </w:rPr>
        <w:t>各市（州）人民政府，省政府各部门、各</w:t>
      </w:r>
      <w:bookmarkStart w:id="43" w:name="_GoBack"/>
      <w:bookmarkEnd w:id="43"/>
      <w:r>
        <w:rPr>
          <w:bCs/>
          <w:snapToGrid w:val="0"/>
          <w:kern w:val="0"/>
          <w:szCs w:val="32"/>
        </w:rPr>
        <w:t>直属机构，有关单位：</w:t>
      </w:r>
    </w:p>
    <w:p>
      <w:pPr>
        <w:adjustRightInd w:val="0"/>
        <w:snapToGrid w:val="0"/>
        <w:spacing w:line="576" w:lineRule="exact"/>
        <w:ind w:firstLine="640" w:firstLineChars="200"/>
        <w:rPr>
          <w:bCs/>
          <w:snapToGrid w:val="0"/>
          <w:kern w:val="0"/>
          <w:szCs w:val="32"/>
        </w:rPr>
      </w:pPr>
      <w:r>
        <w:rPr>
          <w:bCs/>
          <w:snapToGrid w:val="0"/>
          <w:kern w:val="0"/>
          <w:szCs w:val="32"/>
        </w:rPr>
        <w:t>为贯彻</w:t>
      </w:r>
      <w:r>
        <w:rPr>
          <w:bCs/>
          <w:snapToGrid w:val="0"/>
          <w:color w:val="000000" w:themeColor="text1"/>
          <w:kern w:val="0"/>
          <w:szCs w:val="32"/>
          <w:highlight w:val="none"/>
          <w14:textFill>
            <w14:solidFill>
              <w14:schemeClr w14:val="tx1"/>
            </w14:solidFill>
          </w14:textFill>
        </w:rPr>
        <w:t>落实党中央</w:t>
      </w:r>
      <w:r>
        <w:rPr>
          <w:bCs/>
          <w:snapToGrid w:val="0"/>
          <w:kern w:val="0"/>
          <w:szCs w:val="32"/>
        </w:rPr>
        <w:t>、</w:t>
      </w:r>
      <w:r>
        <w:rPr>
          <w:bCs/>
          <w:snapToGrid w:val="0"/>
          <w:color w:val="000000" w:themeColor="text1"/>
          <w:kern w:val="0"/>
          <w:szCs w:val="32"/>
          <w:highlight w:val="none"/>
          <w14:textFill>
            <w14:solidFill>
              <w14:schemeClr w14:val="tx1"/>
            </w14:solidFill>
          </w14:textFill>
        </w:rPr>
        <w:t>国务院</w:t>
      </w:r>
      <w:r>
        <w:rPr>
          <w:bCs/>
          <w:snapToGrid w:val="0"/>
          <w:kern w:val="0"/>
          <w:szCs w:val="32"/>
        </w:rPr>
        <w:t>、省委省政府决策部署，深入实施《四川省社会保障卡一卡通条例》，加快推进社会保障卡（含电子社会保障卡，下同）居民服务“一卡通”应用，创新“一卡通”便民服务，拓展“一卡通”应用功能，建立以社会保障卡为载体的“一卡通”服务管理模式，现提出如下实施意见。</w:t>
      </w:r>
      <w:bookmarkStart w:id="0" w:name="OLE_LINK14"/>
    </w:p>
    <w:p>
      <w:pPr>
        <w:tabs>
          <w:tab w:val="left" w:pos="6387"/>
        </w:tabs>
        <w:adjustRightInd w:val="0"/>
        <w:snapToGrid w:val="0"/>
        <w:spacing w:line="576" w:lineRule="exact"/>
        <w:ind w:firstLine="640" w:firstLineChars="200"/>
        <w:rPr>
          <w:rFonts w:eastAsia="黑体"/>
          <w:bCs/>
          <w:snapToGrid w:val="0"/>
          <w:kern w:val="0"/>
          <w:szCs w:val="32"/>
        </w:rPr>
      </w:pPr>
      <w:r>
        <w:rPr>
          <w:rFonts w:eastAsia="黑体"/>
          <w:bCs/>
          <w:snapToGrid w:val="0"/>
          <w:kern w:val="0"/>
          <w:szCs w:val="32"/>
        </w:rPr>
        <w:t>一、总体要求</w:t>
      </w:r>
    </w:p>
    <w:bookmarkEnd w:id="0"/>
    <w:p>
      <w:pPr>
        <w:adjustRightInd w:val="0"/>
        <w:snapToGrid w:val="0"/>
        <w:spacing w:line="576" w:lineRule="exact"/>
        <w:ind w:firstLine="640" w:firstLineChars="200"/>
        <w:rPr>
          <w:bCs/>
          <w:snapToGrid w:val="0"/>
          <w:kern w:val="0"/>
          <w:szCs w:val="32"/>
          <w:highlight w:val="yellow"/>
        </w:rPr>
      </w:pPr>
      <w:r>
        <w:rPr>
          <w:bCs/>
          <w:snapToGrid w:val="0"/>
          <w:kern w:val="0"/>
          <w:szCs w:val="32"/>
        </w:rPr>
        <w:t>坚持以习近平新时代中国特色社会主义思想为指导，全面贯彻党的二十大和二十届二中、三中全会精神，认真落实省委十二届历次全会决策部署，践行以人民为中心的发展思想，按照“统筹推进、便民高效、开放融合、安全可控”的原则，推动社会保障卡线上线下、跨领域跨地区应用融合发展，集成各类民生服务卡（码）功能，</w:t>
      </w:r>
      <w:bookmarkStart w:id="1" w:name="OLE_LINK8"/>
      <w:r>
        <w:rPr>
          <w:bCs/>
          <w:snapToGrid w:val="0"/>
          <w:kern w:val="0"/>
          <w:szCs w:val="32"/>
        </w:rPr>
        <w:t>逐步实现在人力资源社会保障、医疗卫生、交通出行、旅</w:t>
      </w:r>
      <w:bookmarkStart w:id="2" w:name="OLE_LINK42"/>
      <w:bookmarkStart w:id="3" w:name="OLE_LINK43"/>
      <w:r>
        <w:rPr>
          <w:bCs/>
          <w:snapToGrid w:val="0"/>
          <w:kern w:val="0"/>
          <w:szCs w:val="32"/>
        </w:rPr>
        <w:t>游观光、文化体验、财政补贴、政务服务、智慧城市等领域的广泛应用</w:t>
      </w:r>
      <w:bookmarkEnd w:id="2"/>
      <w:bookmarkEnd w:id="3"/>
      <w:r>
        <w:rPr>
          <w:bCs/>
          <w:snapToGrid w:val="0"/>
          <w:kern w:val="0"/>
          <w:szCs w:val="32"/>
        </w:rPr>
        <w:t>。</w:t>
      </w:r>
      <w:bookmarkEnd w:id="1"/>
      <w:r>
        <w:rPr>
          <w:bCs/>
          <w:snapToGrid w:val="0"/>
          <w:kern w:val="0"/>
          <w:szCs w:val="32"/>
        </w:rPr>
        <w:t>围绕数字政府建设，以“一卡通”为切口，通过数据共享、流程再造，提升政务服务供给能力及管理效能，推进治理体系和治理能力现代化，不断增强人民群众的获得感、幸福感、安全感。</w:t>
      </w:r>
    </w:p>
    <w:p>
      <w:pPr>
        <w:autoSpaceDE w:val="0"/>
        <w:autoSpaceDN w:val="0"/>
        <w:adjustRightInd w:val="0"/>
        <w:snapToGrid w:val="0"/>
        <w:spacing w:line="576" w:lineRule="exact"/>
        <w:ind w:firstLine="640" w:firstLineChars="200"/>
        <w:textAlignment w:val="baseline"/>
        <w:rPr>
          <w:bCs/>
          <w:snapToGrid w:val="0"/>
          <w:kern w:val="0"/>
          <w:szCs w:val="32"/>
        </w:rPr>
      </w:pPr>
      <w:r>
        <w:rPr>
          <w:bCs/>
          <w:snapToGrid w:val="0"/>
          <w:kern w:val="0"/>
          <w:szCs w:val="32"/>
        </w:rPr>
        <w:t>到2025年，社会保障卡“一卡通”政策体系更加完善，工作机制更加健全，用卡环境更加完备，“一卡通”在民生服务领域应用取得明显成效。到2026年，各类民生服务事项“应接尽接”，更多民生服务事项通过社会保障卡“一卡通”办理，具有四川特色的“一卡通”服务管理模式基本建成。到2028年，社会保障卡得到充分应用，民生服务系统化、精准化、均衡化水平全面提升，“一卡通”服务管理体系成熟完备。</w:t>
      </w:r>
    </w:p>
    <w:p>
      <w:pPr>
        <w:autoSpaceDE w:val="0"/>
        <w:autoSpaceDN w:val="0"/>
        <w:adjustRightInd w:val="0"/>
        <w:snapToGrid w:val="0"/>
        <w:spacing w:line="576" w:lineRule="exact"/>
        <w:ind w:firstLine="640" w:firstLineChars="200"/>
        <w:textAlignment w:val="baseline"/>
        <w:rPr>
          <w:rFonts w:eastAsia="黑体"/>
          <w:bCs/>
          <w:snapToGrid w:val="0"/>
          <w:kern w:val="0"/>
          <w:szCs w:val="32"/>
        </w:rPr>
      </w:pPr>
      <w:bookmarkStart w:id="4" w:name="OLE_LINK19"/>
      <w:bookmarkStart w:id="5" w:name="OLE_LINK16"/>
      <w:r>
        <w:rPr>
          <w:rFonts w:eastAsia="黑体"/>
          <w:bCs/>
          <w:snapToGrid w:val="0"/>
          <w:kern w:val="0"/>
          <w:szCs w:val="32"/>
        </w:rPr>
        <w:t>二、拓展“一卡通”应用功能，提升民生服务品牌影响力</w:t>
      </w:r>
    </w:p>
    <w:p>
      <w:pPr>
        <w:adjustRightInd w:val="0"/>
        <w:snapToGrid w:val="0"/>
        <w:spacing w:line="576" w:lineRule="exact"/>
        <w:ind w:firstLine="640" w:firstLineChars="200"/>
        <w:rPr>
          <w:bCs/>
          <w:snapToGrid w:val="0"/>
          <w:kern w:val="0"/>
          <w:szCs w:val="32"/>
        </w:rPr>
      </w:pPr>
      <w:r>
        <w:rPr>
          <w:rFonts w:eastAsia="楷体_GB2312"/>
          <w:bCs/>
          <w:snapToGrid w:val="0"/>
          <w:kern w:val="0"/>
          <w:szCs w:val="32"/>
        </w:rPr>
        <w:t>（一）全面实现社会保障卡在人力资源社会保障领域的应用。</w:t>
      </w:r>
      <w:r>
        <w:rPr>
          <w:bCs/>
          <w:snapToGrid w:val="0"/>
          <w:kern w:val="0"/>
          <w:szCs w:val="32"/>
        </w:rPr>
        <w:t>强化办事身份凭证用卡、就业补贴和社保待遇进卡、考试缴费用卡，以及工伤医疗（康复）、辅助器具配置费用持卡结算等功能，全面实现在就业创业、社会保险、人才人事、劳动关系等板块的全业务用卡。在业务经办系统和自助服务渠道全面使用电子社会保障卡登录、查询、业务办理等，提升实名管理、资金监管和风险防控水平。鼓励各级人力资源社会保障部门探索开发更多应用功能。〔人力资源社会保障厅、各市（州）人民政府按职责分工负责〕</w:t>
      </w:r>
    </w:p>
    <w:p>
      <w:pPr>
        <w:autoSpaceDE w:val="0"/>
        <w:autoSpaceDN w:val="0"/>
        <w:adjustRightInd w:val="0"/>
        <w:snapToGrid w:val="0"/>
        <w:spacing w:line="576" w:lineRule="exact"/>
        <w:ind w:firstLine="640" w:firstLineChars="200"/>
        <w:rPr>
          <w:bCs/>
          <w:snapToGrid w:val="0"/>
          <w:kern w:val="0"/>
          <w:szCs w:val="32"/>
        </w:rPr>
      </w:pPr>
      <w:r>
        <w:rPr>
          <w:rFonts w:eastAsia="楷体_GB2312"/>
          <w:bCs/>
          <w:snapToGrid w:val="0"/>
          <w:kern w:val="0"/>
          <w:szCs w:val="32"/>
        </w:rPr>
        <w:t>（二）</w:t>
      </w:r>
      <w:bookmarkStart w:id="6" w:name="OLE_LINK45"/>
      <w:bookmarkStart w:id="7" w:name="OLE_LINK44"/>
      <w:r>
        <w:rPr>
          <w:rFonts w:eastAsia="楷体_GB2312"/>
          <w:bCs/>
          <w:snapToGrid w:val="0"/>
          <w:kern w:val="0"/>
          <w:szCs w:val="32"/>
        </w:rPr>
        <w:t>加快推进</w:t>
      </w:r>
      <w:bookmarkEnd w:id="6"/>
      <w:bookmarkEnd w:id="7"/>
      <w:r>
        <w:rPr>
          <w:rFonts w:eastAsia="楷体_GB2312"/>
          <w:bCs/>
          <w:snapToGrid w:val="0"/>
          <w:kern w:val="0"/>
          <w:szCs w:val="32"/>
        </w:rPr>
        <w:t>社会保障卡在政务服务领域的应用。</w:t>
      </w:r>
      <w:bookmarkEnd w:id="4"/>
      <w:r>
        <w:rPr>
          <w:bCs/>
          <w:snapToGrid w:val="0"/>
          <w:kern w:val="0"/>
          <w:szCs w:val="32"/>
        </w:rPr>
        <w:t>将社会保障卡作为群众办理公共服务、政务服务等事项的有效身份凭证，实现在全省各级政务服务大厅凭社会保障卡取号排队、业务办理、登录设备、电子证照获取等功能，推动减证便民。充分运用社会保障卡推广成果，打造“天府个人码”体系，通过电子社会保障卡授权登录四川政务服务网、天府通办APP等各级各类政务服务平台。</w:t>
      </w:r>
      <w:bookmarkStart w:id="8" w:name="OLE_LINK47"/>
      <w:bookmarkStart w:id="9" w:name="OLE_LINK46"/>
      <w:r>
        <w:rPr>
          <w:bCs/>
          <w:snapToGrid w:val="0"/>
          <w:kern w:val="0"/>
          <w:szCs w:val="32"/>
        </w:rPr>
        <w:t>〔省政务服务和资源交易服务中心、人力资源社会保障厅等及各市（州）人民政府按职责分工负责〕</w:t>
      </w:r>
      <w:bookmarkEnd w:id="8"/>
      <w:bookmarkEnd w:id="9"/>
    </w:p>
    <w:p>
      <w:pPr>
        <w:autoSpaceDE w:val="0"/>
        <w:autoSpaceDN w:val="0"/>
        <w:adjustRightInd w:val="0"/>
        <w:snapToGrid w:val="0"/>
        <w:spacing w:line="576" w:lineRule="exact"/>
        <w:ind w:firstLine="640" w:firstLineChars="200"/>
        <w:rPr>
          <w:bCs/>
          <w:snapToGrid w:val="0"/>
          <w:kern w:val="0"/>
          <w:szCs w:val="32"/>
        </w:rPr>
      </w:pPr>
      <w:bookmarkStart w:id="10" w:name="OLE_LINK20"/>
      <w:r>
        <w:rPr>
          <w:rFonts w:eastAsia="楷体_GB2312"/>
          <w:bCs/>
          <w:snapToGrid w:val="0"/>
          <w:kern w:val="0"/>
          <w:szCs w:val="32"/>
        </w:rPr>
        <w:t>（三）加快推进社会保障卡在资金发放领域的应用。</w:t>
      </w:r>
      <w:r>
        <w:rPr>
          <w:bCs/>
          <w:snapToGrid w:val="0"/>
          <w:kern w:val="0"/>
          <w:szCs w:val="32"/>
        </w:rPr>
        <w:t>实现全省到人到户的惠民惠农财政补贴资金、社会保险待遇（城乡医疗救助资金）、国家奖助学金、以工代赈项目劳务报酬、四川省大中型水库移民后期扶持直发直补资金等通过社会保障卡统一发放。鼓励农民工工资、财政供养人员工资、住房公积金、农业保险赔付费</w:t>
      </w:r>
      <w:r>
        <w:rPr>
          <w:rFonts w:hint="eastAsia"/>
          <w:bCs/>
          <w:snapToGrid w:val="0"/>
          <w:kern w:val="0"/>
          <w:szCs w:val="32"/>
        </w:rPr>
        <w:t>、</w:t>
      </w:r>
      <w:r>
        <w:rPr>
          <w:bCs/>
          <w:snapToGrid w:val="0"/>
          <w:kern w:val="0"/>
          <w:szCs w:val="32"/>
        </w:rPr>
        <w:t>职工互助保障计划赔付款等通过社会保障卡发放。〔财政厅、省发展改革委、教育厅、民政厅、住房城乡建设厅、水利厅、农业农村厅、省卫生健康委、退役军人事务厅、应急管理厅、省林草局、省医保局、国家金融监管总局四川监管局、省总工会等及各市（州）人民政府等按职责分工负责〕</w:t>
      </w:r>
    </w:p>
    <w:bookmarkEnd w:id="10"/>
    <w:p>
      <w:pPr>
        <w:adjustRightInd w:val="0"/>
        <w:snapToGrid w:val="0"/>
        <w:spacing w:line="576" w:lineRule="exact"/>
        <w:ind w:firstLine="640" w:firstLineChars="200"/>
        <w:rPr>
          <w:bCs/>
          <w:snapToGrid w:val="0"/>
          <w:kern w:val="0"/>
          <w:szCs w:val="32"/>
        </w:rPr>
      </w:pPr>
      <w:bookmarkStart w:id="11" w:name="OLE_LINK22"/>
      <w:r>
        <w:rPr>
          <w:rFonts w:eastAsia="楷体_GB2312"/>
          <w:bCs/>
          <w:snapToGrid w:val="0"/>
          <w:kern w:val="0"/>
          <w:szCs w:val="32"/>
        </w:rPr>
        <w:t>（四）加快推进社会保障卡在医疗卫生领域的应用。</w:t>
      </w:r>
      <w:r>
        <w:rPr>
          <w:bCs/>
          <w:snapToGrid w:val="0"/>
          <w:kern w:val="0"/>
          <w:szCs w:val="32"/>
        </w:rPr>
        <w:t>推进社会保障卡与电子健康卡融合使用，指导医疗机构做好系统改造和宣传引导工作，实现就医挂号、住院登记、诊疗取药、查询打印等医疗服务全流程用卡。实现群众使用社会保障卡办理基本医疗保险和生育保险参保登记、医保费用结算。〔省卫生健康委、省医保局、省中医药局等及各市（州）人民政府按职责分工负责〕</w:t>
      </w:r>
    </w:p>
    <w:p>
      <w:pPr>
        <w:adjustRightInd w:val="0"/>
        <w:snapToGrid w:val="0"/>
        <w:spacing w:line="576" w:lineRule="exact"/>
        <w:ind w:firstLine="640" w:firstLineChars="200"/>
        <w:rPr>
          <w:bCs/>
          <w:snapToGrid w:val="0"/>
          <w:kern w:val="0"/>
          <w:szCs w:val="32"/>
        </w:rPr>
      </w:pPr>
      <w:r>
        <w:rPr>
          <w:rFonts w:eastAsia="楷体_GB2312"/>
          <w:bCs/>
          <w:snapToGrid w:val="0"/>
          <w:kern w:val="0"/>
          <w:szCs w:val="32"/>
        </w:rPr>
        <w:t>（五）加快推进社会保障卡在交通出行领域的应用。</w:t>
      </w:r>
      <w:bookmarkEnd w:id="11"/>
      <w:r>
        <w:rPr>
          <w:bCs/>
          <w:snapToGrid w:val="0"/>
          <w:kern w:val="0"/>
          <w:szCs w:val="32"/>
        </w:rPr>
        <w:t>实现公交、地铁刷卡、扫码乘车等交通出行应用，鼓励通过社会保障卡提供乘车激励等优惠服务。</w:t>
      </w:r>
      <w:bookmarkStart w:id="12" w:name="OLE_LINK48"/>
      <w:bookmarkStart w:id="13" w:name="OLE_LINK49"/>
      <w:bookmarkStart w:id="14" w:name="OLE_LINK38"/>
      <w:r>
        <w:rPr>
          <w:bCs/>
          <w:snapToGrid w:val="0"/>
          <w:kern w:val="0"/>
          <w:szCs w:val="32"/>
        </w:rPr>
        <w:t>支持个人使用社会保障卡线下窗口查询驾驶证等信息。〔交通运输厅、公安厅、社会保障卡各服务银行等及各市（州）人民政府按职责分工负责〕</w:t>
      </w:r>
      <w:bookmarkEnd w:id="12"/>
      <w:bookmarkEnd w:id="13"/>
    </w:p>
    <w:bookmarkEnd w:id="14"/>
    <w:p>
      <w:pPr>
        <w:adjustRightInd w:val="0"/>
        <w:snapToGrid w:val="0"/>
        <w:spacing w:line="576" w:lineRule="exact"/>
        <w:ind w:firstLine="640" w:firstLineChars="200"/>
        <w:rPr>
          <w:bCs/>
          <w:snapToGrid w:val="0"/>
          <w:kern w:val="0"/>
          <w:szCs w:val="32"/>
        </w:rPr>
      </w:pPr>
      <w:r>
        <w:rPr>
          <w:rFonts w:eastAsia="楷体_GB2312"/>
          <w:bCs/>
          <w:snapToGrid w:val="0"/>
          <w:kern w:val="0"/>
          <w:szCs w:val="32"/>
        </w:rPr>
        <w:t>（六）加快推进社会保障卡在文化旅游领域的应用。</w:t>
      </w:r>
      <w:r>
        <w:rPr>
          <w:bCs/>
          <w:snapToGrid w:val="0"/>
          <w:kern w:val="0"/>
          <w:szCs w:val="32"/>
        </w:rPr>
        <w:t>实现社会保障卡闸机验证入园入馆等线上线下应用，并逐步覆盖至全省国有4A级以上</w:t>
      </w:r>
      <w:r>
        <w:rPr>
          <w:rFonts w:hint="eastAsia"/>
          <w:bCs/>
          <w:snapToGrid w:val="0"/>
          <w:kern w:val="0"/>
          <w:szCs w:val="32"/>
        </w:rPr>
        <w:t>收费</w:t>
      </w:r>
      <w:r>
        <w:rPr>
          <w:bCs/>
          <w:snapToGrid w:val="0"/>
          <w:kern w:val="0"/>
          <w:szCs w:val="32"/>
        </w:rPr>
        <w:t>旅游景区。实现社会保障卡作为进入公共图书馆、博物馆、科技馆等各类公共文化场所的身份凭证应用，融合读者借阅证功能，实现社会保障卡图书浏览、借书还书等应用。</w:t>
      </w:r>
      <w:bookmarkStart w:id="15" w:name="OLE_LINK50"/>
      <w:bookmarkStart w:id="16" w:name="OLE_LINK51"/>
      <w:r>
        <w:rPr>
          <w:bCs/>
          <w:snapToGrid w:val="0"/>
          <w:kern w:val="0"/>
          <w:szCs w:val="32"/>
        </w:rPr>
        <w:t>〔文化和旅游厅、省文物局、省科协等及各市（州）人民政府按职责分工负责〕</w:t>
      </w:r>
      <w:bookmarkEnd w:id="15"/>
      <w:bookmarkEnd w:id="16"/>
    </w:p>
    <w:p>
      <w:pPr>
        <w:adjustRightInd w:val="0"/>
        <w:snapToGrid w:val="0"/>
        <w:spacing w:line="576" w:lineRule="exact"/>
        <w:ind w:firstLine="640" w:firstLineChars="200"/>
        <w:rPr>
          <w:bCs/>
          <w:snapToGrid w:val="0"/>
          <w:kern w:val="0"/>
          <w:szCs w:val="32"/>
        </w:rPr>
      </w:pPr>
      <w:bookmarkStart w:id="17" w:name="OLE_LINK24"/>
      <w:r>
        <w:rPr>
          <w:rFonts w:eastAsia="楷体_GB2312"/>
          <w:bCs/>
          <w:snapToGrid w:val="0"/>
          <w:kern w:val="0"/>
          <w:szCs w:val="32"/>
        </w:rPr>
        <w:t>（七）加快推进社会保障卡在其他民生领域的应用。</w:t>
      </w:r>
      <w:bookmarkEnd w:id="17"/>
      <w:r>
        <w:rPr>
          <w:bCs/>
          <w:snapToGrid w:val="0"/>
          <w:kern w:val="0"/>
          <w:szCs w:val="32"/>
        </w:rPr>
        <w:t>充分发挥社会保障卡身份凭证、信息查询、金融支付等功能优势，实现残疾人服务、外国人来华工作许可证集成、生活缴费、</w:t>
      </w:r>
      <w:bookmarkStart w:id="18" w:name="OLE_LINK40"/>
      <w:r>
        <w:rPr>
          <w:bCs/>
          <w:snapToGrid w:val="0"/>
          <w:kern w:val="0"/>
          <w:szCs w:val="32"/>
        </w:rPr>
        <w:t>金融理财、</w:t>
      </w:r>
      <w:r>
        <w:rPr>
          <w:rFonts w:hint="eastAsia"/>
          <w:bCs/>
          <w:snapToGrid w:val="0"/>
          <w:kern w:val="0"/>
          <w:szCs w:val="32"/>
        </w:rPr>
        <w:t>助老养老服务、</w:t>
      </w:r>
      <w:r>
        <w:rPr>
          <w:bCs/>
          <w:snapToGrid w:val="0"/>
          <w:kern w:val="0"/>
          <w:szCs w:val="32"/>
        </w:rPr>
        <w:t>购物消费</w:t>
      </w:r>
      <w:bookmarkEnd w:id="18"/>
      <w:r>
        <w:rPr>
          <w:bCs/>
          <w:snapToGrid w:val="0"/>
          <w:kern w:val="0"/>
          <w:szCs w:val="32"/>
        </w:rPr>
        <w:t>等服务事项用卡。鼓励商业保险机构通过社会保障卡发放相关保险赔付费用。鼓励各地、企事业单位、社会组织等依托社会保障卡的基本功能，开发、融合其他便民服务，促进线上线下跨领域、跨行业集成应用。</w:t>
      </w:r>
      <w:bookmarkStart w:id="19" w:name="OLE_LINK53"/>
      <w:bookmarkStart w:id="20" w:name="OLE_LINK52"/>
      <w:r>
        <w:rPr>
          <w:bCs/>
          <w:snapToGrid w:val="0"/>
          <w:kern w:val="0"/>
          <w:szCs w:val="32"/>
        </w:rPr>
        <w:t>〔科技厅、</w:t>
      </w:r>
      <w:r>
        <w:rPr>
          <w:rFonts w:hint="eastAsia"/>
          <w:bCs/>
          <w:snapToGrid w:val="0"/>
          <w:kern w:val="0"/>
          <w:szCs w:val="32"/>
        </w:rPr>
        <w:t>民政厅、</w:t>
      </w:r>
      <w:r>
        <w:rPr>
          <w:bCs/>
          <w:snapToGrid w:val="0"/>
          <w:kern w:val="0"/>
          <w:szCs w:val="32"/>
        </w:rPr>
        <w:t>四川省税务局、国家金融监管总局四川监管局、省残联、社会保障卡各服务银行等及各市（州）人民政府按职责分工负责〕</w:t>
      </w:r>
    </w:p>
    <w:bookmarkEnd w:id="19"/>
    <w:bookmarkEnd w:id="20"/>
    <w:p>
      <w:pPr>
        <w:autoSpaceDE w:val="0"/>
        <w:autoSpaceDN w:val="0"/>
        <w:adjustRightInd w:val="0"/>
        <w:snapToGrid w:val="0"/>
        <w:spacing w:line="576" w:lineRule="exact"/>
        <w:ind w:firstLine="640" w:firstLineChars="200"/>
        <w:textAlignment w:val="baseline"/>
        <w:rPr>
          <w:rFonts w:eastAsia="黑体"/>
          <w:bCs/>
          <w:snapToGrid w:val="0"/>
          <w:kern w:val="0"/>
          <w:szCs w:val="32"/>
        </w:rPr>
      </w:pPr>
      <w:bookmarkStart w:id="21" w:name="OLE_LINK25"/>
      <w:r>
        <w:rPr>
          <w:rFonts w:eastAsia="黑体"/>
          <w:bCs/>
          <w:snapToGrid w:val="0"/>
          <w:kern w:val="0"/>
          <w:szCs w:val="32"/>
        </w:rPr>
        <w:t>三、强化“一卡通”基础设施，提升数字政府建设支撑力</w:t>
      </w:r>
    </w:p>
    <w:p>
      <w:pPr>
        <w:adjustRightInd w:val="0"/>
        <w:snapToGrid w:val="0"/>
        <w:spacing w:line="576" w:lineRule="exact"/>
        <w:ind w:firstLine="640" w:firstLineChars="200"/>
        <w:rPr>
          <w:bCs/>
          <w:snapToGrid w:val="0"/>
          <w:kern w:val="0"/>
          <w:szCs w:val="32"/>
        </w:rPr>
      </w:pPr>
      <w:bookmarkStart w:id="22" w:name="OLE_LINK84"/>
      <w:bookmarkStart w:id="23" w:name="OLE_LINK83"/>
      <w:r>
        <w:rPr>
          <w:rFonts w:eastAsia="楷体_GB2312"/>
          <w:bCs/>
          <w:snapToGrid w:val="0"/>
          <w:kern w:val="0"/>
          <w:szCs w:val="32"/>
        </w:rPr>
        <w:t>（八）完善</w:t>
      </w:r>
      <w:bookmarkStart w:id="24" w:name="OLE_LINK69"/>
      <w:bookmarkStart w:id="25" w:name="OLE_LINK68"/>
      <w:r>
        <w:rPr>
          <w:rFonts w:eastAsia="楷体_GB2312"/>
          <w:bCs/>
          <w:snapToGrid w:val="0"/>
          <w:kern w:val="0"/>
          <w:szCs w:val="32"/>
        </w:rPr>
        <w:t>平台建设</w:t>
      </w:r>
      <w:bookmarkEnd w:id="24"/>
      <w:bookmarkEnd w:id="25"/>
      <w:r>
        <w:rPr>
          <w:rFonts w:eastAsia="楷体_GB2312"/>
          <w:bCs/>
          <w:snapToGrid w:val="0"/>
          <w:kern w:val="0"/>
          <w:szCs w:val="32"/>
        </w:rPr>
        <w:t>。</w:t>
      </w:r>
      <w:r>
        <w:rPr>
          <w:bCs/>
          <w:snapToGrid w:val="0"/>
          <w:kern w:val="0"/>
          <w:szCs w:val="32"/>
        </w:rPr>
        <w:t>加强“一卡通”平台支撑能力建设，将“一卡通”平台纳入数字政府建设规划，做好系统建设、安全管理、运行维护的统一规划、统一设计，完善应用接入和用卡终端管理，支撑全省社会保障卡全生命周期管理。制定“一卡通”相关标准规范，对接全国社会保障卡服务平台、省政务服务一体化平台、</w:t>
      </w:r>
      <w:r>
        <w:rPr>
          <w:rFonts w:hint="eastAsia"/>
          <w:bCs/>
          <w:snapToGrid w:val="0"/>
          <w:kern w:val="0"/>
          <w:szCs w:val="32"/>
        </w:rPr>
        <w:t>省一体化数据平台、</w:t>
      </w:r>
      <w:r>
        <w:rPr>
          <w:bCs/>
          <w:snapToGrid w:val="0"/>
          <w:kern w:val="0"/>
          <w:szCs w:val="32"/>
        </w:rPr>
        <w:t>相关部门业务应用系统以及合作金融机构信息系统等，推进“一卡通”应用底座支撑和应用服务生态搭建等，并统一赋能。支持有条件的市（州）建立本地“一卡通”应用接入平台，支撑“一卡通”应用功能创新拓展。〔人力资源社会保障厅、省政务服务和资源交易服务中心、省发展改革委</w:t>
      </w:r>
      <w:r>
        <w:rPr>
          <w:rFonts w:hint="eastAsia"/>
          <w:bCs/>
          <w:snapToGrid w:val="0"/>
          <w:kern w:val="0"/>
          <w:szCs w:val="32"/>
        </w:rPr>
        <w:t>（省数据局）</w:t>
      </w:r>
      <w:r>
        <w:rPr>
          <w:bCs/>
          <w:snapToGrid w:val="0"/>
          <w:kern w:val="0"/>
          <w:szCs w:val="32"/>
        </w:rPr>
        <w:t>、社会保障卡应用各有关省直部门（单位）、社会保障卡各服务银行等及各市（州）人民政府按职责分工负责〕</w:t>
      </w:r>
    </w:p>
    <w:bookmarkEnd w:id="22"/>
    <w:bookmarkEnd w:id="23"/>
    <w:p>
      <w:pPr>
        <w:adjustRightInd w:val="0"/>
        <w:snapToGrid w:val="0"/>
        <w:spacing w:line="576" w:lineRule="exact"/>
        <w:ind w:firstLine="640" w:firstLineChars="200"/>
        <w:rPr>
          <w:bCs/>
          <w:snapToGrid w:val="0"/>
          <w:kern w:val="0"/>
          <w:szCs w:val="32"/>
        </w:rPr>
      </w:pPr>
      <w:bookmarkStart w:id="26" w:name="OLE_LINK88"/>
      <w:bookmarkStart w:id="27" w:name="OLE_LINK87"/>
      <w:r>
        <w:rPr>
          <w:rFonts w:eastAsia="楷体_GB2312"/>
          <w:bCs/>
          <w:snapToGrid w:val="0"/>
          <w:kern w:val="0"/>
          <w:szCs w:val="32"/>
        </w:rPr>
        <w:t>（九）</w:t>
      </w:r>
      <w:bookmarkEnd w:id="26"/>
      <w:bookmarkEnd w:id="27"/>
      <w:r>
        <w:rPr>
          <w:rFonts w:eastAsia="楷体_GB2312"/>
          <w:bCs/>
          <w:snapToGrid w:val="0"/>
          <w:kern w:val="0"/>
          <w:szCs w:val="32"/>
        </w:rPr>
        <w:t>强化场景端建设。</w:t>
      </w:r>
      <w:r>
        <w:rPr>
          <w:bCs/>
          <w:snapToGrid w:val="0"/>
          <w:kern w:val="0"/>
          <w:szCs w:val="32"/>
        </w:rPr>
        <w:t>以省级“一卡通”平台为总枢纽，通过省级总对总、市级补点扩面等方式接入各领域用卡需求，形成上下贯通的应用体系，支撑“一号一卡一码”用卡服务。在电子社保卡、天府通办APP，政务服务平台等设立“一卡通”服务专区，</w:t>
      </w:r>
      <w:r>
        <w:rPr>
          <w:rFonts w:hint="eastAsia"/>
          <w:bCs/>
          <w:snapToGrid w:val="0"/>
          <w:kern w:val="0"/>
          <w:szCs w:val="32"/>
        </w:rPr>
        <w:t>建设</w:t>
      </w:r>
      <w:r>
        <w:rPr>
          <w:bCs/>
          <w:snapToGrid w:val="0"/>
          <w:kern w:val="0"/>
          <w:szCs w:val="32"/>
        </w:rPr>
        <w:t>“</w:t>
      </w:r>
      <w:r>
        <w:rPr>
          <w:rFonts w:hint="eastAsia"/>
          <w:bCs/>
          <w:snapToGrid w:val="0"/>
          <w:kern w:val="0"/>
          <w:szCs w:val="32"/>
        </w:rPr>
        <w:t>一卡通</w:t>
      </w:r>
      <w:r>
        <w:rPr>
          <w:bCs/>
          <w:snapToGrid w:val="0"/>
          <w:kern w:val="0"/>
          <w:szCs w:val="32"/>
        </w:rPr>
        <w:t>”APP</w:t>
      </w:r>
      <w:r>
        <w:rPr>
          <w:rFonts w:hint="eastAsia"/>
          <w:bCs/>
          <w:snapToGrid w:val="0"/>
          <w:kern w:val="0"/>
          <w:szCs w:val="32"/>
        </w:rPr>
        <w:t>和小程序，</w:t>
      </w:r>
      <w:r>
        <w:rPr>
          <w:bCs/>
          <w:snapToGrid w:val="0"/>
          <w:kern w:val="0"/>
          <w:szCs w:val="32"/>
        </w:rPr>
        <w:t>为群众提供应用目录、场景机构查询、线上办事、咨询、缴费支付等应用集成服务，推动实现各类自然人和法人的用卡场景拓展。〔人力资源社会保障厅、省委网信办、省政务服务和资源交易服务中心、社会保障卡应用各有关省直部门（单位）及各市（州）人民政府按职责分工负责〕</w:t>
      </w:r>
    </w:p>
    <w:p>
      <w:pPr>
        <w:adjustRightInd w:val="0"/>
        <w:snapToGrid w:val="0"/>
        <w:spacing w:line="576" w:lineRule="exact"/>
        <w:ind w:firstLine="640" w:firstLineChars="200"/>
        <w:rPr>
          <w:bCs/>
          <w:snapToGrid w:val="0"/>
          <w:kern w:val="0"/>
          <w:szCs w:val="32"/>
        </w:rPr>
      </w:pPr>
      <w:r>
        <w:rPr>
          <w:rFonts w:eastAsia="楷体_GB2312"/>
          <w:bCs/>
          <w:snapToGrid w:val="0"/>
          <w:kern w:val="0"/>
          <w:szCs w:val="32"/>
        </w:rPr>
        <w:t>（十）提升卡服务能力。</w:t>
      </w:r>
      <w:bookmarkEnd w:id="21"/>
      <w:r>
        <w:rPr>
          <w:bCs/>
          <w:snapToGrid w:val="0"/>
          <w:kern w:val="0"/>
          <w:szCs w:val="32"/>
        </w:rPr>
        <w:t>加大社会保障卡发行力度，做到应发尽发。持续完善社会保障卡服务体系，提升跨区域通办服务能力，为群众提供“全省通办”“川渝通办”“跨省通办”服务。坚持线上线下并行，深化服务网点就近办、线上渠道掌上办，大力推动社会保障卡线下申领立等可取和线上申领补换、“新生儿出生一件事”“退役军人服务一件事”等社会保障卡申领联办。</w:t>
      </w:r>
      <w:bookmarkStart w:id="28" w:name="OLE_LINK56"/>
      <w:bookmarkStart w:id="29" w:name="OLE_LINK57"/>
      <w:r>
        <w:rPr>
          <w:bCs/>
          <w:snapToGrid w:val="0"/>
          <w:kern w:val="0"/>
          <w:szCs w:val="32"/>
        </w:rPr>
        <w:t>鼓励商业保险机构探索提供社会保障卡使用多元化风险保障产品。〔人力资源社会保障厅、省卫生健康委、退役军人事务厅、国家金融监管总局四川监管局、社会保障卡各服务银行</w:t>
      </w:r>
      <w:bookmarkStart w:id="30" w:name="OLE_LINK61"/>
      <w:bookmarkStart w:id="31" w:name="OLE_LINK60"/>
      <w:r>
        <w:rPr>
          <w:bCs/>
          <w:snapToGrid w:val="0"/>
          <w:kern w:val="0"/>
          <w:szCs w:val="32"/>
        </w:rPr>
        <w:t>及各市（州）人民政府按职责分工负责</w:t>
      </w:r>
      <w:bookmarkEnd w:id="30"/>
      <w:bookmarkEnd w:id="31"/>
      <w:r>
        <w:rPr>
          <w:bCs/>
          <w:snapToGrid w:val="0"/>
          <w:kern w:val="0"/>
          <w:szCs w:val="32"/>
        </w:rPr>
        <w:t>〕</w:t>
      </w:r>
      <w:bookmarkEnd w:id="28"/>
      <w:bookmarkEnd w:id="29"/>
    </w:p>
    <w:bookmarkEnd w:id="5"/>
    <w:p>
      <w:pPr>
        <w:adjustRightInd w:val="0"/>
        <w:snapToGrid w:val="0"/>
        <w:spacing w:line="576" w:lineRule="exact"/>
        <w:ind w:firstLine="640" w:firstLineChars="200"/>
        <w:rPr>
          <w:rFonts w:eastAsia="黑体"/>
          <w:bCs/>
          <w:snapToGrid w:val="0"/>
          <w:kern w:val="0"/>
          <w:szCs w:val="32"/>
        </w:rPr>
      </w:pPr>
      <w:bookmarkStart w:id="32" w:name="OLE_LINK26"/>
      <w:bookmarkStart w:id="33" w:name="OLE_LINK13"/>
      <w:bookmarkStart w:id="34" w:name="OLE_LINK1"/>
      <w:r>
        <w:rPr>
          <w:rFonts w:eastAsia="黑体"/>
          <w:bCs/>
          <w:snapToGrid w:val="0"/>
          <w:kern w:val="0"/>
          <w:szCs w:val="32"/>
        </w:rPr>
        <w:t>四、深化“一卡通”共享赋能，提升经济治理改革牵引力</w:t>
      </w:r>
    </w:p>
    <w:p>
      <w:pPr>
        <w:pStyle w:val="29"/>
        <w:adjustRightInd w:val="0"/>
        <w:snapToGrid w:val="0"/>
        <w:spacing w:line="576" w:lineRule="exact"/>
        <w:ind w:firstLine="640"/>
        <w:rPr>
          <w:rFonts w:ascii="Times New Roman" w:hAnsi="Times New Roman" w:eastAsia="仿宋_GB2312"/>
          <w:bCs/>
          <w:snapToGrid w:val="0"/>
          <w:kern w:val="0"/>
          <w:sz w:val="32"/>
          <w:szCs w:val="32"/>
        </w:rPr>
      </w:pPr>
      <w:r>
        <w:rPr>
          <w:rFonts w:ascii="Times New Roman" w:hAnsi="Times New Roman" w:eastAsia="楷体_GB2312"/>
          <w:bCs/>
          <w:snapToGrid w:val="0"/>
          <w:kern w:val="0"/>
          <w:sz w:val="32"/>
          <w:szCs w:val="32"/>
        </w:rPr>
        <w:t>（十一）加强数据归集整合。</w:t>
      </w:r>
      <w:bookmarkEnd w:id="32"/>
      <w:bookmarkStart w:id="35" w:name="OLE_LINK59"/>
      <w:bookmarkStart w:id="36" w:name="OLE_LINK58"/>
      <w:r>
        <w:rPr>
          <w:rFonts w:ascii="Times New Roman" w:hAnsi="Times New Roman" w:eastAsia="仿宋_GB2312"/>
          <w:bCs/>
          <w:snapToGrid w:val="0"/>
          <w:kern w:val="0"/>
          <w:sz w:val="32"/>
          <w:szCs w:val="32"/>
        </w:rPr>
        <w:t>制定应用数据归集指标，将各地区各部门在身份凭证、资金发放、金融支付等方面的“一卡通”应用数据归集入库，实现应用和数据的闭环管理，进一步丰富数字政府场景，增强“一卡通”服务能力。〔人力资源社会保障厅、社会保障卡应用各有关省直部门（单位）及各市（州）人民政府按职责分工负责〕</w:t>
      </w:r>
      <w:bookmarkEnd w:id="35"/>
      <w:bookmarkEnd w:id="36"/>
    </w:p>
    <w:p>
      <w:pPr>
        <w:pStyle w:val="29"/>
        <w:adjustRightInd w:val="0"/>
        <w:snapToGrid w:val="0"/>
        <w:spacing w:line="576" w:lineRule="exact"/>
        <w:ind w:firstLine="640"/>
        <w:rPr>
          <w:rFonts w:ascii="Times New Roman" w:hAnsi="Times New Roman" w:eastAsia="仿宋_GB2312"/>
          <w:bCs/>
          <w:snapToGrid w:val="0"/>
          <w:kern w:val="0"/>
          <w:sz w:val="32"/>
          <w:szCs w:val="32"/>
        </w:rPr>
      </w:pPr>
      <w:bookmarkStart w:id="37" w:name="OLE_LINK27"/>
      <w:r>
        <w:rPr>
          <w:rFonts w:ascii="Times New Roman" w:hAnsi="Times New Roman" w:eastAsia="楷体_GB2312"/>
          <w:bCs/>
          <w:snapToGrid w:val="0"/>
          <w:kern w:val="0"/>
          <w:sz w:val="32"/>
          <w:szCs w:val="32"/>
        </w:rPr>
        <w:t>（十二）促进数据开发应用。</w:t>
      </w:r>
      <w:bookmarkEnd w:id="37"/>
      <w:bookmarkStart w:id="38" w:name="OLE_LINK28"/>
      <w:bookmarkStart w:id="39" w:name="OLE_LINK29"/>
      <w:r>
        <w:rPr>
          <w:rFonts w:ascii="Times New Roman" w:hAnsi="Times New Roman" w:eastAsia="仿宋_GB2312"/>
          <w:bCs/>
          <w:snapToGrid w:val="0"/>
          <w:kern w:val="0"/>
          <w:sz w:val="32"/>
          <w:szCs w:val="32"/>
        </w:rPr>
        <w:t>开展“一卡通”数据治理，完善持卡人和应用基础数据，全面提升数据质量。构建“一卡通”数据模型，强化数据分析应用，实现应用监控和数据可视化。建立持卡人权益清单，为群众提供需求感知和精准服务，提高数据利用水平。〔人力资源社会保障厅、社会保障卡应用各有关省直部门（单位）及各市（州）人民政府按职责分工负责〕</w:t>
      </w:r>
    </w:p>
    <w:p>
      <w:pPr>
        <w:pStyle w:val="29"/>
        <w:adjustRightInd w:val="0"/>
        <w:snapToGrid w:val="0"/>
        <w:spacing w:line="576" w:lineRule="exact"/>
        <w:ind w:firstLine="640"/>
        <w:rPr>
          <w:rFonts w:ascii="Times New Roman" w:hAnsi="Times New Roman" w:eastAsia="仿宋_GB2312"/>
          <w:bCs/>
          <w:snapToGrid w:val="0"/>
          <w:kern w:val="0"/>
          <w:sz w:val="32"/>
          <w:szCs w:val="32"/>
        </w:rPr>
      </w:pPr>
      <w:r>
        <w:rPr>
          <w:rFonts w:ascii="Times New Roman" w:hAnsi="Times New Roman" w:eastAsia="楷体_GB2312"/>
          <w:bCs/>
          <w:snapToGrid w:val="0"/>
          <w:kern w:val="0"/>
          <w:sz w:val="32"/>
          <w:szCs w:val="32"/>
        </w:rPr>
        <w:t>（十三）强化数据共享赋能。</w:t>
      </w:r>
      <w:r>
        <w:rPr>
          <w:rFonts w:ascii="Times New Roman" w:hAnsi="Times New Roman" w:eastAsia="仿宋_GB2312"/>
          <w:bCs/>
          <w:snapToGrid w:val="0"/>
          <w:kern w:val="0"/>
          <w:sz w:val="32"/>
          <w:szCs w:val="32"/>
        </w:rPr>
        <w:t>围绕“一卡通”应用，</w:t>
      </w:r>
      <w:r>
        <w:rPr>
          <w:rFonts w:hint="eastAsia" w:ascii="Times New Roman" w:hAnsi="Times New Roman" w:eastAsia="仿宋_GB2312"/>
          <w:bCs/>
          <w:snapToGrid w:val="0"/>
          <w:kern w:val="0"/>
          <w:sz w:val="32"/>
          <w:szCs w:val="32"/>
        </w:rPr>
        <w:t>依托省一体化数据平台</w:t>
      </w:r>
      <w:r>
        <w:rPr>
          <w:rFonts w:ascii="Times New Roman" w:hAnsi="Times New Roman" w:eastAsia="仿宋_GB2312"/>
          <w:bCs/>
          <w:snapToGrid w:val="0"/>
          <w:kern w:val="0"/>
          <w:sz w:val="32"/>
          <w:szCs w:val="32"/>
        </w:rPr>
        <w:t>建立跨部门、跨区域的社会保障卡数据共建共享和业务协同机制，以数据为驱动，支撑创新应用，推进“一卡通”应用数据向相关地区和部门赋能，提升经济治理精细化管理、精细化服务能力，为政府部门政策制定、社会治理、高质量发展提供数据支撑。</w:t>
      </w:r>
      <w:bookmarkStart w:id="40" w:name="OLE_LINK62"/>
      <w:bookmarkStart w:id="41" w:name="OLE_LINK63"/>
      <w:r>
        <w:rPr>
          <w:rFonts w:ascii="Times New Roman" w:hAnsi="Times New Roman" w:eastAsia="仿宋_GB2312"/>
          <w:bCs/>
          <w:snapToGrid w:val="0"/>
          <w:kern w:val="0"/>
          <w:sz w:val="32"/>
          <w:szCs w:val="32"/>
        </w:rPr>
        <w:t>〔人力资源社会保障厅、</w:t>
      </w:r>
      <w:r>
        <w:rPr>
          <w:rFonts w:hint="eastAsia" w:ascii="Times New Roman" w:hAnsi="Times New Roman" w:eastAsia="仿宋_GB2312"/>
          <w:bCs/>
          <w:snapToGrid w:val="0"/>
          <w:kern w:val="0"/>
          <w:sz w:val="32"/>
          <w:szCs w:val="32"/>
        </w:rPr>
        <w:t>省发展改革委（省数据局）、</w:t>
      </w:r>
      <w:r>
        <w:rPr>
          <w:rFonts w:ascii="Times New Roman" w:hAnsi="Times New Roman" w:eastAsia="仿宋_GB2312"/>
          <w:bCs/>
          <w:snapToGrid w:val="0"/>
          <w:kern w:val="0"/>
          <w:sz w:val="32"/>
          <w:szCs w:val="32"/>
        </w:rPr>
        <w:t>社会保障卡应用有关省直部门（单位）及各市（州）人民政府按职责分工负责〕</w:t>
      </w:r>
      <w:bookmarkEnd w:id="40"/>
      <w:bookmarkEnd w:id="41"/>
    </w:p>
    <w:bookmarkEnd w:id="33"/>
    <w:bookmarkEnd w:id="34"/>
    <w:bookmarkEnd w:id="38"/>
    <w:bookmarkEnd w:id="39"/>
    <w:p>
      <w:pPr>
        <w:adjustRightInd w:val="0"/>
        <w:snapToGrid w:val="0"/>
        <w:spacing w:line="576" w:lineRule="exact"/>
        <w:ind w:firstLine="640" w:firstLineChars="200"/>
        <w:rPr>
          <w:rFonts w:eastAsia="黑体"/>
          <w:bCs/>
          <w:snapToGrid w:val="0"/>
          <w:kern w:val="0"/>
          <w:szCs w:val="32"/>
        </w:rPr>
      </w:pPr>
      <w:bookmarkStart w:id="42" w:name="OLE_LINK32"/>
      <w:r>
        <w:rPr>
          <w:rFonts w:eastAsia="黑体"/>
          <w:bCs/>
          <w:snapToGrid w:val="0"/>
          <w:kern w:val="0"/>
          <w:szCs w:val="32"/>
        </w:rPr>
        <w:t>五、保障措施</w:t>
      </w:r>
    </w:p>
    <w:p>
      <w:pPr>
        <w:pStyle w:val="29"/>
        <w:adjustRightInd w:val="0"/>
        <w:snapToGrid w:val="0"/>
        <w:spacing w:line="576" w:lineRule="exact"/>
        <w:ind w:firstLine="640"/>
        <w:rPr>
          <w:rFonts w:ascii="Times New Roman" w:hAnsi="Times New Roman" w:eastAsia="仿宋_GB2312"/>
          <w:bCs/>
          <w:snapToGrid w:val="0"/>
          <w:kern w:val="0"/>
          <w:sz w:val="32"/>
          <w:szCs w:val="32"/>
        </w:rPr>
      </w:pPr>
      <w:r>
        <w:rPr>
          <w:rFonts w:ascii="Times New Roman" w:hAnsi="Times New Roman" w:eastAsia="楷体_GB2312"/>
          <w:bCs/>
          <w:snapToGrid w:val="0"/>
          <w:kern w:val="0"/>
          <w:sz w:val="32"/>
          <w:szCs w:val="32"/>
        </w:rPr>
        <w:t>（十四）加强组织实施与协同联动。</w:t>
      </w:r>
      <w:r>
        <w:rPr>
          <w:rFonts w:ascii="Times New Roman" w:hAnsi="Times New Roman" w:eastAsia="仿宋_GB2312"/>
          <w:bCs/>
          <w:snapToGrid w:val="0"/>
          <w:kern w:val="0"/>
          <w:sz w:val="32"/>
          <w:szCs w:val="32"/>
        </w:rPr>
        <w:t>建立社会保障卡“一卡通”省级部门会议会商机制，强化统筹推进，将社会保障卡“一卡通”纳入数字政府重点应用场景建设高位推动。全省要形成合力，高效推进，并健全川渝社会保障卡“一卡通”协同工作机制，完善配套政策，统一应用场景，确保跨区域业务协同顺利进行，实现社会保障卡互认互通。省直各有关部门（单位）需按照职责分工，细致梳理用卡需求，优化业务规程，推进用卡环境改造，并加强对各地的业务指导。各级人民政府要建立本级工作推进机制，细化工作措施，定期研究并着力解决问题，确保各项任务落地见效。〔人力资源社会保障厅、省政务服务和资源交易服务中心、社会保障卡应用有关省直部门（单位）及各市（州）人民政府按职责分工负责〕</w:t>
      </w:r>
    </w:p>
    <w:p>
      <w:pPr>
        <w:pStyle w:val="30"/>
        <w:widowControl w:val="0"/>
        <w:adjustRightInd w:val="0"/>
        <w:snapToGrid w:val="0"/>
        <w:spacing w:line="576" w:lineRule="exact"/>
        <w:ind w:firstLine="640" w:firstLineChars="200"/>
        <w:rPr>
          <w:bCs/>
          <w:snapToGrid w:val="0"/>
          <w:szCs w:val="32"/>
        </w:rPr>
      </w:pPr>
      <w:r>
        <w:rPr>
          <w:rFonts w:eastAsia="楷体_GB2312"/>
          <w:bCs/>
          <w:snapToGrid w:val="0"/>
          <w:szCs w:val="32"/>
        </w:rPr>
        <w:t>（十五）强化要素保障与宣传引导。</w:t>
      </w:r>
      <w:r>
        <w:rPr>
          <w:bCs/>
          <w:snapToGrid w:val="0"/>
          <w:szCs w:val="32"/>
        </w:rPr>
        <w:t>各地应建立健全社会保障卡“一卡通”联防联治的用卡安全防护体系，制定社会保障卡发行管理、经办服务、应用管理等制度，明确网络与数据安全管理责任，依法依规使用社会保障卡信息，严防数据泄露，切实保障数据安全。强化技术力量配备和队伍建设，加大财政资金支持力度，为社会保障卡“一卡通”场景建设、应用推广、经办服务、信息化建设等工作提供坚实保障。注重传统服务与智能化服务创新并行，为老年人、残疾人等特殊群体提供无障碍服务。各地各有关部门要充分利用传统媒体和新媒体，广泛宣传社会保障卡功能、应用场景及服务流程，提高群众用卡积极性</w:t>
      </w:r>
      <w:r>
        <w:rPr>
          <w:rFonts w:hint="eastAsia"/>
          <w:bCs/>
          <w:snapToGrid w:val="0"/>
          <w:szCs w:val="32"/>
        </w:rPr>
        <w:t>、</w:t>
      </w:r>
      <w:r>
        <w:rPr>
          <w:bCs/>
          <w:snapToGrid w:val="0"/>
          <w:szCs w:val="32"/>
        </w:rPr>
        <w:t>主动性</w:t>
      </w:r>
      <w:r>
        <w:rPr>
          <w:rFonts w:hint="eastAsia"/>
          <w:bCs/>
          <w:snapToGrid w:val="0"/>
          <w:szCs w:val="32"/>
        </w:rPr>
        <w:t>和安全性</w:t>
      </w:r>
      <w:r>
        <w:rPr>
          <w:bCs/>
          <w:snapToGrid w:val="0"/>
          <w:szCs w:val="32"/>
        </w:rPr>
        <w:t>。人力资源社会保障厅要及时发布社会保障卡“一卡通”目录清单，优化服务流程，总结推广典型经验，不断提升服务能力。〔人力资源社会保障厅、省委组织部、省委编办、省发展改革委、财政厅、社会保障卡应用有关省直部门（单位）及各市（州）人民政府按职责分工负</w:t>
      </w:r>
      <w:bookmarkEnd w:id="42"/>
      <w:r>
        <w:rPr>
          <w:rFonts w:hint="eastAsia"/>
          <w:bCs/>
          <w:snapToGrid w:val="0"/>
          <w:szCs w:val="32"/>
        </w:rPr>
        <w:t>责</w:t>
      </w:r>
      <w:r>
        <w:rPr>
          <w:bCs/>
          <w:snapToGrid w:val="0"/>
          <w:szCs w:val="32"/>
        </w:rPr>
        <w:t>〕</w:t>
      </w:r>
    </w:p>
    <w:p>
      <w:pPr>
        <w:adjustRightInd w:val="0"/>
        <w:snapToGrid w:val="0"/>
        <w:ind w:firstLine="0"/>
        <w:rPr>
          <w:snapToGrid w:val="0"/>
          <w:kern w:val="0"/>
        </w:rPr>
      </w:pPr>
    </w:p>
    <w:sectPr>
      <w:footerReference r:id="rId7" w:type="first"/>
      <w:footerReference r:id="rId5" w:type="default"/>
      <w:footerReference r:id="rId6" w:type="even"/>
      <w:pgSz w:w="11906" w:h="16838"/>
      <w:pgMar w:top="2098" w:right="1474" w:bottom="1985" w:left="1588" w:header="851" w:footer="1418" w:gutter="0"/>
      <w:cols w:space="425" w:num="1"/>
      <w:titlePg/>
      <w:docGrid w:type="linesAndChar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Verdana">
    <w:altName w:val="DejaVu Sans"/>
    <w:panose1 w:val="020B0604030504040204"/>
    <w:charset w:val="00"/>
    <w:family w:val="swiss"/>
    <w:pitch w:val="default"/>
    <w:sig w:usb0="00000000" w:usb1="00000000" w:usb2="00000010" w:usb3="00000000" w:csb0="0000019F" w:csb1="00000000"/>
  </w:font>
  <w:font w:name="DejaVu Sans">
    <w:panose1 w:val="020B0603030804020204"/>
    <w:charset w:val="00"/>
    <w:family w:val="auto"/>
    <w:pitch w:val="default"/>
    <w:sig w:usb0="E7006EFF" w:usb1="D200FDFF" w:usb2="0A246029" w:usb3="0400200C" w:csb0="600001FF" w:csb1="DFFF0000"/>
  </w:font>
  <w:font w:name="Noto Sans CJK JP Bold">
    <w:panose1 w:val="020B0800000000000000"/>
    <w:charset w:val="86"/>
    <w:family w:val="auto"/>
    <w:pitch w:val="default"/>
    <w:sig w:usb0="30000003" w:usb1="2BDF3C10" w:usb2="00000016" w:usb3="00000000" w:csb0="602E010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wordWrap w:val="0"/>
      <w:jc w:val="center"/>
      <w:rPr>
        <w:rFonts w:asciiTheme="minorEastAsia" w:hAnsiTheme="minorEastAsia" w:eastAsiaTheme="minorEastAsia"/>
        <w:sz w:val="28"/>
        <w:szCs w:val="28"/>
      </w:rPr>
    </w:pPr>
    <w:sdt>
      <w:sdtPr>
        <w:id w:val="23450382"/>
        <w:docPartObj>
          <w:docPartGallery w:val="AutoText"/>
        </w:docPartObj>
      </w:sdtPr>
      <w:sdtEndPr>
        <w:rPr>
          <w:rFonts w:asciiTheme="minorEastAsia" w:hAnsiTheme="minorEastAsia" w:eastAsiaTheme="minorEastAsia"/>
          <w:sz w:val="28"/>
          <w:szCs w:val="28"/>
        </w:rPr>
      </w:sdtEndPr>
      <w:sdtContent>
        <w:r>
          <w:rPr>
            <w:rFonts w:hint="eastAsia" w:asciiTheme="minorEastAsia" w:hAnsiTheme="minorEastAsia" w:eastAsiaTheme="minorEastAsia"/>
            <w:sz w:val="28"/>
            <w:szCs w:val="28"/>
          </w:rPr>
          <w:t xml:space="preserve">－ </w:t>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PAGE   \* MERGEFORMAT</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3</w:t>
        </w:r>
        <w:r>
          <w:rPr>
            <w:rFonts w:asciiTheme="minorEastAsia" w:hAnsiTheme="minorEastAsia" w:eastAsiaTheme="minorEastAsia"/>
            <w:sz w:val="28"/>
            <w:szCs w:val="28"/>
          </w:rPr>
          <w:fldChar w:fldCharType="end"/>
        </w:r>
      </w:sdtContent>
    </w:sdt>
    <w:r>
      <w:rPr>
        <w:rFonts w:hint="eastAsia" w:asciiTheme="minorEastAsia" w:hAnsiTheme="minorEastAsia" w:eastAsiaTheme="minorEastAsia"/>
        <w:sz w:val="28"/>
        <w:szCs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3450381"/>
      <w:docPartObj>
        <w:docPartGallery w:val="AutoText"/>
      </w:docPartObj>
    </w:sdtPr>
    <w:sdtEndPr>
      <w:rPr>
        <w:rFonts w:asciiTheme="minorEastAsia" w:hAnsiTheme="minorEastAsia" w:eastAsiaTheme="minorEastAsia"/>
        <w:sz w:val="28"/>
        <w:szCs w:val="28"/>
      </w:rPr>
    </w:sdtEndPr>
    <w:sdtContent>
      <w:p>
        <w:pPr>
          <w:pStyle w:val="6"/>
          <w:ind w:firstLine="180" w:firstLineChars="100"/>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w:t>
        </w: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PAGE   \* MERGEFORMAT</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6</w:t>
        </w:r>
        <w:r>
          <w:rPr>
            <w:rFonts w:asciiTheme="minorEastAsia" w:hAnsiTheme="minorEastAsia" w:eastAsiaTheme="minorEastAsia"/>
            <w:sz w:val="28"/>
            <w:szCs w:val="28"/>
          </w:rPr>
          <w:fldChar w:fldCharType="end"/>
        </w:r>
        <w:r>
          <w:rPr>
            <w:rFonts w:hint="eastAsia" w:asciiTheme="minorEastAsia" w:hAnsiTheme="minorEastAsia" w:eastAsiaTheme="minorEastAsia"/>
            <w:sz w:val="28"/>
            <w:szCs w:val="28"/>
          </w:rPr>
          <w:t>－</w:t>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true"/>
  <w:bordersDoNotSurroundFooter w:val="true"/>
  <w:documentProtection w:enforcement="0"/>
  <w:defaultTabStop w:val="425"/>
  <w:evenAndOddHeaders w:val="true"/>
  <w:drawingGridHorizontalSpacing w:val="158"/>
  <w:drawingGridVerticalSpacing w:val="579"/>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useFELayout/>
    <w:compatSetting w:name="compatibilityMode" w:uri="http://schemas.microsoft.com/office/word" w:val="12"/>
  </w:compat>
  <w:rsids>
    <w:rsidRoot w:val="004C4647"/>
    <w:rsid w:val="000009CA"/>
    <w:rsid w:val="000122E1"/>
    <w:rsid w:val="00013075"/>
    <w:rsid w:val="00017579"/>
    <w:rsid w:val="00021586"/>
    <w:rsid w:val="00026931"/>
    <w:rsid w:val="00043548"/>
    <w:rsid w:val="000442A4"/>
    <w:rsid w:val="00046280"/>
    <w:rsid w:val="00051812"/>
    <w:rsid w:val="0005290D"/>
    <w:rsid w:val="00060BEF"/>
    <w:rsid w:val="000659D6"/>
    <w:rsid w:val="000712AA"/>
    <w:rsid w:val="00082076"/>
    <w:rsid w:val="00097530"/>
    <w:rsid w:val="000A088F"/>
    <w:rsid w:val="000A7881"/>
    <w:rsid w:val="000A7BBD"/>
    <w:rsid w:val="000C024E"/>
    <w:rsid w:val="000C559F"/>
    <w:rsid w:val="000D326C"/>
    <w:rsid w:val="000E0814"/>
    <w:rsid w:val="000E6F4D"/>
    <w:rsid w:val="000F4B15"/>
    <w:rsid w:val="001042BA"/>
    <w:rsid w:val="00110F4E"/>
    <w:rsid w:val="00113353"/>
    <w:rsid w:val="00117F0A"/>
    <w:rsid w:val="001325AC"/>
    <w:rsid w:val="0013410A"/>
    <w:rsid w:val="0014373C"/>
    <w:rsid w:val="0014545C"/>
    <w:rsid w:val="00146D4D"/>
    <w:rsid w:val="00146F18"/>
    <w:rsid w:val="00156129"/>
    <w:rsid w:val="00167126"/>
    <w:rsid w:val="001705EC"/>
    <w:rsid w:val="00175FE1"/>
    <w:rsid w:val="0019312C"/>
    <w:rsid w:val="00195CB0"/>
    <w:rsid w:val="001C07A7"/>
    <w:rsid w:val="001D4587"/>
    <w:rsid w:val="001D56C1"/>
    <w:rsid w:val="001E7C7B"/>
    <w:rsid w:val="001F058E"/>
    <w:rsid w:val="001F09FC"/>
    <w:rsid w:val="001F1880"/>
    <w:rsid w:val="001F5809"/>
    <w:rsid w:val="001F6D60"/>
    <w:rsid w:val="002146ED"/>
    <w:rsid w:val="002176A4"/>
    <w:rsid w:val="00260A07"/>
    <w:rsid w:val="002709E4"/>
    <w:rsid w:val="002832B4"/>
    <w:rsid w:val="00285693"/>
    <w:rsid w:val="00285B7C"/>
    <w:rsid w:val="0029112B"/>
    <w:rsid w:val="00295EA5"/>
    <w:rsid w:val="0029727E"/>
    <w:rsid w:val="002974C4"/>
    <w:rsid w:val="002A1BD1"/>
    <w:rsid w:val="002A37CE"/>
    <w:rsid w:val="002B030A"/>
    <w:rsid w:val="002B7A74"/>
    <w:rsid w:val="002C713D"/>
    <w:rsid w:val="002D37C3"/>
    <w:rsid w:val="002D47E3"/>
    <w:rsid w:val="002D71C8"/>
    <w:rsid w:val="002E065D"/>
    <w:rsid w:val="002E2EFC"/>
    <w:rsid w:val="002E7006"/>
    <w:rsid w:val="002E776C"/>
    <w:rsid w:val="002E7842"/>
    <w:rsid w:val="002F18CF"/>
    <w:rsid w:val="003059E3"/>
    <w:rsid w:val="003110F6"/>
    <w:rsid w:val="00320C95"/>
    <w:rsid w:val="00325077"/>
    <w:rsid w:val="003253C5"/>
    <w:rsid w:val="0032640D"/>
    <w:rsid w:val="00337A12"/>
    <w:rsid w:val="00342873"/>
    <w:rsid w:val="00347D3E"/>
    <w:rsid w:val="00350DE5"/>
    <w:rsid w:val="003536E7"/>
    <w:rsid w:val="003573C0"/>
    <w:rsid w:val="0036077A"/>
    <w:rsid w:val="003664C4"/>
    <w:rsid w:val="0037369D"/>
    <w:rsid w:val="0037406F"/>
    <w:rsid w:val="00383D2B"/>
    <w:rsid w:val="00387C34"/>
    <w:rsid w:val="003A790C"/>
    <w:rsid w:val="003B05E5"/>
    <w:rsid w:val="003B06FF"/>
    <w:rsid w:val="003B0AD7"/>
    <w:rsid w:val="003B2238"/>
    <w:rsid w:val="003B3B8B"/>
    <w:rsid w:val="003B4EFB"/>
    <w:rsid w:val="003C7DF6"/>
    <w:rsid w:val="003D03C8"/>
    <w:rsid w:val="003D631D"/>
    <w:rsid w:val="003D742A"/>
    <w:rsid w:val="003F4CF8"/>
    <w:rsid w:val="004128E2"/>
    <w:rsid w:val="004218D1"/>
    <w:rsid w:val="00422864"/>
    <w:rsid w:val="0043473C"/>
    <w:rsid w:val="004435BD"/>
    <w:rsid w:val="00447EBC"/>
    <w:rsid w:val="00447EE6"/>
    <w:rsid w:val="00450D04"/>
    <w:rsid w:val="004533E7"/>
    <w:rsid w:val="00455050"/>
    <w:rsid w:val="004560FA"/>
    <w:rsid w:val="0047168A"/>
    <w:rsid w:val="00487752"/>
    <w:rsid w:val="004A1D3F"/>
    <w:rsid w:val="004A1F41"/>
    <w:rsid w:val="004B2D0C"/>
    <w:rsid w:val="004B79ED"/>
    <w:rsid w:val="004C1E40"/>
    <w:rsid w:val="004C4647"/>
    <w:rsid w:val="004D4A8D"/>
    <w:rsid w:val="004D7C94"/>
    <w:rsid w:val="004F03C3"/>
    <w:rsid w:val="004F622E"/>
    <w:rsid w:val="0050339A"/>
    <w:rsid w:val="00515D37"/>
    <w:rsid w:val="00525349"/>
    <w:rsid w:val="0053037E"/>
    <w:rsid w:val="00530876"/>
    <w:rsid w:val="00533AA5"/>
    <w:rsid w:val="00540F01"/>
    <w:rsid w:val="00543411"/>
    <w:rsid w:val="00566480"/>
    <w:rsid w:val="0057204D"/>
    <w:rsid w:val="00572D32"/>
    <w:rsid w:val="00576A64"/>
    <w:rsid w:val="00577DFB"/>
    <w:rsid w:val="005819A9"/>
    <w:rsid w:val="005840AC"/>
    <w:rsid w:val="00586FBE"/>
    <w:rsid w:val="005A04FA"/>
    <w:rsid w:val="005A7B33"/>
    <w:rsid w:val="005B706C"/>
    <w:rsid w:val="005C05E3"/>
    <w:rsid w:val="005D7A3E"/>
    <w:rsid w:val="005E14DC"/>
    <w:rsid w:val="005E248B"/>
    <w:rsid w:val="005F174E"/>
    <w:rsid w:val="00603C81"/>
    <w:rsid w:val="006052CB"/>
    <w:rsid w:val="0061096D"/>
    <w:rsid w:val="00612605"/>
    <w:rsid w:val="0061697B"/>
    <w:rsid w:val="006214D1"/>
    <w:rsid w:val="0064092C"/>
    <w:rsid w:val="00645F34"/>
    <w:rsid w:val="0066354F"/>
    <w:rsid w:val="00672E22"/>
    <w:rsid w:val="00672E40"/>
    <w:rsid w:val="00674D99"/>
    <w:rsid w:val="00675F7F"/>
    <w:rsid w:val="00684F46"/>
    <w:rsid w:val="006908A8"/>
    <w:rsid w:val="006921D8"/>
    <w:rsid w:val="006924A0"/>
    <w:rsid w:val="0069320A"/>
    <w:rsid w:val="006A4564"/>
    <w:rsid w:val="006A538A"/>
    <w:rsid w:val="006B684F"/>
    <w:rsid w:val="006C0388"/>
    <w:rsid w:val="006C1F93"/>
    <w:rsid w:val="006C2E67"/>
    <w:rsid w:val="006C65C7"/>
    <w:rsid w:val="006D60D4"/>
    <w:rsid w:val="006E528E"/>
    <w:rsid w:val="006E5E50"/>
    <w:rsid w:val="006F1DD6"/>
    <w:rsid w:val="00706485"/>
    <w:rsid w:val="00713CBE"/>
    <w:rsid w:val="00714289"/>
    <w:rsid w:val="00722E1D"/>
    <w:rsid w:val="00730A16"/>
    <w:rsid w:val="0074269B"/>
    <w:rsid w:val="00753C45"/>
    <w:rsid w:val="00755375"/>
    <w:rsid w:val="0077136A"/>
    <w:rsid w:val="0077149F"/>
    <w:rsid w:val="00784C16"/>
    <w:rsid w:val="0079506A"/>
    <w:rsid w:val="00795DC4"/>
    <w:rsid w:val="007B2647"/>
    <w:rsid w:val="007D265D"/>
    <w:rsid w:val="007D72E3"/>
    <w:rsid w:val="007F4FC7"/>
    <w:rsid w:val="007F5F5F"/>
    <w:rsid w:val="007F6EE3"/>
    <w:rsid w:val="008001A0"/>
    <w:rsid w:val="00801006"/>
    <w:rsid w:val="008024FB"/>
    <w:rsid w:val="0080547C"/>
    <w:rsid w:val="008308F8"/>
    <w:rsid w:val="00831741"/>
    <w:rsid w:val="00836187"/>
    <w:rsid w:val="00842A70"/>
    <w:rsid w:val="00844643"/>
    <w:rsid w:val="00853CD5"/>
    <w:rsid w:val="008606A0"/>
    <w:rsid w:val="008712AC"/>
    <w:rsid w:val="0087434B"/>
    <w:rsid w:val="00891B43"/>
    <w:rsid w:val="008A1210"/>
    <w:rsid w:val="008A4360"/>
    <w:rsid w:val="008C2D51"/>
    <w:rsid w:val="008D44A6"/>
    <w:rsid w:val="008D5C20"/>
    <w:rsid w:val="008E3D22"/>
    <w:rsid w:val="009048BB"/>
    <w:rsid w:val="00904E1A"/>
    <w:rsid w:val="00912118"/>
    <w:rsid w:val="009222B8"/>
    <w:rsid w:val="0094053C"/>
    <w:rsid w:val="00942D8A"/>
    <w:rsid w:val="00960420"/>
    <w:rsid w:val="00976EF8"/>
    <w:rsid w:val="009976FE"/>
    <w:rsid w:val="009A1412"/>
    <w:rsid w:val="009B22C2"/>
    <w:rsid w:val="009B254B"/>
    <w:rsid w:val="009B3B7B"/>
    <w:rsid w:val="009C4E4D"/>
    <w:rsid w:val="009D132E"/>
    <w:rsid w:val="009D35E2"/>
    <w:rsid w:val="009D3DA2"/>
    <w:rsid w:val="009E5B24"/>
    <w:rsid w:val="009E7CC5"/>
    <w:rsid w:val="009F7F5D"/>
    <w:rsid w:val="00A0191F"/>
    <w:rsid w:val="00A05B6F"/>
    <w:rsid w:val="00A121F4"/>
    <w:rsid w:val="00A12D90"/>
    <w:rsid w:val="00A154F2"/>
    <w:rsid w:val="00A21A8D"/>
    <w:rsid w:val="00A2550A"/>
    <w:rsid w:val="00A320E7"/>
    <w:rsid w:val="00A41212"/>
    <w:rsid w:val="00A46E35"/>
    <w:rsid w:val="00A54E63"/>
    <w:rsid w:val="00A63828"/>
    <w:rsid w:val="00AA519F"/>
    <w:rsid w:val="00AB3638"/>
    <w:rsid w:val="00AB6BA0"/>
    <w:rsid w:val="00AC4C87"/>
    <w:rsid w:val="00AD0EC8"/>
    <w:rsid w:val="00AD1262"/>
    <w:rsid w:val="00AD3055"/>
    <w:rsid w:val="00AD7E6B"/>
    <w:rsid w:val="00AE1D07"/>
    <w:rsid w:val="00AF482B"/>
    <w:rsid w:val="00AF49D4"/>
    <w:rsid w:val="00B00FB5"/>
    <w:rsid w:val="00B1124D"/>
    <w:rsid w:val="00B23759"/>
    <w:rsid w:val="00B33E43"/>
    <w:rsid w:val="00B3404C"/>
    <w:rsid w:val="00B35613"/>
    <w:rsid w:val="00B4546B"/>
    <w:rsid w:val="00B55338"/>
    <w:rsid w:val="00B620EB"/>
    <w:rsid w:val="00B66BC8"/>
    <w:rsid w:val="00B708F0"/>
    <w:rsid w:val="00B727F7"/>
    <w:rsid w:val="00B777EA"/>
    <w:rsid w:val="00BA3F56"/>
    <w:rsid w:val="00BA436F"/>
    <w:rsid w:val="00BA68B5"/>
    <w:rsid w:val="00BB0235"/>
    <w:rsid w:val="00BB069A"/>
    <w:rsid w:val="00BB4943"/>
    <w:rsid w:val="00BB5D6F"/>
    <w:rsid w:val="00BB7332"/>
    <w:rsid w:val="00BC4F6F"/>
    <w:rsid w:val="00BD4176"/>
    <w:rsid w:val="00BD58F8"/>
    <w:rsid w:val="00C126F0"/>
    <w:rsid w:val="00C201A2"/>
    <w:rsid w:val="00C2438E"/>
    <w:rsid w:val="00C26538"/>
    <w:rsid w:val="00C4076A"/>
    <w:rsid w:val="00C50144"/>
    <w:rsid w:val="00C765ED"/>
    <w:rsid w:val="00C80275"/>
    <w:rsid w:val="00C81833"/>
    <w:rsid w:val="00C82292"/>
    <w:rsid w:val="00C85EC9"/>
    <w:rsid w:val="00C8684B"/>
    <w:rsid w:val="00C9171D"/>
    <w:rsid w:val="00C95A8B"/>
    <w:rsid w:val="00CA2604"/>
    <w:rsid w:val="00CB276E"/>
    <w:rsid w:val="00CB3E60"/>
    <w:rsid w:val="00CC4574"/>
    <w:rsid w:val="00CC4796"/>
    <w:rsid w:val="00CC6ADE"/>
    <w:rsid w:val="00CD2027"/>
    <w:rsid w:val="00CD650B"/>
    <w:rsid w:val="00CE3FA3"/>
    <w:rsid w:val="00CE5C0D"/>
    <w:rsid w:val="00CF16C6"/>
    <w:rsid w:val="00CF6D24"/>
    <w:rsid w:val="00D00AD1"/>
    <w:rsid w:val="00D063C4"/>
    <w:rsid w:val="00D17B3A"/>
    <w:rsid w:val="00D20203"/>
    <w:rsid w:val="00D25D5B"/>
    <w:rsid w:val="00D3439D"/>
    <w:rsid w:val="00D407F3"/>
    <w:rsid w:val="00D411AD"/>
    <w:rsid w:val="00D47235"/>
    <w:rsid w:val="00D53A6B"/>
    <w:rsid w:val="00D6066C"/>
    <w:rsid w:val="00D724CB"/>
    <w:rsid w:val="00D72666"/>
    <w:rsid w:val="00D7691A"/>
    <w:rsid w:val="00D8752A"/>
    <w:rsid w:val="00D9363C"/>
    <w:rsid w:val="00D93B8A"/>
    <w:rsid w:val="00D93DFC"/>
    <w:rsid w:val="00DB4DF2"/>
    <w:rsid w:val="00DC0A2F"/>
    <w:rsid w:val="00DC1DBA"/>
    <w:rsid w:val="00DC5652"/>
    <w:rsid w:val="00DC7E1F"/>
    <w:rsid w:val="00DE409A"/>
    <w:rsid w:val="00DF60EC"/>
    <w:rsid w:val="00E0440F"/>
    <w:rsid w:val="00E05C7C"/>
    <w:rsid w:val="00E12C10"/>
    <w:rsid w:val="00E201DE"/>
    <w:rsid w:val="00E535D3"/>
    <w:rsid w:val="00E63CF0"/>
    <w:rsid w:val="00E650E0"/>
    <w:rsid w:val="00E7401B"/>
    <w:rsid w:val="00E75AFD"/>
    <w:rsid w:val="00E92A31"/>
    <w:rsid w:val="00EA24E5"/>
    <w:rsid w:val="00EB393D"/>
    <w:rsid w:val="00EB4C50"/>
    <w:rsid w:val="00EC2835"/>
    <w:rsid w:val="00ED49CD"/>
    <w:rsid w:val="00EE153E"/>
    <w:rsid w:val="00EE71BF"/>
    <w:rsid w:val="00EF5249"/>
    <w:rsid w:val="00F04AAC"/>
    <w:rsid w:val="00F05F10"/>
    <w:rsid w:val="00F20B48"/>
    <w:rsid w:val="00F301CA"/>
    <w:rsid w:val="00F442C5"/>
    <w:rsid w:val="00F46630"/>
    <w:rsid w:val="00F52EF5"/>
    <w:rsid w:val="00F55D11"/>
    <w:rsid w:val="00F82418"/>
    <w:rsid w:val="00F8365B"/>
    <w:rsid w:val="00F87FE0"/>
    <w:rsid w:val="00FA1FF0"/>
    <w:rsid w:val="00FA2B52"/>
    <w:rsid w:val="00FA50E5"/>
    <w:rsid w:val="00FB7A6D"/>
    <w:rsid w:val="00FC0611"/>
    <w:rsid w:val="00FC562D"/>
    <w:rsid w:val="00FF19EC"/>
    <w:rsid w:val="00FF54FE"/>
    <w:rsid w:val="40B27D66"/>
    <w:rsid w:val="50B46BE5"/>
    <w:rsid w:val="58534EE2"/>
    <w:rsid w:val="6A5C9469"/>
    <w:rsid w:val="6DA666CC"/>
    <w:rsid w:val="71585652"/>
    <w:rsid w:val="7D371C43"/>
    <w:rsid w:val="BE1C6AC1"/>
    <w:rsid w:val="BFF617B9"/>
    <w:rsid w:val="DFFF8388"/>
    <w:rsid w:val="F9A5051B"/>
    <w:rsid w:val="FF5DD5B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iPriority="99"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80" w:lineRule="exact"/>
      <w:ind w:firstLine="624"/>
      <w:jc w:val="both"/>
    </w:pPr>
    <w:rPr>
      <w:rFonts w:ascii="Times New Roman" w:hAnsi="Times New Roman" w:eastAsia="仿宋_GB2312" w:cs="Times New Roman"/>
      <w:kern w:val="2"/>
      <w:sz w:val="32"/>
      <w:lang w:val="en-US" w:eastAsia="zh-CN" w:bidi="ar-SA"/>
    </w:rPr>
  </w:style>
  <w:style w:type="character" w:default="1" w:styleId="12">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Salutation"/>
    <w:basedOn w:val="1"/>
    <w:next w:val="1"/>
    <w:qFormat/>
    <w:uiPriority w:val="0"/>
    <w:pPr>
      <w:ind w:firstLine="0"/>
    </w:pPr>
  </w:style>
  <w:style w:type="paragraph" w:styleId="3">
    <w:name w:val="Body Text Indent"/>
    <w:basedOn w:val="1"/>
    <w:qFormat/>
    <w:uiPriority w:val="0"/>
    <w:pPr>
      <w:spacing w:line="240" w:lineRule="auto"/>
      <w:ind w:firstLine="1920" w:firstLineChars="600"/>
    </w:pPr>
    <w:rPr>
      <w:szCs w:val="24"/>
    </w:rPr>
  </w:style>
  <w:style w:type="paragraph" w:styleId="4">
    <w:name w:val="Date"/>
    <w:basedOn w:val="1"/>
    <w:next w:val="1"/>
    <w:qFormat/>
    <w:uiPriority w:val="0"/>
    <w:pPr>
      <w:ind w:left="100" w:leftChars="2500"/>
    </w:pPr>
  </w:style>
  <w:style w:type="paragraph" w:styleId="5">
    <w:name w:val="Balloon Text"/>
    <w:basedOn w:val="1"/>
    <w:link w:val="17"/>
    <w:qFormat/>
    <w:uiPriority w:val="0"/>
    <w:pPr>
      <w:spacing w:line="240" w:lineRule="auto"/>
    </w:pPr>
    <w:rPr>
      <w:sz w:val="18"/>
      <w:szCs w:val="18"/>
    </w:rPr>
  </w:style>
  <w:style w:type="paragraph" w:styleId="6">
    <w:name w:val="footer"/>
    <w:basedOn w:val="1"/>
    <w:link w:val="18"/>
    <w:qFormat/>
    <w:uiPriority w:val="99"/>
    <w:pPr>
      <w:tabs>
        <w:tab w:val="center" w:pos="4153"/>
        <w:tab w:val="right" w:pos="8306"/>
      </w:tabs>
      <w:snapToGrid w:val="0"/>
      <w:spacing w:line="240" w:lineRule="atLeast"/>
      <w:jc w:val="left"/>
    </w:pPr>
    <w:rPr>
      <w:sz w:val="18"/>
    </w:rPr>
  </w:style>
  <w:style w:type="paragraph" w:styleId="7">
    <w:name w:val="header"/>
    <w:basedOn w:val="1"/>
    <w:qFormat/>
    <w:uiPriority w:val="0"/>
    <w:pPr>
      <w:pBdr>
        <w:bottom w:val="single" w:color="auto" w:sz="6" w:space="1"/>
      </w:pBdr>
      <w:tabs>
        <w:tab w:val="center" w:pos="4153"/>
        <w:tab w:val="right" w:pos="8306"/>
      </w:tabs>
      <w:snapToGrid w:val="0"/>
      <w:spacing w:line="240" w:lineRule="atLeast"/>
      <w:jc w:val="center"/>
    </w:pPr>
    <w:rPr>
      <w:sz w:val="18"/>
    </w:rPr>
  </w:style>
  <w:style w:type="paragraph" w:styleId="8">
    <w:name w:val="Subtitle"/>
    <w:basedOn w:val="1"/>
    <w:next w:val="1"/>
    <w:link w:val="19"/>
    <w:qFormat/>
    <w:uiPriority w:val="0"/>
    <w:pPr>
      <w:ind w:firstLine="0"/>
      <w:jc w:val="center"/>
    </w:pPr>
    <w:rPr>
      <w:rFonts w:eastAsia="黑体"/>
    </w:rPr>
  </w:style>
  <w:style w:type="paragraph" w:styleId="9">
    <w:name w:val="Normal (Web)"/>
    <w:basedOn w:val="1"/>
    <w:qFormat/>
    <w:uiPriority w:val="99"/>
    <w:pPr>
      <w:widowControl/>
      <w:spacing w:before="100" w:beforeAutospacing="1" w:after="100" w:afterAutospacing="1" w:line="240" w:lineRule="auto"/>
      <w:ind w:firstLine="0"/>
      <w:jc w:val="left"/>
    </w:pPr>
    <w:rPr>
      <w:rFonts w:ascii="宋体" w:hAnsi="宋体" w:eastAsia="宋体" w:cs="宋体"/>
      <w:color w:val="000000"/>
      <w:kern w:val="0"/>
      <w:sz w:val="24"/>
      <w:szCs w:val="24"/>
    </w:rPr>
  </w:style>
  <w:style w:type="table" w:styleId="11">
    <w:name w:val="Table Grid"/>
    <w:basedOn w:val="1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3">
    <w:name w:val="Strong"/>
    <w:qFormat/>
    <w:uiPriority w:val="99"/>
    <w:rPr>
      <w:b/>
      <w:bCs/>
    </w:rPr>
  </w:style>
  <w:style w:type="character" w:styleId="14">
    <w:name w:val="page number"/>
    <w:qFormat/>
    <w:uiPriority w:val="0"/>
  </w:style>
  <w:style w:type="character" w:styleId="15">
    <w:name w:val="FollowedHyperlink"/>
    <w:unhideWhenUsed/>
    <w:qFormat/>
    <w:uiPriority w:val="99"/>
    <w:rPr>
      <w:color w:val="954F72"/>
      <w:u w:val="single"/>
    </w:rPr>
  </w:style>
  <w:style w:type="character" w:styleId="16">
    <w:name w:val="Hyperlink"/>
    <w:qFormat/>
    <w:uiPriority w:val="99"/>
    <w:rPr>
      <w:color w:val="0563C1"/>
      <w:u w:val="single"/>
    </w:rPr>
  </w:style>
  <w:style w:type="character" w:customStyle="1" w:styleId="17">
    <w:name w:val="批注框文本 Char"/>
    <w:link w:val="5"/>
    <w:qFormat/>
    <w:uiPriority w:val="0"/>
    <w:rPr>
      <w:rFonts w:eastAsia="仿宋_GB2312"/>
      <w:kern w:val="2"/>
      <w:sz w:val="18"/>
      <w:szCs w:val="18"/>
    </w:rPr>
  </w:style>
  <w:style w:type="character" w:customStyle="1" w:styleId="18">
    <w:name w:val="页脚 Char1"/>
    <w:link w:val="6"/>
    <w:qFormat/>
    <w:uiPriority w:val="99"/>
    <w:rPr>
      <w:rFonts w:eastAsia="仿宋_GB2312"/>
      <w:kern w:val="2"/>
      <w:sz w:val="18"/>
    </w:rPr>
  </w:style>
  <w:style w:type="character" w:customStyle="1" w:styleId="19">
    <w:name w:val="副标题 Char"/>
    <w:link w:val="8"/>
    <w:qFormat/>
    <w:uiPriority w:val="0"/>
    <w:rPr>
      <w:rFonts w:eastAsia="黑体"/>
      <w:kern w:val="2"/>
      <w:sz w:val="32"/>
    </w:rPr>
  </w:style>
  <w:style w:type="paragraph" w:customStyle="1" w:styleId="20">
    <w:name w:val="小小标题"/>
    <w:basedOn w:val="1"/>
    <w:qFormat/>
    <w:uiPriority w:val="99"/>
    <w:rPr>
      <w:rFonts w:eastAsia="楷体_GB2312"/>
    </w:rPr>
  </w:style>
  <w:style w:type="paragraph" w:customStyle="1" w:styleId="21">
    <w:name w:val="主题标"/>
    <w:basedOn w:val="1"/>
    <w:next w:val="2"/>
    <w:qFormat/>
    <w:uiPriority w:val="0"/>
    <w:pPr>
      <w:ind w:firstLine="0"/>
      <w:jc w:val="center"/>
    </w:pPr>
    <w:rPr>
      <w:rFonts w:eastAsia="方正小标宋简体"/>
      <w:sz w:val="44"/>
    </w:rPr>
  </w:style>
  <w:style w:type="paragraph" w:customStyle="1" w:styleId="22">
    <w:name w:val="小标题"/>
    <w:basedOn w:val="1"/>
    <w:next w:val="1"/>
    <w:qFormat/>
    <w:uiPriority w:val="0"/>
    <w:rPr>
      <w:rFonts w:eastAsia="黑体"/>
    </w:rPr>
  </w:style>
  <w:style w:type="paragraph" w:customStyle="1" w:styleId="23">
    <w:name w:val="落款"/>
    <w:basedOn w:val="1"/>
    <w:next w:val="1"/>
    <w:qFormat/>
    <w:uiPriority w:val="0"/>
    <w:pPr>
      <w:ind w:right="300" w:rightChars="300" w:firstLine="0"/>
      <w:jc w:val="right"/>
    </w:pPr>
  </w:style>
  <w:style w:type="paragraph" w:customStyle="1" w:styleId="24">
    <w:name w:val="表格"/>
    <w:basedOn w:val="1"/>
    <w:next w:val="1"/>
    <w:qFormat/>
    <w:uiPriority w:val="0"/>
    <w:pPr>
      <w:spacing w:line="380" w:lineRule="exact"/>
      <w:ind w:firstLine="0"/>
      <w:jc w:val="center"/>
    </w:pPr>
    <w:rPr>
      <w:rFonts w:eastAsia="宋体"/>
      <w:sz w:val="24"/>
    </w:rPr>
  </w:style>
  <w:style w:type="paragraph" w:customStyle="1" w:styleId="25">
    <w:name w:val="标题附注"/>
    <w:basedOn w:val="1"/>
    <w:next w:val="1"/>
    <w:qFormat/>
    <w:uiPriority w:val="0"/>
    <w:pPr>
      <w:ind w:firstLine="0"/>
      <w:jc w:val="center"/>
    </w:pPr>
    <w:rPr>
      <w:rFonts w:eastAsia="楷体_GB2312"/>
    </w:rPr>
  </w:style>
  <w:style w:type="paragraph" w:customStyle="1" w:styleId="26">
    <w:name w:val="Char"/>
    <w:basedOn w:val="1"/>
    <w:qFormat/>
    <w:uiPriority w:val="0"/>
    <w:pPr>
      <w:spacing w:line="240" w:lineRule="atLeast"/>
      <w:ind w:left="420" w:firstLine="420"/>
    </w:pPr>
    <w:rPr>
      <w:rFonts w:eastAsia="宋体"/>
      <w:kern w:val="0"/>
      <w:sz w:val="21"/>
      <w:szCs w:val="21"/>
    </w:rPr>
  </w:style>
  <w:style w:type="paragraph" w:customStyle="1" w:styleId="27">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0"/>
      <w:jc w:val="left"/>
    </w:pPr>
    <w:rPr>
      <w:rFonts w:ascii="Verdana" w:hAnsi="Verdana" w:cs="Verdana"/>
      <w:kern w:val="0"/>
      <w:sz w:val="24"/>
      <w:szCs w:val="24"/>
      <w:lang w:eastAsia="en-US"/>
    </w:rPr>
  </w:style>
  <w:style w:type="character" w:customStyle="1" w:styleId="28">
    <w:name w:val="页脚 字符"/>
    <w:qFormat/>
    <w:uiPriority w:val="99"/>
  </w:style>
  <w:style w:type="paragraph" w:customStyle="1" w:styleId="29">
    <w:name w:val="NormalIndent"/>
    <w:basedOn w:val="1"/>
    <w:qFormat/>
    <w:uiPriority w:val="99"/>
    <w:pPr>
      <w:spacing w:line="240" w:lineRule="auto"/>
      <w:ind w:firstLine="420" w:firstLineChars="200"/>
    </w:pPr>
    <w:rPr>
      <w:rFonts w:ascii="Calibri" w:hAnsi="Calibri" w:eastAsia="宋体"/>
      <w:sz w:val="21"/>
      <w:szCs w:val="24"/>
    </w:rPr>
  </w:style>
  <w:style w:type="paragraph" w:customStyle="1" w:styleId="30">
    <w:name w:val="公文"/>
    <w:qFormat/>
    <w:uiPriority w:val="0"/>
    <w:pPr>
      <w:jc w:val="both"/>
    </w:pPr>
    <w:rPr>
      <w:rFonts w:ascii="Times New Roman" w:hAnsi="Times New Roman" w:eastAsia="仿宋_GB2312" w:cs="Times New Roman"/>
      <w:sz w:val="32"/>
      <w:lang w:val="en-US" w:eastAsia="zh-CN" w:bidi="ar-SA"/>
    </w:rPr>
  </w:style>
  <w:style w:type="character" w:customStyle="1" w:styleId="31">
    <w:name w:val="页脚 Char"/>
    <w:basedOn w:val="12"/>
    <w:qFormat/>
    <w:uiPriority w:val="99"/>
    <w:rPr>
      <w:lang w:eastAsia="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scldt</Company>
  <Pages>9</Pages>
  <Words>642</Words>
  <Characters>3665</Characters>
  <Lines>30</Lines>
  <Paragraphs>8</Paragraphs>
  <TotalTime>1</TotalTime>
  <ScaleCrop>false</ScaleCrop>
  <LinksUpToDate>false</LinksUpToDate>
  <CharactersWithSpaces>4299</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2025-03-03T15:19:00Z</dcterms:created>
  <dc:creator>fy</dc:creator>
  <cp:lastModifiedBy>user</cp:lastModifiedBy>
  <cp:lastPrinted>2025-02-06T16:14:00Z</cp:lastPrinted>
  <dcterms:modified xsi:type="dcterms:W3CDTF">2025-03-04T14:05:41Z</dcterms:modified>
  <dc:title>川劳社办〔2001〕号</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3684D8DB3F6F48D2B12CD5C76092B838_13</vt:lpwstr>
  </property>
  <property fmtid="{D5CDD505-2E9C-101B-9397-08002B2CF9AE}" pid="4" name="KSOTemplateDocerSaveRecord">
    <vt:lpwstr>eyJoZGlkIjoiYWEzNWRjZGQzZDI1NjY5ZDE3NGJiYWZhOWI1MmI5YjIiLCJ1c2VySWQiOiI0MjE2MTc5MjkifQ==</vt:lpwstr>
  </property>
</Properties>
</file>