
<file path=[Content_Types].xml><?xml version="1.0" encoding="utf-8"?>
<Types xmlns="http://schemas.openxmlformats.org/package/2006/content-types">
  <Default Extension="xml" ContentType="application/xml"/>
  <Default Extension="emf" ContentType="image/x-emf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5" Type="http://schemas.openxmlformats.org/officeDocument/2006/relationships/officeDocument" Target="word/document.xml"/><Relationship Id="rId1" Type="http://schemas.openxmlformats.org/package/2006/relationships/metadata/thumbnail" Target="docProps/thumbnail.emf"/><Relationship Id="rId3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12"/>
        <w:tblW w:w="16635" w:type="dxa"/>
        <w:tblInd w:w="42" w:type="dxa"/>
        <w:tblBorders>
          <w:top w:val="single" w:color="FF0000" w:sz="2" w:space="0"/>
          <w:left w:val="none" w:color="auto" w:sz="0" w:space="0"/>
          <w:bottom w:val="single" w:color="FF0000" w:sz="48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4"/>
        <w:gridCol w:w="7507"/>
        <w:gridCol w:w="1276"/>
        <w:gridCol w:w="7828"/>
      </w:tblGrid>
      <w:tr>
        <w:tblPrEx>
          <w:tblBorders>
            <w:top w:val="single" w:color="FF0000" w:sz="2" w:space="0"/>
            <w:left w:val="none" w:color="auto" w:sz="0" w:space="0"/>
            <w:bottom w:val="single" w:color="FF0000" w:sz="48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7828" w:type="dxa"/>
          <w:trHeight w:val="20" w:hRule="atLeast"/>
        </w:trPr>
        <w:tc>
          <w:tcPr>
            <w:tcW w:w="753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>
            <w:pPr>
              <w:spacing w:line="1600" w:lineRule="exact"/>
              <w:ind w:left="-201" w:leftChars="-96" w:right="-8" w:rightChars="-4" w:firstLine="136" w:firstLineChars="31"/>
              <w:jc w:val="distribute"/>
              <w:rPr>
                <w:rFonts w:hint="eastAsia" w:ascii="Times New Roman" w:hAnsi="Times New Roman" w:eastAsia="方正小标宋_GBK"/>
                <w:color w:val="FF0000"/>
                <w:spacing w:val="-80"/>
                <w:w w:val="50"/>
                <w:sz w:val="120"/>
                <w:szCs w:val="120"/>
              </w:rPr>
            </w:pPr>
            <w:r>
              <w:rPr>
                <w:rFonts w:hint="eastAsia" w:ascii="Times New Roman" w:hAnsi="Times New Roman" w:eastAsia="方正小标宋_GBK"/>
                <w:color w:val="FF0000"/>
                <w:spacing w:val="-80"/>
                <w:w w:val="50"/>
                <w:sz w:val="120"/>
                <w:szCs w:val="120"/>
              </w:rPr>
              <w:t>苏州工业园区管理委员会</w:t>
            </w:r>
          </w:p>
        </w:tc>
        <w:tc>
          <w:tcPr>
            <w:tcW w:w="1276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center"/>
          </w:tcPr>
          <w:p>
            <w:pPr>
              <w:ind w:left="10" w:leftChars="-56" w:right="-36" w:rightChars="-17" w:hanging="128" w:hangingChars="32"/>
              <w:jc w:val="distribute"/>
              <w:rPr>
                <w:rFonts w:hint="eastAsia" w:ascii="Times New Roman" w:hAnsi="Times New Roman" w:eastAsia="方正小标宋_GBK"/>
                <w:color w:val="FF0000"/>
                <w:spacing w:val="-100"/>
                <w:w w:val="50"/>
                <w:sz w:val="120"/>
                <w:szCs w:val="120"/>
              </w:rPr>
            </w:pPr>
            <w:r>
              <w:rPr>
                <w:rFonts w:hint="eastAsia" w:ascii="Times New Roman" w:hAnsi="Times New Roman" w:eastAsia="方正小标宋_GBK"/>
                <w:color w:val="FF0000"/>
                <w:spacing w:val="-100"/>
                <w:w w:val="50"/>
                <w:sz w:val="120"/>
                <w:szCs w:val="120"/>
              </w:rPr>
              <w:t>文件</w:t>
            </w:r>
          </w:p>
        </w:tc>
      </w:tr>
      <w:tr>
        <w:tblPrEx>
          <w:tblBorders>
            <w:top w:val="single" w:color="FF0000" w:sz="2" w:space="0"/>
            <w:left w:val="none" w:color="auto" w:sz="0" w:space="0"/>
            <w:bottom w:val="single" w:color="FF0000" w:sz="48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7828" w:type="dxa"/>
          <w:trHeight w:val="20" w:hRule="atLeast"/>
        </w:trPr>
        <w:tc>
          <w:tcPr>
            <w:tcW w:w="753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>
            <w:pPr>
              <w:spacing w:line="1600" w:lineRule="exact"/>
              <w:ind w:left="-149" w:leftChars="-71" w:right="44" w:rightChars="21" w:firstLine="10" w:firstLineChars="9"/>
              <w:jc w:val="distribute"/>
              <w:rPr>
                <w:rFonts w:hint="eastAsia" w:ascii="Times New Roman" w:hAnsi="Times New Roman" w:eastAsia="方正小标宋_GBK"/>
                <w:color w:val="FF0000"/>
                <w:spacing w:val="-120"/>
                <w:w w:val="30"/>
                <w:sz w:val="120"/>
                <w:szCs w:val="120"/>
              </w:rPr>
            </w:pPr>
            <w:r>
              <w:rPr>
                <w:rFonts w:hint="eastAsia" w:ascii="Times New Roman" w:hAnsi="Times New Roman" w:eastAsia="方正小标宋_GBK"/>
                <w:color w:val="FF0000"/>
                <w:spacing w:val="-120"/>
                <w:w w:val="30"/>
                <w:sz w:val="120"/>
                <w:szCs w:val="120"/>
              </w:rPr>
              <w:t>中国（江苏）自由贸易试验区苏州片区管理委员会</w:t>
            </w:r>
          </w:p>
        </w:tc>
        <w:tc>
          <w:tcPr>
            <w:tcW w:w="1276" w:type="dxa"/>
            <w:vMerge w:val="continue"/>
            <w:tcBorders>
              <w:top w:val="nil"/>
              <w:left w:val="nil"/>
              <w:bottom w:val="nil"/>
              <w:right w:val="nil"/>
            </w:tcBorders>
          </w:tcPr>
          <w:p>
            <w:pPr>
              <w:ind w:left="-114" w:leftChars="-90" w:right="44" w:rightChars="21" w:hanging="75" w:hangingChars="14"/>
              <w:jc w:val="distribute"/>
              <w:rPr>
                <w:rFonts w:hint="eastAsia" w:ascii="Times New Roman" w:hAnsi="Times New Roman" w:eastAsia="方正小标宋_GBK"/>
                <w:color w:val="FF0000"/>
                <w:spacing w:val="-60"/>
                <w:w w:val="55"/>
                <w:sz w:val="120"/>
                <w:szCs w:val="120"/>
              </w:rPr>
            </w:pPr>
          </w:p>
        </w:tc>
      </w:tr>
      <w:tr>
        <w:tblPrEx>
          <w:tblBorders>
            <w:top w:val="single" w:color="FF0000" w:sz="2" w:space="0"/>
            <w:left w:val="none" w:color="auto" w:sz="0" w:space="0"/>
            <w:bottom w:val="single" w:color="FF0000" w:sz="48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wBefore w:w="24" w:type="dxa"/>
          <w:trHeight w:val="615" w:hRule="atLeast"/>
        </w:trPr>
        <w:tc>
          <w:tcPr>
            <w:tcW w:w="7507" w:type="dxa"/>
            <w:tcBorders>
              <w:top w:val="nil"/>
              <w:left w:val="nil"/>
              <w:bottom w:val="nil"/>
              <w:right w:val="nil"/>
            </w:tcBorders>
          </w:tcPr>
          <w:p>
            <w:pPr>
              <w:spacing w:line="560" w:lineRule="atLeast"/>
              <w:rPr>
                <w:rFonts w:hint="eastAsia" w:ascii="Times New Roman" w:hAnsi="Times New Roman" w:eastAsia="仿宋_GB2312"/>
                <w:color w:val="FF0000"/>
                <w:spacing w:val="-40"/>
                <w:w w:val="80"/>
                <w:sz w:val="32"/>
                <w:szCs w:val="32"/>
              </w:rPr>
            </w:pPr>
          </w:p>
        </w:tc>
        <w:tc>
          <w:tcPr>
            <w:tcW w:w="910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>
            <w:pPr>
              <w:spacing w:line="560" w:lineRule="atLeast"/>
              <w:rPr>
                <w:rFonts w:hint="eastAsia" w:ascii="Times New Roman" w:hAnsi="Times New Roman" w:eastAsia="仿宋_GB2312"/>
                <w:color w:val="FF0000"/>
                <w:spacing w:val="-40"/>
                <w:w w:val="80"/>
                <w:sz w:val="32"/>
                <w:szCs w:val="32"/>
              </w:rPr>
            </w:pPr>
          </w:p>
        </w:tc>
      </w:tr>
      <w:tr>
        <w:tblPrEx>
          <w:tblBorders>
            <w:top w:val="single" w:color="FF0000" w:sz="2" w:space="0"/>
            <w:left w:val="none" w:color="auto" w:sz="0" w:space="0"/>
            <w:bottom w:val="single" w:color="FF0000" w:sz="48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Before w:val="1"/>
          <w:gridAfter w:val="1"/>
          <w:wBefore w:w="24" w:type="dxa"/>
          <w:wAfter w:w="7828" w:type="dxa"/>
          <w:trHeight w:val="813" w:hRule="atLeast"/>
        </w:trPr>
        <w:tc>
          <w:tcPr>
            <w:tcW w:w="8783" w:type="dxa"/>
            <w:gridSpan w:val="2"/>
            <w:tcBorders>
              <w:top w:val="nil"/>
              <w:left w:val="nil"/>
              <w:bottom w:val="single" w:color="FF0000" w:sz="18" w:space="0"/>
              <w:right w:val="nil"/>
            </w:tcBorders>
          </w:tcPr>
          <w:p>
            <w:pPr>
              <w:spacing w:after="156" w:afterLines="50" w:line="560" w:lineRule="atLeast"/>
              <w:jc w:val="center"/>
              <w:rPr>
                <w:rFonts w:hint="eastAsia" w:ascii="Times New Roman" w:hAnsi="Times New Roman" w:eastAsia="仿宋_GB2312"/>
                <w:sz w:val="32"/>
                <w:szCs w:val="32"/>
              </w:rPr>
            </w:pPr>
            <w:bookmarkStart w:id="0" w:name="文号"/>
            <w:r>
              <w:rPr>
                <w:rFonts w:hint="eastAsia" w:ascii="Times New Roman" w:hAnsi="Times New Roman" w:eastAsia="仿宋_GB2312"/>
                <w:sz w:val="32"/>
                <w:szCs w:val="32"/>
              </w:rPr>
              <w:t>苏园管〔2025〕8号</w:t>
            </w:r>
            <w:bookmarkEnd w:id="0"/>
          </w:p>
        </w:tc>
      </w:tr>
    </w:tbl>
    <w:p>
      <w:pPr>
        <w:spacing w:line="400" w:lineRule="exact"/>
        <w:rPr>
          <w:rFonts w:hint="eastAsia" w:ascii="Times New Roman" w:hAnsi="Times New Roman"/>
        </w:rPr>
      </w:pPr>
    </w:p>
    <w:p>
      <w:pPr>
        <w:spacing w:line="400" w:lineRule="exact"/>
        <w:rPr>
          <w:rFonts w:hint="eastAsia" w:ascii="Times New Roman" w:hAnsi="Times New Roman"/>
        </w:rPr>
      </w:pPr>
    </w:p>
    <w:p>
      <w:pPr>
        <w:spacing w:line="640" w:lineRule="exact"/>
        <w:jc w:val="center"/>
        <w:outlineLvl w:val="0"/>
        <w:rPr>
          <w:rFonts w:hint="eastAsia" w:ascii="Times New Roman" w:hAnsi="Times New Roman" w:eastAsia="方正小标宋简体"/>
          <w:sz w:val="44"/>
          <w:szCs w:val="44"/>
        </w:rPr>
      </w:pPr>
      <w:bookmarkStart w:id="1" w:name="OLE_LINK29"/>
      <w:bookmarkStart w:id="2" w:name="OLE_LINK30"/>
      <w:bookmarkStart w:id="3" w:name="OLE_LINK7"/>
      <w:r>
        <w:rPr>
          <w:rFonts w:hint="eastAsia" w:ascii="Times New Roman" w:hAnsi="Times New Roman" w:eastAsia="方正小标宋简体"/>
          <w:sz w:val="44"/>
          <w:szCs w:val="44"/>
        </w:rPr>
        <w:t>园区管委会 自贸区苏州片区管委会</w:t>
      </w:r>
    </w:p>
    <w:p>
      <w:pPr>
        <w:spacing w:line="640" w:lineRule="exact"/>
        <w:jc w:val="center"/>
        <w:outlineLvl w:val="0"/>
        <w:rPr>
          <w:rFonts w:hint="eastAsia" w:ascii="Times New Roman" w:hAnsi="Times New Roman" w:eastAsia="方正小标宋简体"/>
          <w:sz w:val="44"/>
          <w:szCs w:val="44"/>
        </w:rPr>
      </w:pPr>
      <w:r>
        <w:rPr>
          <w:rFonts w:hint="eastAsia" w:ascii="Times New Roman" w:hAnsi="Times New Roman" w:eastAsia="方正小标宋简体"/>
          <w:sz w:val="44"/>
          <w:szCs w:val="44"/>
        </w:rPr>
        <w:t>印发《苏州工业园区关于支持重点产业</w:t>
      </w:r>
    </w:p>
    <w:p>
      <w:pPr>
        <w:spacing w:line="640" w:lineRule="exact"/>
        <w:jc w:val="center"/>
        <w:outlineLvl w:val="0"/>
        <w:rPr>
          <w:rFonts w:hint="eastAsia" w:ascii="Times New Roman" w:hAnsi="Times New Roman" w:eastAsia="方正小标宋简体"/>
          <w:sz w:val="44"/>
          <w:szCs w:val="44"/>
        </w:rPr>
      </w:pPr>
      <w:r>
        <w:rPr>
          <w:rFonts w:hint="eastAsia" w:ascii="Times New Roman" w:hAnsi="Times New Roman" w:eastAsia="方正小标宋简体"/>
          <w:sz w:val="44"/>
          <w:szCs w:val="44"/>
        </w:rPr>
        <w:t>强链补链延链的若干政策》的通知</w:t>
      </w:r>
      <w:bookmarkEnd w:id="1"/>
      <w:bookmarkEnd w:id="2"/>
    </w:p>
    <w:p>
      <w:pPr>
        <w:spacing w:line="540" w:lineRule="exact"/>
        <w:jc w:val="center"/>
        <w:rPr>
          <w:rFonts w:hint="eastAsia" w:ascii="Times New Roman" w:hAnsi="Times New Roman" w:eastAsia="仿宋_GB2312"/>
          <w:sz w:val="44"/>
          <w:szCs w:val="44"/>
        </w:rPr>
      </w:pPr>
    </w:p>
    <w:p>
      <w:pPr>
        <w:spacing w:line="540" w:lineRule="exact"/>
        <w:jc w:val="left"/>
        <w:rPr>
          <w:rFonts w:hint="eastAsia" w:ascii="Times New Roman" w:hAnsi="Times New Roman" w:eastAsia="仿宋_GB2312"/>
          <w:color w:val="212121"/>
          <w:sz w:val="32"/>
          <w:szCs w:val="32"/>
          <w:shd w:val="clear" w:color="auto" w:fill="FFFFFF"/>
        </w:rPr>
      </w:pPr>
      <w:r>
        <w:rPr>
          <w:rFonts w:hint="eastAsia" w:ascii="Times New Roman" w:hAnsi="Times New Roman" w:eastAsia="仿宋_GB2312"/>
          <w:color w:val="212121"/>
          <w:sz w:val="32"/>
          <w:szCs w:val="32"/>
          <w:shd w:val="clear" w:color="auto" w:fill="FFFFFF"/>
        </w:rPr>
        <w:t>各功能区、各部委办局、各派驻机构、各公司、各直属单位、各街道，苏相合作区：</w:t>
      </w:r>
    </w:p>
    <w:p>
      <w:pPr>
        <w:spacing w:line="540" w:lineRule="exact"/>
        <w:ind w:firstLine="640" w:firstLineChars="200"/>
        <w:jc w:val="left"/>
        <w:rPr>
          <w:rFonts w:hint="eastAsia" w:ascii="Times New Roman" w:hAnsi="Times New Roman" w:eastAsia="仿宋_GB2312"/>
          <w:color w:val="212121"/>
          <w:sz w:val="32"/>
          <w:szCs w:val="32"/>
          <w:shd w:val="clear" w:color="auto" w:fill="FFFFFF"/>
        </w:rPr>
      </w:pPr>
      <w:r>
        <w:rPr>
          <w:rFonts w:hint="eastAsia" w:ascii="Times New Roman" w:hAnsi="Times New Roman" w:eastAsia="仿宋_GB2312"/>
          <w:color w:val="212121"/>
          <w:sz w:val="32"/>
          <w:szCs w:val="32"/>
          <w:shd w:val="clear" w:color="auto" w:fill="FFFFFF"/>
        </w:rPr>
        <w:t>《苏州工业园区关于支持重点产业强链补链延链的若干政策》已经园区党工委会议审议通过，现印发给你们，请结合实际，认真贯彻执行。</w:t>
      </w:r>
    </w:p>
    <w:p>
      <w:pPr>
        <w:spacing w:line="400" w:lineRule="exact"/>
        <w:ind w:firstLine="646"/>
        <w:jc w:val="left"/>
        <w:rPr>
          <w:rFonts w:hint="eastAsia" w:ascii="Times New Roman" w:hAnsi="Times New Roman" w:eastAsia="仿宋_GB2312"/>
          <w:sz w:val="32"/>
          <w:szCs w:val="32"/>
        </w:rPr>
      </w:pPr>
    </w:p>
    <w:p>
      <w:pPr>
        <w:autoSpaceDE w:val="0"/>
        <w:autoSpaceDN w:val="0"/>
        <w:adjustRightInd w:val="0"/>
        <w:spacing w:line="540" w:lineRule="exact"/>
        <w:ind w:left="3840" w:right="-143" w:rightChars="-68" w:hanging="3840" w:hangingChars="1200"/>
        <w:jc w:val="left"/>
        <w:rPr>
          <w:rFonts w:hint="eastAsia" w:ascii="Times New Roman" w:hAnsi="Times New Roman" w:eastAsia="仿宋"/>
          <w:bCs/>
          <w:spacing w:val="-60"/>
          <w:w w:val="90"/>
          <w:sz w:val="32"/>
          <w:szCs w:val="32"/>
        </w:rPr>
      </w:pPr>
      <w:r>
        <w:rPr>
          <w:rFonts w:hint="eastAsia" w:ascii="Times New Roman" w:hAnsi="Times New Roman" w:eastAsia="仿宋"/>
          <w:bCs/>
          <w:sz w:val="32"/>
          <w:szCs w:val="32"/>
        </w:rPr>
        <w:t xml:space="preserve">苏州工业园区管理委员会    </w:t>
      </w:r>
      <w:r>
        <w:rPr>
          <w:rFonts w:hint="eastAsia" w:ascii="Times New Roman" w:hAnsi="Times New Roman" w:eastAsia="仿宋"/>
          <w:bCs/>
          <w:spacing w:val="-60"/>
          <w:w w:val="90"/>
          <w:sz w:val="32"/>
          <w:szCs w:val="32"/>
        </w:rPr>
        <w:t>中国（江苏）自由贸易试验区苏州片区管理委员会</w:t>
      </w:r>
    </w:p>
    <w:p>
      <w:pPr>
        <w:spacing w:line="540" w:lineRule="exact"/>
        <w:ind w:right="1280"/>
        <w:jc w:val="right"/>
        <w:rPr>
          <w:rFonts w:hint="eastAsia" w:ascii="Times New Roman" w:hAnsi="Times New Roman" w:eastAsia="仿宋"/>
          <w:sz w:val="32"/>
          <w:szCs w:val="32"/>
        </w:rPr>
      </w:pPr>
      <w:r>
        <w:rPr>
          <w:rFonts w:hint="eastAsia" w:ascii="Times New Roman" w:hAnsi="Times New Roman" w:eastAsia="仿宋"/>
          <w:sz w:val="32"/>
          <w:szCs w:val="32"/>
        </w:rPr>
        <w:t>2025年2月17日</w:t>
      </w:r>
    </w:p>
    <w:p>
      <w:pPr>
        <w:spacing w:before="156" w:beforeLines="50" w:line="540" w:lineRule="exact"/>
        <w:ind w:firstLine="640" w:firstLineChars="200"/>
        <w:jc w:val="left"/>
        <w:outlineLvl w:val="0"/>
        <w:rPr>
          <w:rFonts w:hint="eastAsia" w:ascii="Times New Roman" w:hAnsi="Times New Roman" w:eastAsia="仿宋_GB2312"/>
          <w:bCs/>
          <w:sz w:val="32"/>
          <w:szCs w:val="32"/>
        </w:rPr>
      </w:pPr>
      <w:r>
        <w:rPr>
          <w:rFonts w:hint="eastAsia" w:ascii="Times New Roman" w:hAnsi="Times New Roman" w:eastAsia="仿宋_GB2312"/>
          <w:bCs/>
          <w:sz w:val="32"/>
          <w:szCs w:val="32"/>
        </w:rPr>
        <w:t>（此件公开发布）</w:t>
      </w:r>
      <w:r>
        <w:rPr>
          <w:rFonts w:hint="eastAsia" w:ascii="Times New Roman" w:hAnsi="Times New Roman" w:eastAsia="仿宋_GB2312"/>
          <w:sz w:val="44"/>
          <w:szCs w:val="44"/>
        </w:rPr>
        <w:br w:type="page"/>
      </w:r>
    </w:p>
    <w:p>
      <w:pPr>
        <w:spacing w:line="560" w:lineRule="exact"/>
        <w:jc w:val="center"/>
        <w:outlineLvl w:val="0"/>
        <w:rPr>
          <w:rFonts w:hint="eastAsia" w:ascii="Times New Roman" w:hAnsi="Times New Roman" w:eastAsia="方正小标宋简体"/>
          <w:sz w:val="44"/>
          <w:szCs w:val="44"/>
        </w:rPr>
      </w:pPr>
      <w:bookmarkStart w:id="4" w:name="OLE_LINK21"/>
    </w:p>
    <w:p>
      <w:pPr>
        <w:spacing w:line="640" w:lineRule="exact"/>
        <w:jc w:val="center"/>
        <w:outlineLvl w:val="0"/>
        <w:rPr>
          <w:rFonts w:hint="eastAsia" w:ascii="Times New Roman" w:hAnsi="Times New Roman" w:eastAsia="方正小标宋简体"/>
          <w:sz w:val="44"/>
          <w:szCs w:val="44"/>
        </w:rPr>
      </w:pPr>
      <w:r>
        <w:rPr>
          <w:rFonts w:hint="eastAsia" w:ascii="Times New Roman" w:hAnsi="Times New Roman" w:eastAsia="方正小标宋简体"/>
          <w:sz w:val="44"/>
          <w:szCs w:val="44"/>
        </w:rPr>
        <w:t>苏州工业园区关于支持重点产业</w:t>
      </w:r>
    </w:p>
    <w:p>
      <w:pPr>
        <w:spacing w:line="640" w:lineRule="exact"/>
        <w:jc w:val="center"/>
        <w:outlineLvl w:val="0"/>
        <w:rPr>
          <w:rFonts w:hint="eastAsia" w:ascii="Times New Roman" w:hAnsi="Times New Roman" w:eastAsia="方正小标宋简体"/>
          <w:sz w:val="44"/>
          <w:szCs w:val="44"/>
        </w:rPr>
      </w:pPr>
      <w:r>
        <w:rPr>
          <w:rFonts w:hint="eastAsia" w:ascii="Times New Roman" w:hAnsi="Times New Roman" w:eastAsia="方正小标宋简体"/>
          <w:sz w:val="44"/>
          <w:szCs w:val="44"/>
        </w:rPr>
        <w:t>强链补链延链的若干政策</w:t>
      </w:r>
      <w:bookmarkEnd w:id="3"/>
    </w:p>
    <w:bookmarkEnd w:id="4"/>
    <w:p>
      <w:pPr>
        <w:tabs>
          <w:tab w:val="left" w:pos="2535"/>
          <w:tab w:val="center" w:pos="4394"/>
        </w:tabs>
        <w:spacing w:line="560" w:lineRule="exact"/>
        <w:jc w:val="left"/>
        <w:rPr>
          <w:rFonts w:hint="eastAsia" w:ascii="Times New Roman" w:hAnsi="Times New Roman" w:eastAsia="楷体_GB2312"/>
          <w:sz w:val="32"/>
          <w:szCs w:val="32"/>
        </w:rPr>
      </w:pPr>
    </w:p>
    <w:p>
      <w:pPr>
        <w:spacing w:line="560" w:lineRule="exact"/>
        <w:ind w:firstLine="640" w:firstLineChars="200"/>
        <w:rPr>
          <w:rFonts w:hint="eastAsia" w:ascii="Times New Roman" w:hAnsi="Times New Roman" w:eastAsia="仿宋_GB2312"/>
          <w:sz w:val="32"/>
          <w:szCs w:val="32"/>
        </w:rPr>
      </w:pPr>
      <w:bookmarkStart w:id="5" w:name="OLE_LINK8"/>
      <w:r>
        <w:rPr>
          <w:rFonts w:hint="eastAsia" w:ascii="Times New Roman" w:hAnsi="Times New Roman" w:eastAsia="仿宋_GB2312"/>
          <w:sz w:val="32"/>
          <w:szCs w:val="32"/>
        </w:rPr>
        <w:t>为深入贯彻落实国家、省、市关于</w:t>
      </w:r>
      <w:bookmarkEnd w:id="5"/>
      <w:r>
        <w:rPr>
          <w:rFonts w:hint="eastAsia" w:ascii="Times New Roman" w:hAnsi="Times New Roman" w:eastAsia="仿宋_GB2312"/>
          <w:sz w:val="32"/>
          <w:szCs w:val="32"/>
        </w:rPr>
        <w:t>建设现代化产业体系、加快发展新质生产力的决策部署，全力抓好产业项目</w:t>
      </w:r>
      <w:bookmarkStart w:id="6" w:name="OLE_LINK3"/>
      <w:bookmarkStart w:id="7" w:name="OLE_LINK4"/>
      <w:r>
        <w:rPr>
          <w:rFonts w:hint="eastAsia" w:ascii="Times New Roman" w:hAnsi="Times New Roman" w:eastAsia="仿宋_GB2312"/>
          <w:sz w:val="32"/>
          <w:szCs w:val="32"/>
        </w:rPr>
        <w:t>“两产两进</w:t>
      </w:r>
      <w:bookmarkEnd w:id="6"/>
      <w:bookmarkEnd w:id="7"/>
      <w:r>
        <w:rPr>
          <w:rFonts w:hint="eastAsia" w:ascii="Times New Roman" w:hAnsi="Times New Roman" w:eastAsia="仿宋_GB2312"/>
          <w:sz w:val="32"/>
          <w:szCs w:val="32"/>
        </w:rPr>
        <w:t>两强”，</w:t>
      </w:r>
      <w:bookmarkStart w:id="8" w:name="OLE_LINK9"/>
      <w:bookmarkStart w:id="9" w:name="OLE_LINK10"/>
      <w:r>
        <w:rPr>
          <w:rFonts w:hint="eastAsia" w:ascii="Times New Roman" w:hAnsi="Times New Roman" w:eastAsia="仿宋_GB2312"/>
          <w:sz w:val="32"/>
          <w:szCs w:val="32"/>
        </w:rPr>
        <w:t>推动重点产业强链、补链、延链</w:t>
      </w:r>
      <w:bookmarkEnd w:id="8"/>
      <w:bookmarkEnd w:id="9"/>
      <w:r>
        <w:rPr>
          <w:rFonts w:hint="eastAsia" w:ascii="Times New Roman" w:hAnsi="Times New Roman" w:eastAsia="仿宋_GB2312"/>
          <w:sz w:val="32"/>
          <w:szCs w:val="32"/>
        </w:rPr>
        <w:t>，进一步扩大全社会有效投资，结合苏州工业园区（以下简称园区）实际，制定本政策。</w:t>
      </w:r>
    </w:p>
    <w:p>
      <w:pPr>
        <w:spacing w:line="560" w:lineRule="exact"/>
        <w:ind w:firstLine="640" w:firstLineChars="200"/>
        <w:rPr>
          <w:rFonts w:hint="eastAsia" w:ascii="Times New Roman" w:hAnsi="Times New Roman" w:eastAsia="仿宋_GB2312"/>
          <w:sz w:val="32"/>
          <w:szCs w:val="32"/>
        </w:rPr>
      </w:pPr>
      <w:r>
        <w:rPr>
          <w:rFonts w:hint="eastAsia" w:ascii="Times New Roman" w:hAnsi="Times New Roman" w:eastAsia="黑体"/>
          <w:sz w:val="32"/>
          <w:szCs w:val="32"/>
        </w:rPr>
        <w:t>一、支持招大引强。</w:t>
      </w:r>
      <w:bookmarkStart w:id="10" w:name="OLE_LINK1"/>
      <w:bookmarkStart w:id="11" w:name="OLE_LINK2"/>
      <w:bookmarkStart w:id="12" w:name="OLE_LINK15"/>
      <w:bookmarkStart w:id="13" w:name="OLE_LINK14"/>
      <w:r>
        <w:rPr>
          <w:rFonts w:hint="eastAsia" w:ascii="Times New Roman" w:hAnsi="Times New Roman" w:eastAsia="仿宋_GB2312"/>
          <w:sz w:val="32"/>
          <w:szCs w:val="32"/>
        </w:rPr>
        <w:t>围绕“2+4+1”产业体系</w:t>
      </w:r>
      <w:bookmarkEnd w:id="10"/>
      <w:bookmarkEnd w:id="11"/>
      <w:r>
        <w:rPr>
          <w:rFonts w:hint="eastAsia" w:ascii="Times New Roman" w:hAnsi="Times New Roman" w:eastAsia="仿宋_GB2312"/>
          <w:sz w:val="32"/>
          <w:szCs w:val="32"/>
        </w:rPr>
        <w:t>，积极引进世界500强、中国企业500强、中国民营企业制造业500强、中国行业排名前5名企业及总部企业等，加强产业生态招商、场景招商、要素招商、载体招商等模式创新，着力推动强链、补链、延链的重大项目落户。对于新落户企业（项目），在项目建设、研发投入、设备投资、生产运营、贷款贴息等方面给予支持。加强招投联动，对投资规模大、带动作用强、示范效应好的产业项目，鼓励园区国有创投公司、产业投资基金、国资参股基金参与投资，最大限度发挥国资基金引导撬动作用。</w:t>
      </w:r>
      <w:bookmarkEnd w:id="12"/>
      <w:bookmarkEnd w:id="13"/>
    </w:p>
    <w:p>
      <w:pPr>
        <w:spacing w:line="560" w:lineRule="exact"/>
        <w:ind w:firstLine="640" w:firstLineChars="200"/>
        <w:rPr>
          <w:rFonts w:hint="eastAsia" w:ascii="Times New Roman" w:hAnsi="Times New Roman" w:eastAsia="仿宋_GB2312"/>
          <w:sz w:val="32"/>
          <w:szCs w:val="32"/>
        </w:rPr>
      </w:pPr>
      <w:bookmarkStart w:id="14" w:name="OLE_LINK27"/>
      <w:bookmarkStart w:id="15" w:name="OLE_LINK28"/>
      <w:r>
        <w:rPr>
          <w:rFonts w:hint="eastAsia" w:ascii="Times New Roman" w:hAnsi="Times New Roman" w:eastAsia="黑体"/>
          <w:sz w:val="32"/>
          <w:szCs w:val="32"/>
        </w:rPr>
        <w:t>二、扩大有效投入。</w:t>
      </w:r>
      <w:bookmarkEnd w:id="14"/>
      <w:bookmarkEnd w:id="15"/>
      <w:r>
        <w:rPr>
          <w:rFonts w:hint="eastAsia" w:ascii="Times New Roman" w:hAnsi="Times New Roman" w:eastAsia="仿宋_GB2312"/>
          <w:sz w:val="32"/>
          <w:szCs w:val="32"/>
        </w:rPr>
        <w:t>“四合一”推进设备更新、技术改造、智改数转网联、增资扩产。支持企业通过增资扩产、技术改造等方式扩大生产规模、调优产品结构，加大先进装备和高端软件投入力度，根据实际投入按比例给予支持。鼓励金融机构加大对工业领域贷款支持力度，对工业企业相关软硬件设备购置给予贴息支持。</w:t>
      </w:r>
    </w:p>
    <w:p>
      <w:pPr>
        <w:spacing w:line="560" w:lineRule="exact"/>
        <w:ind w:firstLine="640" w:firstLineChars="200"/>
        <w:rPr>
          <w:rFonts w:hint="eastAsia" w:ascii="Times New Roman" w:hAnsi="Times New Roman" w:eastAsia="仿宋_GB2312"/>
          <w:sz w:val="32"/>
          <w:szCs w:val="32"/>
        </w:rPr>
      </w:pPr>
      <w:r>
        <w:rPr>
          <w:rFonts w:hint="eastAsia" w:ascii="Times New Roman" w:hAnsi="Times New Roman" w:eastAsia="黑体"/>
          <w:sz w:val="32"/>
          <w:szCs w:val="32"/>
        </w:rPr>
        <w:t>三、推动规模增长。</w:t>
      </w:r>
      <w:r>
        <w:rPr>
          <w:rFonts w:hint="eastAsia" w:ascii="Times New Roman" w:hAnsi="Times New Roman" w:eastAsia="仿宋_GB2312"/>
          <w:sz w:val="32"/>
          <w:szCs w:val="32"/>
        </w:rPr>
        <w:t>加强优质企业培育力度，推动企业规模化、高质量发展。鼓励先进制造业企业争取产能、拓展订单、丰富产品，不断增加产值规模。支持现代服务业企业发展平台经济、挖掘市场潜力、培育新模式新业态，持续扩大市场份额。对贡献突出的企业，在研发投入、生产运营、市场开拓、房租减免等方面给予支持。</w:t>
      </w:r>
    </w:p>
    <w:p>
      <w:pPr>
        <w:spacing w:line="560" w:lineRule="exact"/>
        <w:ind w:firstLine="640" w:firstLineChars="200"/>
        <w:rPr>
          <w:rFonts w:hint="eastAsia" w:ascii="Times New Roman" w:hAnsi="Times New Roman" w:eastAsia="黑体"/>
          <w:sz w:val="32"/>
          <w:szCs w:val="32"/>
        </w:rPr>
      </w:pPr>
      <w:r>
        <w:rPr>
          <w:rFonts w:hint="eastAsia" w:ascii="Times New Roman" w:hAnsi="Times New Roman" w:eastAsia="黑体"/>
          <w:sz w:val="32"/>
          <w:szCs w:val="32"/>
        </w:rPr>
        <w:t>四、鼓励能级提升。</w:t>
      </w:r>
      <w:r>
        <w:rPr>
          <w:rFonts w:hint="eastAsia" w:ascii="Times New Roman" w:hAnsi="Times New Roman" w:eastAsia="仿宋_GB2312"/>
          <w:sz w:val="32"/>
          <w:szCs w:val="32"/>
        </w:rPr>
        <w:t>支持企业申报上级各类重大专项。鼓励优质企业加大对产业链相关企业的资源整合力度，对企业并购重组给予支持。推动总部经济高质量发展，对新认定总部企业给予支持。鼓励企业围绕高端化、智能化、绿色化、融合化方向，争取各类上级荣誉及认定，对获评企业给予支持。</w:t>
      </w:r>
    </w:p>
    <w:p>
      <w:pPr>
        <w:spacing w:line="560" w:lineRule="exact"/>
        <w:ind w:firstLine="640" w:firstLineChars="200"/>
        <w:rPr>
          <w:rFonts w:hint="eastAsia" w:ascii="Times New Roman" w:hAnsi="Times New Roman" w:eastAsia="仿宋_GB2312"/>
          <w:sz w:val="32"/>
          <w:szCs w:val="32"/>
        </w:rPr>
      </w:pPr>
      <w:r>
        <w:rPr>
          <w:rFonts w:hint="eastAsia" w:ascii="Times New Roman" w:hAnsi="Times New Roman" w:eastAsia="黑体"/>
          <w:sz w:val="32"/>
          <w:szCs w:val="32"/>
        </w:rPr>
        <w:t>五、优化要素供给。</w:t>
      </w:r>
      <w:bookmarkStart w:id="16" w:name="OLE_LINK19"/>
      <w:bookmarkStart w:id="17" w:name="OLE_LINK18"/>
      <w:r>
        <w:rPr>
          <w:rFonts w:hint="eastAsia" w:ascii="Times New Roman" w:hAnsi="Times New Roman" w:eastAsia="仿宋_GB2312"/>
          <w:sz w:val="32"/>
          <w:szCs w:val="32"/>
        </w:rPr>
        <w:t>打造高质量企业服务体系，提升企业服务效能，对推动产业强链、补链、延链的项目或企业，在项目审批、金融服务、人才引进等要素保障方面给予支持。优化项目审批流程，落实容缺预审、并联审批等工作举措，推动重点项目加快落地、开工、建成、投产。</w:t>
      </w:r>
      <w:bookmarkStart w:id="18" w:name="OLE_LINK16"/>
      <w:bookmarkStart w:id="19" w:name="OLE_LINK13"/>
      <w:r>
        <w:rPr>
          <w:rFonts w:hint="eastAsia" w:ascii="Times New Roman" w:hAnsi="Times New Roman" w:eastAsia="仿宋_GB2312"/>
          <w:sz w:val="32"/>
          <w:szCs w:val="32"/>
        </w:rPr>
        <w:t>推进产业用地更新，保障企业发展空间。</w:t>
      </w:r>
      <w:bookmarkEnd w:id="18"/>
      <w:bookmarkEnd w:id="19"/>
      <w:r>
        <w:rPr>
          <w:rFonts w:hint="eastAsia" w:ascii="Times New Roman" w:hAnsi="Times New Roman" w:eastAsia="仿宋_GB2312"/>
          <w:sz w:val="32"/>
          <w:szCs w:val="32"/>
        </w:rPr>
        <w:t>用好企业融资协调工作机制，为企业提供集成式、专业性金融服务。深入实施金鸡湖人才计划，加快汇聚产业创新创业人才。</w:t>
      </w:r>
      <w:bookmarkEnd w:id="16"/>
      <w:bookmarkEnd w:id="17"/>
    </w:p>
    <w:p>
      <w:pPr>
        <w:spacing w:line="560" w:lineRule="exact"/>
        <w:ind w:firstLine="640" w:firstLineChars="200"/>
        <w:rPr>
          <w:rFonts w:hint="eastAsia" w:ascii="Times New Roman" w:hAnsi="Times New Roman" w:eastAsia="仿宋_GB2312"/>
          <w:sz w:val="32"/>
          <w:szCs w:val="32"/>
        </w:rPr>
      </w:pPr>
      <w:r>
        <w:rPr>
          <w:rFonts w:hint="eastAsia" w:ascii="Times New Roman" w:hAnsi="Times New Roman" w:eastAsia="仿宋_GB2312"/>
          <w:sz w:val="32"/>
          <w:szCs w:val="32"/>
        </w:rPr>
        <w:t>对重大招商项目或重点企业，经</w:t>
      </w:r>
      <w:bookmarkStart w:id="20" w:name="OLE_LINK6"/>
      <w:bookmarkStart w:id="21" w:name="OLE_LINK5"/>
      <w:r>
        <w:rPr>
          <w:rFonts w:hint="eastAsia" w:ascii="Times New Roman" w:hAnsi="Times New Roman" w:eastAsia="仿宋_GB2312"/>
          <w:sz w:val="32"/>
          <w:szCs w:val="32"/>
        </w:rPr>
        <w:t>园区</w:t>
      </w:r>
      <w:bookmarkEnd w:id="20"/>
      <w:bookmarkEnd w:id="21"/>
      <w:r>
        <w:rPr>
          <w:rFonts w:hint="eastAsia" w:ascii="Times New Roman" w:hAnsi="Times New Roman" w:eastAsia="仿宋_GB2312"/>
          <w:sz w:val="32"/>
          <w:szCs w:val="32"/>
        </w:rPr>
        <w:t>招商亲商工作领导小组审议通过后，给予重点支持。</w:t>
      </w:r>
      <w:bookmarkStart w:id="22" w:name="OLE_LINK11"/>
      <w:bookmarkStart w:id="23" w:name="OLE_LINK12"/>
      <w:r>
        <w:rPr>
          <w:rFonts w:hint="eastAsia" w:ascii="Times New Roman" w:hAnsi="Times New Roman" w:eastAsia="仿宋_GB2312"/>
          <w:sz w:val="32"/>
          <w:szCs w:val="32"/>
        </w:rPr>
        <w:t>对产业细分领域，可根据实际需要出台专项政策予以支持。</w:t>
      </w:r>
      <w:bookmarkEnd w:id="22"/>
      <w:bookmarkEnd w:id="23"/>
      <w:r>
        <w:rPr>
          <w:rFonts w:hint="eastAsia" w:ascii="Times New Roman" w:hAnsi="Times New Roman" w:eastAsia="仿宋_GB2312"/>
          <w:sz w:val="32"/>
          <w:szCs w:val="32"/>
        </w:rPr>
        <w:t>本政策自印发之日起施行，有效期三年。如有其他同类优惠政策，按就高不重复原则执行。本政策由苏州工业园区经济发展委员会负责具体解释工作。</w:t>
      </w:r>
    </w:p>
    <w:p>
      <w:pPr>
        <w:spacing w:line="560" w:lineRule="exact"/>
        <w:ind w:firstLine="640" w:firstLineChars="200"/>
        <w:rPr>
          <w:rFonts w:hint="eastAsia" w:ascii="Times New Roman" w:hAnsi="Times New Roman" w:eastAsia="仿宋_GB2312"/>
          <w:sz w:val="32"/>
          <w:szCs w:val="32"/>
        </w:rPr>
      </w:pPr>
    </w:p>
    <w:p>
      <w:pPr>
        <w:autoSpaceDE w:val="0"/>
        <w:autoSpaceDN w:val="0"/>
        <w:adjustRightInd w:val="0"/>
        <w:spacing w:line="560" w:lineRule="exact"/>
        <w:ind w:left="3840" w:hanging="3840" w:hangingChars="1200"/>
        <w:rPr>
          <w:rFonts w:hint="eastAsia" w:ascii="Times New Roman" w:hAnsi="Times New Roman" w:eastAsia="仿宋"/>
          <w:bCs/>
          <w:sz w:val="32"/>
          <w:szCs w:val="32"/>
        </w:rPr>
      </w:pPr>
    </w:p>
    <w:p>
      <w:pPr>
        <w:spacing w:line="560" w:lineRule="exact"/>
        <w:jc w:val="center"/>
        <w:rPr>
          <w:rFonts w:hint="eastAsia" w:ascii="Times New Roman" w:hAnsi="Times New Roman" w:eastAsia="仿宋_GB2312"/>
          <w:sz w:val="32"/>
          <w:szCs w:val="32"/>
        </w:rPr>
      </w:pPr>
    </w:p>
    <w:p>
      <w:pPr>
        <w:spacing w:line="560" w:lineRule="exact"/>
        <w:jc w:val="center"/>
        <w:rPr>
          <w:rFonts w:hint="eastAsia" w:ascii="Times New Roman" w:hAnsi="Times New Roman" w:eastAsia="仿宋_GB2312"/>
          <w:sz w:val="32"/>
          <w:szCs w:val="32"/>
        </w:rPr>
      </w:pPr>
    </w:p>
    <w:p>
      <w:pPr>
        <w:spacing w:line="560" w:lineRule="exact"/>
        <w:jc w:val="center"/>
        <w:rPr>
          <w:rFonts w:hint="eastAsia" w:ascii="Times New Roman" w:hAnsi="Times New Roman" w:eastAsia="仿宋_GB2312"/>
          <w:sz w:val="32"/>
          <w:szCs w:val="32"/>
        </w:rPr>
      </w:pPr>
    </w:p>
    <w:p>
      <w:pPr>
        <w:spacing w:line="560" w:lineRule="exact"/>
        <w:jc w:val="center"/>
        <w:rPr>
          <w:rFonts w:hint="eastAsia" w:ascii="Times New Roman" w:hAnsi="Times New Roman" w:eastAsia="仿宋_GB2312"/>
          <w:sz w:val="32"/>
          <w:szCs w:val="32"/>
        </w:rPr>
      </w:pPr>
    </w:p>
    <w:p>
      <w:pPr>
        <w:spacing w:line="560" w:lineRule="exact"/>
        <w:jc w:val="center"/>
        <w:rPr>
          <w:rFonts w:hint="eastAsia" w:ascii="Times New Roman" w:hAnsi="Times New Roman" w:eastAsia="仿宋_GB2312"/>
          <w:sz w:val="32"/>
          <w:szCs w:val="32"/>
        </w:rPr>
      </w:pPr>
    </w:p>
    <w:p>
      <w:pPr>
        <w:spacing w:line="560" w:lineRule="exact"/>
        <w:jc w:val="center"/>
        <w:rPr>
          <w:rFonts w:hint="eastAsia" w:ascii="Times New Roman" w:hAnsi="Times New Roman" w:eastAsia="仿宋_GB2312"/>
          <w:sz w:val="32"/>
          <w:szCs w:val="32"/>
        </w:rPr>
      </w:pPr>
    </w:p>
    <w:p>
      <w:pPr>
        <w:spacing w:line="560" w:lineRule="exact"/>
        <w:jc w:val="center"/>
        <w:rPr>
          <w:rFonts w:hint="eastAsia" w:ascii="Times New Roman" w:hAnsi="Times New Roman" w:eastAsia="仿宋_GB2312"/>
          <w:sz w:val="32"/>
          <w:szCs w:val="32"/>
        </w:rPr>
      </w:pPr>
    </w:p>
    <w:p>
      <w:pPr>
        <w:spacing w:line="560" w:lineRule="exact"/>
        <w:jc w:val="center"/>
        <w:rPr>
          <w:rFonts w:hint="eastAsia" w:ascii="Times New Roman" w:hAnsi="Times New Roman" w:eastAsia="仿宋_GB2312"/>
          <w:sz w:val="32"/>
          <w:szCs w:val="32"/>
        </w:rPr>
      </w:pPr>
    </w:p>
    <w:p>
      <w:pPr>
        <w:spacing w:line="560" w:lineRule="exact"/>
        <w:jc w:val="center"/>
        <w:rPr>
          <w:rFonts w:hint="eastAsia" w:ascii="Times New Roman" w:hAnsi="Times New Roman" w:eastAsia="仿宋_GB2312"/>
          <w:sz w:val="32"/>
          <w:szCs w:val="32"/>
        </w:rPr>
      </w:pPr>
    </w:p>
    <w:p>
      <w:pPr>
        <w:spacing w:line="560" w:lineRule="exact"/>
        <w:jc w:val="center"/>
        <w:rPr>
          <w:rFonts w:hint="eastAsia" w:ascii="Times New Roman" w:hAnsi="Times New Roman" w:eastAsia="仿宋_GB2312"/>
          <w:sz w:val="32"/>
          <w:szCs w:val="32"/>
        </w:rPr>
      </w:pPr>
    </w:p>
    <w:p>
      <w:pPr>
        <w:spacing w:line="560" w:lineRule="exact"/>
        <w:jc w:val="center"/>
        <w:rPr>
          <w:rFonts w:hint="eastAsia" w:ascii="Times New Roman" w:hAnsi="Times New Roman" w:eastAsia="仿宋_GB2312"/>
          <w:sz w:val="32"/>
          <w:szCs w:val="32"/>
        </w:rPr>
      </w:pPr>
    </w:p>
    <w:p>
      <w:pPr>
        <w:spacing w:line="560" w:lineRule="exact"/>
        <w:jc w:val="center"/>
        <w:rPr>
          <w:rFonts w:hint="eastAsia" w:ascii="Times New Roman" w:hAnsi="Times New Roman" w:eastAsia="仿宋_GB2312"/>
          <w:sz w:val="32"/>
          <w:szCs w:val="32"/>
        </w:rPr>
      </w:pPr>
    </w:p>
    <w:p>
      <w:pPr>
        <w:spacing w:line="560" w:lineRule="exact"/>
        <w:jc w:val="center"/>
        <w:rPr>
          <w:rFonts w:hint="eastAsia" w:ascii="Times New Roman" w:hAnsi="Times New Roman" w:eastAsia="仿宋_GB2312"/>
          <w:sz w:val="32"/>
          <w:szCs w:val="32"/>
        </w:rPr>
      </w:pPr>
    </w:p>
    <w:p>
      <w:pPr>
        <w:spacing w:line="560" w:lineRule="exact"/>
        <w:jc w:val="center"/>
        <w:rPr>
          <w:rFonts w:hint="eastAsia" w:ascii="Times New Roman" w:hAnsi="Times New Roman" w:eastAsia="仿宋_GB2312"/>
          <w:sz w:val="32"/>
          <w:szCs w:val="32"/>
        </w:rPr>
      </w:pPr>
    </w:p>
    <w:p>
      <w:pPr>
        <w:spacing w:line="560" w:lineRule="exact"/>
        <w:jc w:val="center"/>
        <w:rPr>
          <w:rFonts w:hint="eastAsia" w:ascii="Times New Roman" w:hAnsi="Times New Roman" w:eastAsia="仿宋_GB2312"/>
          <w:sz w:val="32"/>
          <w:szCs w:val="32"/>
        </w:rPr>
      </w:pPr>
    </w:p>
    <w:tbl>
      <w:tblPr>
        <w:tblStyle w:val="12"/>
        <w:tblW w:w="0" w:type="auto"/>
        <w:tblInd w:w="0" w:type="dxa"/>
        <w:tblBorders>
          <w:top w:val="single" w:color="auto" w:sz="4" w:space="0"/>
          <w:left w:val="none" w:color="auto" w:sz="0" w:space="0"/>
          <w:bottom w:val="single" w:color="auto" w:sz="4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004"/>
      </w:tblGrid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004" w:type="dxa"/>
            <w:tcBorders>
              <w:top w:val="single" w:color="auto" w:sz="4" w:space="0"/>
            </w:tcBorders>
          </w:tcPr>
          <w:p>
            <w:pPr>
              <w:spacing w:line="400" w:lineRule="exact"/>
              <w:ind w:firstLine="170" w:firstLineChars="61"/>
              <w:jc w:val="left"/>
              <w:rPr>
                <w:rFonts w:hint="eastAsia" w:ascii="Times New Roman" w:hAnsi="Times New Roman" w:eastAsia="仿宋_GB2312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/>
                <w:sz w:val="28"/>
                <w:szCs w:val="28"/>
              </w:rPr>
              <w:t>抄送：人大工委</w:t>
            </w:r>
          </w:p>
        </w:tc>
      </w:tr>
      <w:tr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004" w:type="dxa"/>
            <w:tcBorders>
              <w:top w:val="single" w:color="auto" w:sz="4" w:space="0"/>
            </w:tcBorders>
          </w:tcPr>
          <w:p>
            <w:pPr>
              <w:spacing w:line="400" w:lineRule="exact"/>
              <w:ind w:firstLine="184" w:firstLineChars="66"/>
              <w:jc w:val="left"/>
              <w:rPr>
                <w:rFonts w:hint="eastAsia" w:ascii="Times New Roman" w:hAnsi="Times New Roman" w:eastAsia="仿宋_GB2312"/>
                <w:sz w:val="28"/>
                <w:szCs w:val="28"/>
              </w:rPr>
            </w:pPr>
            <w:r>
              <w:rPr>
                <w:rFonts w:hint="eastAsia" w:ascii="Times New Roman" w:hAnsi="Times New Roman" w:eastAsia="仿宋_GB2312"/>
                <w:sz w:val="28"/>
                <w:szCs w:val="28"/>
              </w:rPr>
              <w:t xml:space="preserve">苏州工业园区管理委员会          </w:t>
            </w:r>
            <w:r>
              <w:rPr>
                <w:rFonts w:hint="default" w:ascii="Times New Roman" w:hAnsi="Times New Roman" w:eastAsia="仿宋_GB2312"/>
                <w:sz w:val="28"/>
                <w:szCs w:val="28"/>
              </w:rPr>
              <w:t xml:space="preserve">               </w:t>
            </w:r>
            <w:bookmarkStart w:id="26" w:name="_GoBack"/>
            <w:bookmarkEnd w:id="26"/>
            <w:r>
              <w:rPr>
                <w:rFonts w:hint="eastAsia" w:ascii="Times New Roman" w:hAnsi="Times New Roman" w:eastAsia="仿宋_GB2312"/>
                <w:sz w:val="28"/>
                <w:szCs w:val="28"/>
              </w:rPr>
              <w:t xml:space="preserve">       2025年2月17日印发</w:t>
            </w:r>
          </w:p>
        </w:tc>
      </w:tr>
    </w:tbl>
    <w:p>
      <w:pPr>
        <w:spacing w:line="20" w:lineRule="exact"/>
        <w:ind w:right="65" w:rightChars="31"/>
        <w:jc w:val="right"/>
        <w:rPr>
          <w:rFonts w:hint="eastAsia" w:ascii="Times New Roman" w:hAnsi="Times New Roman" w:eastAsia="仿宋"/>
          <w:sz w:val="32"/>
          <w:szCs w:val="32"/>
        </w:rPr>
      </w:pPr>
      <w:bookmarkStart w:id="24" w:name="主送"/>
      <w:bookmarkEnd w:id="24"/>
      <w:bookmarkStart w:id="25" w:name="正文"/>
      <w:r>
        <w:rPr>
          <w:rFonts w:hint="eastAsia" w:ascii="Times New Roman" w:hAnsi="Times New Roman" w:eastAsia="仿宋"/>
          <w:sz w:val="32"/>
          <w:szCs w:val="32"/>
        </w:rPr>
        <w:t xml:space="preserve">                                                                    </w:t>
      </w:r>
      <w:bookmarkEnd w:id="25"/>
    </w:p>
    <w:sectPr>
      <w:footerReference r:id="rId3" w:type="default"/>
      <w:footerReference r:id="rId4" w:type="even"/>
      <w:pgSz w:w="11906" w:h="16838"/>
      <w:pgMar w:top="2041" w:right="1559" w:bottom="1928" w:left="1559" w:header="851" w:footer="1247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汉仪书宋二KW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altName w:val="Kingsoft Sign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Arial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Arial">
    <w:panose1 w:val="020B0604020202020204"/>
    <w:charset w:val="00"/>
    <w:family w:val="auto"/>
    <w:pitch w:val="default"/>
    <w:sig w:usb0="E0002AFF" w:usb1="C0007843" w:usb2="00000009" w:usb3="00000000" w:csb0="400001FF" w:csb1="FFFF0000"/>
  </w:font>
  <w:font w:name="汉仪书宋二KW">
    <w:panose1 w:val="00020600040101010101"/>
    <w:charset w:val="86"/>
    <w:family w:val="auto"/>
    <w:pitch w:val="default"/>
    <w:sig w:usb0="A00002BF" w:usb1="18EF7CFA" w:usb2="00000016" w:usb3="00000000" w:csb0="00040000" w:csb1="00000000"/>
  </w:font>
  <w:font w:name="Kingsoft Sign">
    <w:panose1 w:val="05050102010706020507"/>
    <w:charset w:val="00"/>
    <w:family w:val="auto"/>
    <w:pitch w:val="default"/>
    <w:sig w:usb0="00000000" w:usb1="00000000" w:usb2="00000000" w:usb3="00000000" w:csb0="80000000" w:csb1="00000000"/>
  </w:font>
  <w:font w:name="Cambria">
    <w:altName w:val="Georgia"/>
    <w:panose1 w:val="02040503050406030204"/>
    <w:charset w:val="00"/>
    <w:family w:val="roman"/>
    <w:pitch w:val="default"/>
    <w:sig w:usb0="00000000" w:usb1="00000000" w:usb2="02000000" w:usb3="00000000" w:csb0="0000019F" w:csb1="00000000"/>
  </w:font>
  <w:font w:name="Georgia">
    <w:panose1 w:val="02040502050405020303"/>
    <w:charset w:val="00"/>
    <w:family w:val="auto"/>
    <w:pitch w:val="default"/>
    <w:sig w:usb0="00000287" w:usb1="00000000" w:usb2="00000000" w:usb3="00000000" w:csb0="2000009F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DejaVu Sans">
    <w:panose1 w:val="020B0606030804020204"/>
    <w:charset w:val="00"/>
    <w:family w:val="auto"/>
    <w:pitch w:val="default"/>
    <w:sig w:usb0="E7006EFF" w:usb1="D200FDFF" w:usb2="0A246029" w:usb3="0400200C" w:csb0="600001FF" w:csb1="DFFF0000"/>
  </w:font>
  <w:font w:name="Noto Sans Symbols2">
    <w:panose1 w:val="020B0502040504020204"/>
    <w:charset w:val="00"/>
    <w:family w:val="auto"/>
    <w:pitch w:val="default"/>
    <w:sig w:usb0="80000003" w:usb1="0200E3E4" w:usb2="00040020" w:usb3="0580A048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rPr>
        <w:rFonts w:asciiTheme="minorEastAsia" w:hAnsiTheme="minorEastAsia"/>
        <w:sz w:val="28"/>
        <w:szCs w:val="28"/>
      </w:rPr>
      <w:id w:val="562066732"/>
      <w:docPartObj>
        <w:docPartGallery w:val="AutoText"/>
      </w:docPartObj>
    </w:sdtPr>
    <w:sdtEndPr>
      <w:rPr>
        <w:rFonts w:asciiTheme="minorEastAsia" w:hAnsiTheme="minorEastAsia"/>
        <w:sz w:val="28"/>
        <w:szCs w:val="28"/>
      </w:rPr>
    </w:sdtEndPr>
    <w:sdtContent>
      <w:p>
        <w:pPr>
          <w:pStyle w:val="7"/>
          <w:ind w:right="210" w:rightChars="100"/>
          <w:jc w:val="right"/>
          <w:rPr>
            <w:rFonts w:asciiTheme="minorEastAsia" w:hAnsiTheme="minorEastAsia"/>
            <w:sz w:val="28"/>
            <w:szCs w:val="28"/>
          </w:rPr>
        </w:pPr>
        <w:r>
          <w:rPr>
            <w:rFonts w:asciiTheme="minorEastAsia" w:hAnsiTheme="minorEastAsia"/>
            <w:sz w:val="28"/>
            <w:szCs w:val="28"/>
          </w:rPr>
          <w:t xml:space="preserve">— </w:t>
        </w:r>
        <w:r>
          <w:rPr>
            <w:rFonts w:asciiTheme="minorEastAsia" w:hAnsiTheme="minorEastAsia"/>
            <w:sz w:val="28"/>
            <w:szCs w:val="28"/>
          </w:rPr>
          <w:fldChar w:fldCharType="begin"/>
        </w:r>
        <w:r>
          <w:rPr>
            <w:rFonts w:asciiTheme="minorEastAsia" w:hAnsiTheme="minorEastAsia"/>
            <w:sz w:val="28"/>
            <w:szCs w:val="28"/>
          </w:rPr>
          <w:instrText xml:space="preserve">PAGE   \* MERGEFORMAT</w:instrText>
        </w:r>
        <w:r>
          <w:rPr>
            <w:rFonts w:asciiTheme="minorEastAsia" w:hAnsiTheme="minorEastAsia"/>
            <w:sz w:val="28"/>
            <w:szCs w:val="28"/>
          </w:rPr>
          <w:fldChar w:fldCharType="separate"/>
        </w:r>
        <w:r>
          <w:rPr>
            <w:rFonts w:asciiTheme="minorEastAsia" w:hAnsiTheme="minorEastAsia"/>
            <w:sz w:val="28"/>
            <w:szCs w:val="28"/>
            <w:lang w:val="zh-CN"/>
          </w:rPr>
          <w:t>1</w:t>
        </w:r>
        <w:r>
          <w:rPr>
            <w:rFonts w:asciiTheme="minorEastAsia" w:hAnsiTheme="minorEastAsia"/>
            <w:sz w:val="28"/>
            <w:szCs w:val="28"/>
          </w:rPr>
          <w:fldChar w:fldCharType="end"/>
        </w:r>
        <w:r>
          <w:rPr>
            <w:rFonts w:asciiTheme="minorEastAsia" w:hAnsiTheme="minorEastAsia"/>
            <w:sz w:val="28"/>
            <w:szCs w:val="28"/>
          </w:rPr>
          <w:t xml:space="preserve"> —</w:t>
        </w:r>
      </w:p>
    </w:sdtContent>
  </w:sdt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rPr>
        <w:rFonts w:asciiTheme="minorEastAsia" w:hAnsiTheme="minorEastAsia"/>
        <w:sz w:val="28"/>
        <w:szCs w:val="28"/>
      </w:rPr>
      <w:id w:val="1667905699"/>
      <w:docPartObj>
        <w:docPartGallery w:val="AutoText"/>
      </w:docPartObj>
    </w:sdtPr>
    <w:sdtEndPr>
      <w:rPr>
        <w:rFonts w:asciiTheme="minorEastAsia" w:hAnsiTheme="minorEastAsia"/>
        <w:sz w:val="28"/>
        <w:szCs w:val="28"/>
      </w:rPr>
    </w:sdtEndPr>
    <w:sdtContent>
      <w:p>
        <w:pPr>
          <w:pStyle w:val="7"/>
          <w:ind w:left="210" w:leftChars="100"/>
          <w:rPr>
            <w:rFonts w:asciiTheme="minorEastAsia" w:hAnsiTheme="minorEastAsia"/>
            <w:sz w:val="28"/>
            <w:szCs w:val="28"/>
          </w:rPr>
        </w:pPr>
        <w:r>
          <w:rPr>
            <w:rFonts w:asciiTheme="minorEastAsia" w:hAnsiTheme="minorEastAsia"/>
            <w:sz w:val="28"/>
            <w:szCs w:val="28"/>
          </w:rPr>
          <w:t xml:space="preserve">— </w:t>
        </w:r>
        <w:r>
          <w:rPr>
            <w:rFonts w:asciiTheme="minorEastAsia" w:hAnsiTheme="minorEastAsia"/>
            <w:sz w:val="28"/>
            <w:szCs w:val="28"/>
          </w:rPr>
          <w:fldChar w:fldCharType="begin"/>
        </w:r>
        <w:r>
          <w:rPr>
            <w:rFonts w:asciiTheme="minorEastAsia" w:hAnsiTheme="minorEastAsia"/>
            <w:sz w:val="28"/>
            <w:szCs w:val="28"/>
          </w:rPr>
          <w:instrText xml:space="preserve">PAGE   \* MERGEFORMAT</w:instrText>
        </w:r>
        <w:r>
          <w:rPr>
            <w:rFonts w:asciiTheme="minorEastAsia" w:hAnsiTheme="minorEastAsia"/>
            <w:sz w:val="28"/>
            <w:szCs w:val="28"/>
          </w:rPr>
          <w:fldChar w:fldCharType="separate"/>
        </w:r>
        <w:r>
          <w:rPr>
            <w:rFonts w:asciiTheme="minorEastAsia" w:hAnsiTheme="minorEastAsia"/>
            <w:sz w:val="28"/>
            <w:szCs w:val="28"/>
            <w:lang w:val="zh-CN"/>
          </w:rPr>
          <w:t>2</w:t>
        </w:r>
        <w:r>
          <w:rPr>
            <w:rFonts w:asciiTheme="minorEastAsia" w:hAnsiTheme="minorEastAsia"/>
            <w:sz w:val="28"/>
            <w:szCs w:val="28"/>
          </w:rPr>
          <w:fldChar w:fldCharType="end"/>
        </w:r>
        <w:r>
          <w:rPr>
            <w:rFonts w:asciiTheme="minorEastAsia" w:hAnsiTheme="minorEastAsia"/>
            <w:sz w:val="28"/>
            <w:szCs w:val="28"/>
          </w:rPr>
          <w:t xml:space="preserve"> —</w:t>
        </w:r>
      </w:p>
    </w:sdtContent>
  </w:sdt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evenAndOddHeaders w:val="1"/>
  <w:drawingGridHorizontalSpacing w:val="105"/>
  <w:drawingGridVerticalSpacing w:val="156"/>
  <w:displayHorizontalDrawingGridEvery w:val="2"/>
  <w:displayVerticalDrawingGridEvery w:val="2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63C8E"/>
    <w:rsid w:val="0000073F"/>
    <w:rsid w:val="00000DF5"/>
    <w:rsid w:val="00001880"/>
    <w:rsid w:val="00002F8B"/>
    <w:rsid w:val="00003F3E"/>
    <w:rsid w:val="000052C3"/>
    <w:rsid w:val="00005FDF"/>
    <w:rsid w:val="00006559"/>
    <w:rsid w:val="00007DBC"/>
    <w:rsid w:val="00010ED3"/>
    <w:rsid w:val="00011D3E"/>
    <w:rsid w:val="0001261A"/>
    <w:rsid w:val="0001373F"/>
    <w:rsid w:val="000139BE"/>
    <w:rsid w:val="0002048A"/>
    <w:rsid w:val="000208F4"/>
    <w:rsid w:val="000231CE"/>
    <w:rsid w:val="00024779"/>
    <w:rsid w:val="00027356"/>
    <w:rsid w:val="00031496"/>
    <w:rsid w:val="00031A90"/>
    <w:rsid w:val="00032431"/>
    <w:rsid w:val="00032E1C"/>
    <w:rsid w:val="00032FF2"/>
    <w:rsid w:val="000344AF"/>
    <w:rsid w:val="00036A58"/>
    <w:rsid w:val="00036DC4"/>
    <w:rsid w:val="00036FDC"/>
    <w:rsid w:val="0003710D"/>
    <w:rsid w:val="000376DF"/>
    <w:rsid w:val="00037DDF"/>
    <w:rsid w:val="000419E9"/>
    <w:rsid w:val="00042275"/>
    <w:rsid w:val="00047652"/>
    <w:rsid w:val="00051001"/>
    <w:rsid w:val="0005393F"/>
    <w:rsid w:val="0005634E"/>
    <w:rsid w:val="00062E7A"/>
    <w:rsid w:val="000634A4"/>
    <w:rsid w:val="00063F8C"/>
    <w:rsid w:val="00066581"/>
    <w:rsid w:val="00071340"/>
    <w:rsid w:val="00071A1A"/>
    <w:rsid w:val="0007366D"/>
    <w:rsid w:val="00075A80"/>
    <w:rsid w:val="00075FAD"/>
    <w:rsid w:val="00076D79"/>
    <w:rsid w:val="00076FCB"/>
    <w:rsid w:val="00080402"/>
    <w:rsid w:val="000849BF"/>
    <w:rsid w:val="00085D42"/>
    <w:rsid w:val="000908EE"/>
    <w:rsid w:val="00092B4A"/>
    <w:rsid w:val="000951DE"/>
    <w:rsid w:val="00095483"/>
    <w:rsid w:val="00096240"/>
    <w:rsid w:val="000974D5"/>
    <w:rsid w:val="000A0E5F"/>
    <w:rsid w:val="000A1D28"/>
    <w:rsid w:val="000A6FC3"/>
    <w:rsid w:val="000A71EC"/>
    <w:rsid w:val="000B0871"/>
    <w:rsid w:val="000B29D0"/>
    <w:rsid w:val="000B46CC"/>
    <w:rsid w:val="000C1C77"/>
    <w:rsid w:val="000C1EA0"/>
    <w:rsid w:val="000C6340"/>
    <w:rsid w:val="000D324B"/>
    <w:rsid w:val="000D5E7D"/>
    <w:rsid w:val="000D6639"/>
    <w:rsid w:val="000E01E0"/>
    <w:rsid w:val="000E0DF3"/>
    <w:rsid w:val="000E0EC1"/>
    <w:rsid w:val="000E1623"/>
    <w:rsid w:val="000E316F"/>
    <w:rsid w:val="000F26A2"/>
    <w:rsid w:val="000F2754"/>
    <w:rsid w:val="000F2758"/>
    <w:rsid w:val="000F7958"/>
    <w:rsid w:val="00100D8F"/>
    <w:rsid w:val="001010CF"/>
    <w:rsid w:val="00104C3C"/>
    <w:rsid w:val="001060F2"/>
    <w:rsid w:val="0011115B"/>
    <w:rsid w:val="00112519"/>
    <w:rsid w:val="0011624C"/>
    <w:rsid w:val="001206E8"/>
    <w:rsid w:val="00122BB8"/>
    <w:rsid w:val="001238D7"/>
    <w:rsid w:val="00127BF7"/>
    <w:rsid w:val="001316CB"/>
    <w:rsid w:val="00132DEB"/>
    <w:rsid w:val="00133FE7"/>
    <w:rsid w:val="00135B37"/>
    <w:rsid w:val="00135BB2"/>
    <w:rsid w:val="0013741C"/>
    <w:rsid w:val="00140435"/>
    <w:rsid w:val="00141EDF"/>
    <w:rsid w:val="00142C41"/>
    <w:rsid w:val="00143C77"/>
    <w:rsid w:val="001464DF"/>
    <w:rsid w:val="00146D12"/>
    <w:rsid w:val="001505BF"/>
    <w:rsid w:val="00151939"/>
    <w:rsid w:val="00152110"/>
    <w:rsid w:val="00154918"/>
    <w:rsid w:val="00166077"/>
    <w:rsid w:val="00170BA0"/>
    <w:rsid w:val="001768F6"/>
    <w:rsid w:val="00176945"/>
    <w:rsid w:val="001776B9"/>
    <w:rsid w:val="001778B4"/>
    <w:rsid w:val="001816B5"/>
    <w:rsid w:val="00182149"/>
    <w:rsid w:val="0018263C"/>
    <w:rsid w:val="00182DF3"/>
    <w:rsid w:val="001839DF"/>
    <w:rsid w:val="00183F36"/>
    <w:rsid w:val="00183F70"/>
    <w:rsid w:val="001852AF"/>
    <w:rsid w:val="0018613E"/>
    <w:rsid w:val="00186341"/>
    <w:rsid w:val="001904A9"/>
    <w:rsid w:val="00190541"/>
    <w:rsid w:val="00192C4D"/>
    <w:rsid w:val="001943A1"/>
    <w:rsid w:val="00196708"/>
    <w:rsid w:val="001A045F"/>
    <w:rsid w:val="001A2527"/>
    <w:rsid w:val="001A2CC7"/>
    <w:rsid w:val="001A5826"/>
    <w:rsid w:val="001A6287"/>
    <w:rsid w:val="001A7852"/>
    <w:rsid w:val="001A796E"/>
    <w:rsid w:val="001B262A"/>
    <w:rsid w:val="001B4151"/>
    <w:rsid w:val="001B44C6"/>
    <w:rsid w:val="001B60D8"/>
    <w:rsid w:val="001B6B97"/>
    <w:rsid w:val="001B7049"/>
    <w:rsid w:val="001C0388"/>
    <w:rsid w:val="001C539C"/>
    <w:rsid w:val="001C64D2"/>
    <w:rsid w:val="001C71E8"/>
    <w:rsid w:val="001D0EEB"/>
    <w:rsid w:val="001D2C0E"/>
    <w:rsid w:val="001D5685"/>
    <w:rsid w:val="001D5ECA"/>
    <w:rsid w:val="001E0CA9"/>
    <w:rsid w:val="001E2219"/>
    <w:rsid w:val="001E496F"/>
    <w:rsid w:val="001F36AA"/>
    <w:rsid w:val="001F4BD5"/>
    <w:rsid w:val="001F7440"/>
    <w:rsid w:val="002000A2"/>
    <w:rsid w:val="00200446"/>
    <w:rsid w:val="002009EF"/>
    <w:rsid w:val="00200B8A"/>
    <w:rsid w:val="00202176"/>
    <w:rsid w:val="00204744"/>
    <w:rsid w:val="0020753F"/>
    <w:rsid w:val="0021192F"/>
    <w:rsid w:val="00212340"/>
    <w:rsid w:val="00220C7E"/>
    <w:rsid w:val="00225BDE"/>
    <w:rsid w:val="002266EA"/>
    <w:rsid w:val="0023013D"/>
    <w:rsid w:val="0023570A"/>
    <w:rsid w:val="00243D39"/>
    <w:rsid w:val="0024541E"/>
    <w:rsid w:val="00246279"/>
    <w:rsid w:val="002469F8"/>
    <w:rsid w:val="00246F33"/>
    <w:rsid w:val="002470D0"/>
    <w:rsid w:val="002471E2"/>
    <w:rsid w:val="002521BF"/>
    <w:rsid w:val="00252340"/>
    <w:rsid w:val="00254432"/>
    <w:rsid w:val="00256368"/>
    <w:rsid w:val="002574FD"/>
    <w:rsid w:val="002622C1"/>
    <w:rsid w:val="00263630"/>
    <w:rsid w:val="00263999"/>
    <w:rsid w:val="00264FA9"/>
    <w:rsid w:val="00265F88"/>
    <w:rsid w:val="00267AD0"/>
    <w:rsid w:val="0027113C"/>
    <w:rsid w:val="002730D6"/>
    <w:rsid w:val="002734B4"/>
    <w:rsid w:val="00276A26"/>
    <w:rsid w:val="00281297"/>
    <w:rsid w:val="0028219D"/>
    <w:rsid w:val="00282CB6"/>
    <w:rsid w:val="00282EF0"/>
    <w:rsid w:val="00284627"/>
    <w:rsid w:val="00284E2A"/>
    <w:rsid w:val="00292387"/>
    <w:rsid w:val="0029360D"/>
    <w:rsid w:val="00293A8B"/>
    <w:rsid w:val="00294E0A"/>
    <w:rsid w:val="00296D15"/>
    <w:rsid w:val="002A2471"/>
    <w:rsid w:val="002A2709"/>
    <w:rsid w:val="002A2890"/>
    <w:rsid w:val="002A4A00"/>
    <w:rsid w:val="002A5B6A"/>
    <w:rsid w:val="002A5D79"/>
    <w:rsid w:val="002A5ED1"/>
    <w:rsid w:val="002B1F96"/>
    <w:rsid w:val="002B2215"/>
    <w:rsid w:val="002B38FF"/>
    <w:rsid w:val="002B41B4"/>
    <w:rsid w:val="002B48BD"/>
    <w:rsid w:val="002B4C95"/>
    <w:rsid w:val="002B540C"/>
    <w:rsid w:val="002C0FB7"/>
    <w:rsid w:val="002C1682"/>
    <w:rsid w:val="002C2D2B"/>
    <w:rsid w:val="002D09B8"/>
    <w:rsid w:val="002D1A11"/>
    <w:rsid w:val="002D366F"/>
    <w:rsid w:val="002D7175"/>
    <w:rsid w:val="002F1EF8"/>
    <w:rsid w:val="002F2220"/>
    <w:rsid w:val="002F4378"/>
    <w:rsid w:val="002F79D8"/>
    <w:rsid w:val="00306004"/>
    <w:rsid w:val="0030780D"/>
    <w:rsid w:val="00307A51"/>
    <w:rsid w:val="00310688"/>
    <w:rsid w:val="0031084D"/>
    <w:rsid w:val="00310B52"/>
    <w:rsid w:val="00312AC0"/>
    <w:rsid w:val="0031420E"/>
    <w:rsid w:val="003163AE"/>
    <w:rsid w:val="00316CBC"/>
    <w:rsid w:val="003201DA"/>
    <w:rsid w:val="00320736"/>
    <w:rsid w:val="00322A01"/>
    <w:rsid w:val="00325086"/>
    <w:rsid w:val="00326D0F"/>
    <w:rsid w:val="003275B2"/>
    <w:rsid w:val="003279DD"/>
    <w:rsid w:val="00330A96"/>
    <w:rsid w:val="003320FA"/>
    <w:rsid w:val="0033565C"/>
    <w:rsid w:val="00337398"/>
    <w:rsid w:val="00342883"/>
    <w:rsid w:val="003445D2"/>
    <w:rsid w:val="00347A44"/>
    <w:rsid w:val="00352F79"/>
    <w:rsid w:val="00355541"/>
    <w:rsid w:val="00355B08"/>
    <w:rsid w:val="00356B93"/>
    <w:rsid w:val="00360C87"/>
    <w:rsid w:val="00363C8E"/>
    <w:rsid w:val="00373064"/>
    <w:rsid w:val="0037581E"/>
    <w:rsid w:val="00375C1A"/>
    <w:rsid w:val="003815B2"/>
    <w:rsid w:val="003816C8"/>
    <w:rsid w:val="003860DA"/>
    <w:rsid w:val="00390A06"/>
    <w:rsid w:val="00390D7B"/>
    <w:rsid w:val="00390FED"/>
    <w:rsid w:val="003922CA"/>
    <w:rsid w:val="00395E64"/>
    <w:rsid w:val="00396F38"/>
    <w:rsid w:val="003A18AA"/>
    <w:rsid w:val="003A2898"/>
    <w:rsid w:val="003A2DDB"/>
    <w:rsid w:val="003A434C"/>
    <w:rsid w:val="003A67FA"/>
    <w:rsid w:val="003B17E1"/>
    <w:rsid w:val="003B5881"/>
    <w:rsid w:val="003B618E"/>
    <w:rsid w:val="003C2C11"/>
    <w:rsid w:val="003C3F1C"/>
    <w:rsid w:val="003C666F"/>
    <w:rsid w:val="003D062B"/>
    <w:rsid w:val="003D5343"/>
    <w:rsid w:val="003E0BF8"/>
    <w:rsid w:val="003E3522"/>
    <w:rsid w:val="003E4C96"/>
    <w:rsid w:val="003E59EC"/>
    <w:rsid w:val="003E6343"/>
    <w:rsid w:val="003E6C81"/>
    <w:rsid w:val="003E7663"/>
    <w:rsid w:val="003E7AFC"/>
    <w:rsid w:val="003F14E8"/>
    <w:rsid w:val="003F78E5"/>
    <w:rsid w:val="0040210F"/>
    <w:rsid w:val="00402E48"/>
    <w:rsid w:val="00403359"/>
    <w:rsid w:val="00403FC0"/>
    <w:rsid w:val="00404B17"/>
    <w:rsid w:val="00406C57"/>
    <w:rsid w:val="0041092D"/>
    <w:rsid w:val="00411E89"/>
    <w:rsid w:val="004121F9"/>
    <w:rsid w:val="004138F1"/>
    <w:rsid w:val="00414CF9"/>
    <w:rsid w:val="004155BB"/>
    <w:rsid w:val="00415665"/>
    <w:rsid w:val="0042031C"/>
    <w:rsid w:val="0042196F"/>
    <w:rsid w:val="00422AAA"/>
    <w:rsid w:val="00423962"/>
    <w:rsid w:val="00423A97"/>
    <w:rsid w:val="00423BF1"/>
    <w:rsid w:val="00425360"/>
    <w:rsid w:val="00425760"/>
    <w:rsid w:val="00426674"/>
    <w:rsid w:val="004269EA"/>
    <w:rsid w:val="00432106"/>
    <w:rsid w:val="0043279B"/>
    <w:rsid w:val="004337CF"/>
    <w:rsid w:val="00435DEC"/>
    <w:rsid w:val="00441D66"/>
    <w:rsid w:val="00445153"/>
    <w:rsid w:val="004501B1"/>
    <w:rsid w:val="00452091"/>
    <w:rsid w:val="00457373"/>
    <w:rsid w:val="004613F8"/>
    <w:rsid w:val="00461E24"/>
    <w:rsid w:val="00463414"/>
    <w:rsid w:val="00463C99"/>
    <w:rsid w:val="00465374"/>
    <w:rsid w:val="00465EF9"/>
    <w:rsid w:val="00466856"/>
    <w:rsid w:val="00466EF4"/>
    <w:rsid w:val="00476351"/>
    <w:rsid w:val="0047647F"/>
    <w:rsid w:val="0047694B"/>
    <w:rsid w:val="00476DA5"/>
    <w:rsid w:val="00480BA9"/>
    <w:rsid w:val="00481971"/>
    <w:rsid w:val="00486404"/>
    <w:rsid w:val="00487CB2"/>
    <w:rsid w:val="00487EC8"/>
    <w:rsid w:val="0049154A"/>
    <w:rsid w:val="0049259B"/>
    <w:rsid w:val="0049368F"/>
    <w:rsid w:val="00494792"/>
    <w:rsid w:val="00496CE2"/>
    <w:rsid w:val="00496F76"/>
    <w:rsid w:val="004A038D"/>
    <w:rsid w:val="004A1594"/>
    <w:rsid w:val="004A1F4D"/>
    <w:rsid w:val="004A466F"/>
    <w:rsid w:val="004A627D"/>
    <w:rsid w:val="004B0675"/>
    <w:rsid w:val="004B257F"/>
    <w:rsid w:val="004B503C"/>
    <w:rsid w:val="004B6174"/>
    <w:rsid w:val="004B6E93"/>
    <w:rsid w:val="004B7784"/>
    <w:rsid w:val="004B7D31"/>
    <w:rsid w:val="004C1111"/>
    <w:rsid w:val="004C2C2B"/>
    <w:rsid w:val="004C3799"/>
    <w:rsid w:val="004C564F"/>
    <w:rsid w:val="004C6896"/>
    <w:rsid w:val="004C7632"/>
    <w:rsid w:val="004D0184"/>
    <w:rsid w:val="004D1CF2"/>
    <w:rsid w:val="004D316D"/>
    <w:rsid w:val="004D3AAB"/>
    <w:rsid w:val="004D44ED"/>
    <w:rsid w:val="004D4751"/>
    <w:rsid w:val="004E1DDA"/>
    <w:rsid w:val="004E3266"/>
    <w:rsid w:val="004E338C"/>
    <w:rsid w:val="004E37FC"/>
    <w:rsid w:val="004E4BA0"/>
    <w:rsid w:val="004E5C33"/>
    <w:rsid w:val="004E6DA1"/>
    <w:rsid w:val="004F00F6"/>
    <w:rsid w:val="004F185E"/>
    <w:rsid w:val="004F1B13"/>
    <w:rsid w:val="004F33ED"/>
    <w:rsid w:val="004F4D49"/>
    <w:rsid w:val="004F718D"/>
    <w:rsid w:val="004F739B"/>
    <w:rsid w:val="004F7B8D"/>
    <w:rsid w:val="004F7F9D"/>
    <w:rsid w:val="00500D48"/>
    <w:rsid w:val="005035DE"/>
    <w:rsid w:val="0050525C"/>
    <w:rsid w:val="00507707"/>
    <w:rsid w:val="005100F8"/>
    <w:rsid w:val="0051042E"/>
    <w:rsid w:val="00510E92"/>
    <w:rsid w:val="005121BA"/>
    <w:rsid w:val="005147BF"/>
    <w:rsid w:val="0051506C"/>
    <w:rsid w:val="0052020B"/>
    <w:rsid w:val="00522285"/>
    <w:rsid w:val="005231BA"/>
    <w:rsid w:val="00524275"/>
    <w:rsid w:val="005244FA"/>
    <w:rsid w:val="005245F4"/>
    <w:rsid w:val="00525D32"/>
    <w:rsid w:val="005271DF"/>
    <w:rsid w:val="00527551"/>
    <w:rsid w:val="00531042"/>
    <w:rsid w:val="0053211D"/>
    <w:rsid w:val="00532B3E"/>
    <w:rsid w:val="005332CE"/>
    <w:rsid w:val="0054094E"/>
    <w:rsid w:val="00540F9E"/>
    <w:rsid w:val="005442B0"/>
    <w:rsid w:val="00544510"/>
    <w:rsid w:val="0054692A"/>
    <w:rsid w:val="00551DA8"/>
    <w:rsid w:val="00554288"/>
    <w:rsid w:val="00554717"/>
    <w:rsid w:val="00561EB4"/>
    <w:rsid w:val="00565147"/>
    <w:rsid w:val="0056669B"/>
    <w:rsid w:val="00566EA9"/>
    <w:rsid w:val="00577D5E"/>
    <w:rsid w:val="00580B79"/>
    <w:rsid w:val="00580D18"/>
    <w:rsid w:val="005838CE"/>
    <w:rsid w:val="005847E3"/>
    <w:rsid w:val="005857EF"/>
    <w:rsid w:val="00587B04"/>
    <w:rsid w:val="00590C5D"/>
    <w:rsid w:val="0059115C"/>
    <w:rsid w:val="00593D6A"/>
    <w:rsid w:val="00594EAA"/>
    <w:rsid w:val="00595716"/>
    <w:rsid w:val="00596347"/>
    <w:rsid w:val="005A167F"/>
    <w:rsid w:val="005A20D6"/>
    <w:rsid w:val="005A2ACB"/>
    <w:rsid w:val="005A2C3A"/>
    <w:rsid w:val="005A3D34"/>
    <w:rsid w:val="005A55B6"/>
    <w:rsid w:val="005A55FA"/>
    <w:rsid w:val="005B2598"/>
    <w:rsid w:val="005B3AF3"/>
    <w:rsid w:val="005B3D1F"/>
    <w:rsid w:val="005B5834"/>
    <w:rsid w:val="005B70B2"/>
    <w:rsid w:val="005C244F"/>
    <w:rsid w:val="005C4046"/>
    <w:rsid w:val="005C58B6"/>
    <w:rsid w:val="005D2480"/>
    <w:rsid w:val="005D3060"/>
    <w:rsid w:val="005D4E05"/>
    <w:rsid w:val="005D53B4"/>
    <w:rsid w:val="005D6717"/>
    <w:rsid w:val="005D7AB0"/>
    <w:rsid w:val="005E2EED"/>
    <w:rsid w:val="005E4AE2"/>
    <w:rsid w:val="005E67FE"/>
    <w:rsid w:val="005F08B5"/>
    <w:rsid w:val="005F215E"/>
    <w:rsid w:val="005F21AE"/>
    <w:rsid w:val="005F335B"/>
    <w:rsid w:val="006028FE"/>
    <w:rsid w:val="00604C86"/>
    <w:rsid w:val="00604D32"/>
    <w:rsid w:val="00611300"/>
    <w:rsid w:val="00613E1C"/>
    <w:rsid w:val="00614248"/>
    <w:rsid w:val="00614EEE"/>
    <w:rsid w:val="006153DE"/>
    <w:rsid w:val="00616869"/>
    <w:rsid w:val="00616CF9"/>
    <w:rsid w:val="006177B1"/>
    <w:rsid w:val="00620BB3"/>
    <w:rsid w:val="00625012"/>
    <w:rsid w:val="006273A4"/>
    <w:rsid w:val="0062770A"/>
    <w:rsid w:val="00627CED"/>
    <w:rsid w:val="00630194"/>
    <w:rsid w:val="00630440"/>
    <w:rsid w:val="006304F8"/>
    <w:rsid w:val="00630987"/>
    <w:rsid w:val="00632035"/>
    <w:rsid w:val="00633B2C"/>
    <w:rsid w:val="00633E13"/>
    <w:rsid w:val="00634DCA"/>
    <w:rsid w:val="006372CB"/>
    <w:rsid w:val="0063734B"/>
    <w:rsid w:val="006410E8"/>
    <w:rsid w:val="006426DC"/>
    <w:rsid w:val="00642D42"/>
    <w:rsid w:val="00643975"/>
    <w:rsid w:val="006464B5"/>
    <w:rsid w:val="00652976"/>
    <w:rsid w:val="006533B6"/>
    <w:rsid w:val="00653948"/>
    <w:rsid w:val="00655BF9"/>
    <w:rsid w:val="00655EA8"/>
    <w:rsid w:val="00656859"/>
    <w:rsid w:val="00657F4F"/>
    <w:rsid w:val="006631B2"/>
    <w:rsid w:val="0066512A"/>
    <w:rsid w:val="006734A4"/>
    <w:rsid w:val="00681370"/>
    <w:rsid w:val="006816E2"/>
    <w:rsid w:val="00682AB6"/>
    <w:rsid w:val="006841B1"/>
    <w:rsid w:val="00684643"/>
    <w:rsid w:val="006864BA"/>
    <w:rsid w:val="00691806"/>
    <w:rsid w:val="00691EB0"/>
    <w:rsid w:val="0069237A"/>
    <w:rsid w:val="006954B2"/>
    <w:rsid w:val="00695BD6"/>
    <w:rsid w:val="00696D56"/>
    <w:rsid w:val="006A1514"/>
    <w:rsid w:val="006A170A"/>
    <w:rsid w:val="006A1802"/>
    <w:rsid w:val="006A239D"/>
    <w:rsid w:val="006A3EEE"/>
    <w:rsid w:val="006A6242"/>
    <w:rsid w:val="006B090F"/>
    <w:rsid w:val="006B209E"/>
    <w:rsid w:val="006B552F"/>
    <w:rsid w:val="006B5D01"/>
    <w:rsid w:val="006C0B29"/>
    <w:rsid w:val="006C29EC"/>
    <w:rsid w:val="006C347B"/>
    <w:rsid w:val="006C416B"/>
    <w:rsid w:val="006C6F48"/>
    <w:rsid w:val="006D0415"/>
    <w:rsid w:val="006D0994"/>
    <w:rsid w:val="006D2E9C"/>
    <w:rsid w:val="006D3086"/>
    <w:rsid w:val="006D674E"/>
    <w:rsid w:val="006D758F"/>
    <w:rsid w:val="006E0659"/>
    <w:rsid w:val="006E21BC"/>
    <w:rsid w:val="006E2FA7"/>
    <w:rsid w:val="006E561A"/>
    <w:rsid w:val="006E5803"/>
    <w:rsid w:val="006E59AA"/>
    <w:rsid w:val="006E5AC7"/>
    <w:rsid w:val="006F0D07"/>
    <w:rsid w:val="006F534A"/>
    <w:rsid w:val="006F5832"/>
    <w:rsid w:val="0070075C"/>
    <w:rsid w:val="007008F2"/>
    <w:rsid w:val="00701091"/>
    <w:rsid w:val="00703FB3"/>
    <w:rsid w:val="00704149"/>
    <w:rsid w:val="00705679"/>
    <w:rsid w:val="00706B0C"/>
    <w:rsid w:val="00706B34"/>
    <w:rsid w:val="00706CCA"/>
    <w:rsid w:val="00706F28"/>
    <w:rsid w:val="00707150"/>
    <w:rsid w:val="00712E4D"/>
    <w:rsid w:val="00716B8A"/>
    <w:rsid w:val="007174EC"/>
    <w:rsid w:val="00717C6E"/>
    <w:rsid w:val="0072000C"/>
    <w:rsid w:val="00720729"/>
    <w:rsid w:val="00720B02"/>
    <w:rsid w:val="00721C95"/>
    <w:rsid w:val="00722672"/>
    <w:rsid w:val="00722D8D"/>
    <w:rsid w:val="007256A5"/>
    <w:rsid w:val="007263E5"/>
    <w:rsid w:val="00726C1D"/>
    <w:rsid w:val="00726C71"/>
    <w:rsid w:val="007277E6"/>
    <w:rsid w:val="0073030D"/>
    <w:rsid w:val="00732AD7"/>
    <w:rsid w:val="00733191"/>
    <w:rsid w:val="007336D8"/>
    <w:rsid w:val="00734476"/>
    <w:rsid w:val="00737CFB"/>
    <w:rsid w:val="00742469"/>
    <w:rsid w:val="007446D3"/>
    <w:rsid w:val="00744E1E"/>
    <w:rsid w:val="007456C0"/>
    <w:rsid w:val="00750A81"/>
    <w:rsid w:val="00750DA1"/>
    <w:rsid w:val="00751B07"/>
    <w:rsid w:val="00754BAC"/>
    <w:rsid w:val="00761FA1"/>
    <w:rsid w:val="00763588"/>
    <w:rsid w:val="007707A1"/>
    <w:rsid w:val="00770DB4"/>
    <w:rsid w:val="00771EE0"/>
    <w:rsid w:val="00775519"/>
    <w:rsid w:val="00780E8B"/>
    <w:rsid w:val="0078546A"/>
    <w:rsid w:val="00786C36"/>
    <w:rsid w:val="0079041E"/>
    <w:rsid w:val="007919EF"/>
    <w:rsid w:val="00792B97"/>
    <w:rsid w:val="00792D5D"/>
    <w:rsid w:val="007936D7"/>
    <w:rsid w:val="00796231"/>
    <w:rsid w:val="007A0DC8"/>
    <w:rsid w:val="007A3749"/>
    <w:rsid w:val="007A4277"/>
    <w:rsid w:val="007A429F"/>
    <w:rsid w:val="007A7345"/>
    <w:rsid w:val="007B0263"/>
    <w:rsid w:val="007B0F3A"/>
    <w:rsid w:val="007B1867"/>
    <w:rsid w:val="007B1BDE"/>
    <w:rsid w:val="007B34A6"/>
    <w:rsid w:val="007B3C23"/>
    <w:rsid w:val="007B470A"/>
    <w:rsid w:val="007B51F7"/>
    <w:rsid w:val="007C075D"/>
    <w:rsid w:val="007C0867"/>
    <w:rsid w:val="007C37D5"/>
    <w:rsid w:val="007C47BF"/>
    <w:rsid w:val="007C5122"/>
    <w:rsid w:val="007C798B"/>
    <w:rsid w:val="007C7BD5"/>
    <w:rsid w:val="007D045C"/>
    <w:rsid w:val="007D0A01"/>
    <w:rsid w:val="007D1485"/>
    <w:rsid w:val="007D1DE8"/>
    <w:rsid w:val="007D3070"/>
    <w:rsid w:val="007D4AD0"/>
    <w:rsid w:val="007D4AE6"/>
    <w:rsid w:val="007D4CD2"/>
    <w:rsid w:val="007D52F5"/>
    <w:rsid w:val="007D5929"/>
    <w:rsid w:val="007D639B"/>
    <w:rsid w:val="007D7AC5"/>
    <w:rsid w:val="007E0A0B"/>
    <w:rsid w:val="007E0E4B"/>
    <w:rsid w:val="007E3020"/>
    <w:rsid w:val="007E45BF"/>
    <w:rsid w:val="007E4D58"/>
    <w:rsid w:val="007E598F"/>
    <w:rsid w:val="007E609B"/>
    <w:rsid w:val="007E632B"/>
    <w:rsid w:val="007F2536"/>
    <w:rsid w:val="007F3038"/>
    <w:rsid w:val="007F5122"/>
    <w:rsid w:val="00800815"/>
    <w:rsid w:val="0080220E"/>
    <w:rsid w:val="008030E8"/>
    <w:rsid w:val="008049F2"/>
    <w:rsid w:val="00806BA7"/>
    <w:rsid w:val="00810048"/>
    <w:rsid w:val="008102E5"/>
    <w:rsid w:val="00810A87"/>
    <w:rsid w:val="008127F2"/>
    <w:rsid w:val="0081381D"/>
    <w:rsid w:val="0081661B"/>
    <w:rsid w:val="00816623"/>
    <w:rsid w:val="008174F1"/>
    <w:rsid w:val="0081796E"/>
    <w:rsid w:val="008203B5"/>
    <w:rsid w:val="00821690"/>
    <w:rsid w:val="0082193D"/>
    <w:rsid w:val="00824113"/>
    <w:rsid w:val="00826709"/>
    <w:rsid w:val="008334C1"/>
    <w:rsid w:val="00833B6B"/>
    <w:rsid w:val="00835ED4"/>
    <w:rsid w:val="0085068D"/>
    <w:rsid w:val="0085222C"/>
    <w:rsid w:val="008525C3"/>
    <w:rsid w:val="00852DD1"/>
    <w:rsid w:val="00853C64"/>
    <w:rsid w:val="00854404"/>
    <w:rsid w:val="008544AF"/>
    <w:rsid w:val="0085658C"/>
    <w:rsid w:val="00856614"/>
    <w:rsid w:val="00861186"/>
    <w:rsid w:val="00861340"/>
    <w:rsid w:val="00865406"/>
    <w:rsid w:val="00867038"/>
    <w:rsid w:val="008722CC"/>
    <w:rsid w:val="00872B71"/>
    <w:rsid w:val="00873E8E"/>
    <w:rsid w:val="00874904"/>
    <w:rsid w:val="00874F4C"/>
    <w:rsid w:val="00875DC0"/>
    <w:rsid w:val="00876732"/>
    <w:rsid w:val="0087724C"/>
    <w:rsid w:val="008777EC"/>
    <w:rsid w:val="008833E8"/>
    <w:rsid w:val="00883D71"/>
    <w:rsid w:val="00885E1C"/>
    <w:rsid w:val="0089156D"/>
    <w:rsid w:val="00894329"/>
    <w:rsid w:val="008A55C0"/>
    <w:rsid w:val="008A6EBB"/>
    <w:rsid w:val="008B03B1"/>
    <w:rsid w:val="008B2F67"/>
    <w:rsid w:val="008B555C"/>
    <w:rsid w:val="008C1623"/>
    <w:rsid w:val="008C2FC8"/>
    <w:rsid w:val="008C38DE"/>
    <w:rsid w:val="008C3DA9"/>
    <w:rsid w:val="008C7AE0"/>
    <w:rsid w:val="008D0365"/>
    <w:rsid w:val="008D07E7"/>
    <w:rsid w:val="008D0F39"/>
    <w:rsid w:val="008D17D7"/>
    <w:rsid w:val="008D29DE"/>
    <w:rsid w:val="008D5C8E"/>
    <w:rsid w:val="008D5DD1"/>
    <w:rsid w:val="008D7558"/>
    <w:rsid w:val="008E3C4F"/>
    <w:rsid w:val="008E63AE"/>
    <w:rsid w:val="008E6D22"/>
    <w:rsid w:val="008E7902"/>
    <w:rsid w:val="008F138F"/>
    <w:rsid w:val="008F2099"/>
    <w:rsid w:val="008F423E"/>
    <w:rsid w:val="008F5622"/>
    <w:rsid w:val="00903230"/>
    <w:rsid w:val="00904989"/>
    <w:rsid w:val="00904A51"/>
    <w:rsid w:val="00906082"/>
    <w:rsid w:val="00906927"/>
    <w:rsid w:val="00911884"/>
    <w:rsid w:val="00911D13"/>
    <w:rsid w:val="00914360"/>
    <w:rsid w:val="009144D2"/>
    <w:rsid w:val="00914B8D"/>
    <w:rsid w:val="009162D0"/>
    <w:rsid w:val="0092087F"/>
    <w:rsid w:val="009215AA"/>
    <w:rsid w:val="009231D5"/>
    <w:rsid w:val="00923BF3"/>
    <w:rsid w:val="00924FE7"/>
    <w:rsid w:val="0092603D"/>
    <w:rsid w:val="00927818"/>
    <w:rsid w:val="0093005B"/>
    <w:rsid w:val="00930746"/>
    <w:rsid w:val="00930A27"/>
    <w:rsid w:val="0093320E"/>
    <w:rsid w:val="009349E4"/>
    <w:rsid w:val="0093513C"/>
    <w:rsid w:val="009373D6"/>
    <w:rsid w:val="009401FF"/>
    <w:rsid w:val="0094024B"/>
    <w:rsid w:val="00941B6B"/>
    <w:rsid w:val="00942157"/>
    <w:rsid w:val="00942392"/>
    <w:rsid w:val="0094334E"/>
    <w:rsid w:val="009433AF"/>
    <w:rsid w:val="009436B2"/>
    <w:rsid w:val="0094379C"/>
    <w:rsid w:val="00943A83"/>
    <w:rsid w:val="00943FFD"/>
    <w:rsid w:val="00947106"/>
    <w:rsid w:val="0094728F"/>
    <w:rsid w:val="009472DF"/>
    <w:rsid w:val="00951E33"/>
    <w:rsid w:val="00951F14"/>
    <w:rsid w:val="00952C6C"/>
    <w:rsid w:val="00953E49"/>
    <w:rsid w:val="009565E7"/>
    <w:rsid w:val="00957097"/>
    <w:rsid w:val="00961178"/>
    <w:rsid w:val="0096429A"/>
    <w:rsid w:val="00965E30"/>
    <w:rsid w:val="009706F9"/>
    <w:rsid w:val="00970F94"/>
    <w:rsid w:val="00973247"/>
    <w:rsid w:val="00974C9F"/>
    <w:rsid w:val="009753C5"/>
    <w:rsid w:val="00976069"/>
    <w:rsid w:val="00977CDD"/>
    <w:rsid w:val="00980EAF"/>
    <w:rsid w:val="00982DF5"/>
    <w:rsid w:val="009868A6"/>
    <w:rsid w:val="009917A0"/>
    <w:rsid w:val="00992B4B"/>
    <w:rsid w:val="009A2812"/>
    <w:rsid w:val="009A42AC"/>
    <w:rsid w:val="009A4FE0"/>
    <w:rsid w:val="009A50D4"/>
    <w:rsid w:val="009B0F0B"/>
    <w:rsid w:val="009B1E26"/>
    <w:rsid w:val="009B2203"/>
    <w:rsid w:val="009B40B3"/>
    <w:rsid w:val="009B5B08"/>
    <w:rsid w:val="009B5ED6"/>
    <w:rsid w:val="009C144F"/>
    <w:rsid w:val="009C51CA"/>
    <w:rsid w:val="009C587F"/>
    <w:rsid w:val="009C5D26"/>
    <w:rsid w:val="009C6849"/>
    <w:rsid w:val="009C754C"/>
    <w:rsid w:val="009D0C62"/>
    <w:rsid w:val="009D2FA4"/>
    <w:rsid w:val="009D6733"/>
    <w:rsid w:val="009E0CDD"/>
    <w:rsid w:val="009E2A5C"/>
    <w:rsid w:val="009E6DD3"/>
    <w:rsid w:val="009F0837"/>
    <w:rsid w:val="009F1198"/>
    <w:rsid w:val="009F1AE7"/>
    <w:rsid w:val="009F1C17"/>
    <w:rsid w:val="009F2381"/>
    <w:rsid w:val="009F3017"/>
    <w:rsid w:val="009F6E86"/>
    <w:rsid w:val="00A018DA"/>
    <w:rsid w:val="00A03A13"/>
    <w:rsid w:val="00A0678C"/>
    <w:rsid w:val="00A176C7"/>
    <w:rsid w:val="00A20ADB"/>
    <w:rsid w:val="00A22D7E"/>
    <w:rsid w:val="00A233B2"/>
    <w:rsid w:val="00A23C97"/>
    <w:rsid w:val="00A26A1F"/>
    <w:rsid w:val="00A311C4"/>
    <w:rsid w:val="00A312E5"/>
    <w:rsid w:val="00A3154C"/>
    <w:rsid w:val="00A42EBC"/>
    <w:rsid w:val="00A46DFA"/>
    <w:rsid w:val="00A50849"/>
    <w:rsid w:val="00A52006"/>
    <w:rsid w:val="00A563DD"/>
    <w:rsid w:val="00A5650E"/>
    <w:rsid w:val="00A61A7B"/>
    <w:rsid w:val="00A63AA4"/>
    <w:rsid w:val="00A642F2"/>
    <w:rsid w:val="00A65393"/>
    <w:rsid w:val="00A7130E"/>
    <w:rsid w:val="00A73F7D"/>
    <w:rsid w:val="00A75F3F"/>
    <w:rsid w:val="00A8144E"/>
    <w:rsid w:val="00A83CFB"/>
    <w:rsid w:val="00A849AE"/>
    <w:rsid w:val="00A90704"/>
    <w:rsid w:val="00A919AF"/>
    <w:rsid w:val="00A9264F"/>
    <w:rsid w:val="00A92AD8"/>
    <w:rsid w:val="00A92C63"/>
    <w:rsid w:val="00A939BC"/>
    <w:rsid w:val="00A94E3B"/>
    <w:rsid w:val="00A968F9"/>
    <w:rsid w:val="00A97317"/>
    <w:rsid w:val="00AA2142"/>
    <w:rsid w:val="00AA6A76"/>
    <w:rsid w:val="00AB2340"/>
    <w:rsid w:val="00AB2F4D"/>
    <w:rsid w:val="00AB32E4"/>
    <w:rsid w:val="00AB45A9"/>
    <w:rsid w:val="00AB7660"/>
    <w:rsid w:val="00AC12B8"/>
    <w:rsid w:val="00AC3664"/>
    <w:rsid w:val="00AC4169"/>
    <w:rsid w:val="00AC4FF7"/>
    <w:rsid w:val="00AC6344"/>
    <w:rsid w:val="00AC7D1E"/>
    <w:rsid w:val="00AD0464"/>
    <w:rsid w:val="00AD04D9"/>
    <w:rsid w:val="00AD0B7B"/>
    <w:rsid w:val="00AD204B"/>
    <w:rsid w:val="00AD226E"/>
    <w:rsid w:val="00AD5961"/>
    <w:rsid w:val="00AD6A96"/>
    <w:rsid w:val="00AD7A62"/>
    <w:rsid w:val="00AE0D34"/>
    <w:rsid w:val="00AE4794"/>
    <w:rsid w:val="00AE5189"/>
    <w:rsid w:val="00AE5C16"/>
    <w:rsid w:val="00AE5CD8"/>
    <w:rsid w:val="00AE6055"/>
    <w:rsid w:val="00AE71F6"/>
    <w:rsid w:val="00AF32E4"/>
    <w:rsid w:val="00AF5610"/>
    <w:rsid w:val="00AF64F1"/>
    <w:rsid w:val="00B0053C"/>
    <w:rsid w:val="00B00C1B"/>
    <w:rsid w:val="00B01770"/>
    <w:rsid w:val="00B04285"/>
    <w:rsid w:val="00B04917"/>
    <w:rsid w:val="00B076C5"/>
    <w:rsid w:val="00B22EA3"/>
    <w:rsid w:val="00B23E33"/>
    <w:rsid w:val="00B24624"/>
    <w:rsid w:val="00B265C1"/>
    <w:rsid w:val="00B279D1"/>
    <w:rsid w:val="00B27E78"/>
    <w:rsid w:val="00B30C08"/>
    <w:rsid w:val="00B30D7C"/>
    <w:rsid w:val="00B32C2D"/>
    <w:rsid w:val="00B34895"/>
    <w:rsid w:val="00B34D9C"/>
    <w:rsid w:val="00B36F01"/>
    <w:rsid w:val="00B37251"/>
    <w:rsid w:val="00B42DEC"/>
    <w:rsid w:val="00B45966"/>
    <w:rsid w:val="00B476E9"/>
    <w:rsid w:val="00B55462"/>
    <w:rsid w:val="00B569A1"/>
    <w:rsid w:val="00B56D74"/>
    <w:rsid w:val="00B57D0A"/>
    <w:rsid w:val="00B6031B"/>
    <w:rsid w:val="00B61691"/>
    <w:rsid w:val="00B63247"/>
    <w:rsid w:val="00B635E5"/>
    <w:rsid w:val="00B710A9"/>
    <w:rsid w:val="00B725E6"/>
    <w:rsid w:val="00B72D52"/>
    <w:rsid w:val="00B74455"/>
    <w:rsid w:val="00B75847"/>
    <w:rsid w:val="00B76044"/>
    <w:rsid w:val="00B821E8"/>
    <w:rsid w:val="00B83DD8"/>
    <w:rsid w:val="00B83F21"/>
    <w:rsid w:val="00B8493E"/>
    <w:rsid w:val="00B85286"/>
    <w:rsid w:val="00B922C4"/>
    <w:rsid w:val="00B92CC7"/>
    <w:rsid w:val="00B94972"/>
    <w:rsid w:val="00BA0C77"/>
    <w:rsid w:val="00BA2442"/>
    <w:rsid w:val="00BA436D"/>
    <w:rsid w:val="00BA7A28"/>
    <w:rsid w:val="00BB101C"/>
    <w:rsid w:val="00BB1B9C"/>
    <w:rsid w:val="00BB221E"/>
    <w:rsid w:val="00BB2268"/>
    <w:rsid w:val="00BB254A"/>
    <w:rsid w:val="00BB2890"/>
    <w:rsid w:val="00BB77FE"/>
    <w:rsid w:val="00BC0948"/>
    <w:rsid w:val="00BC2BF1"/>
    <w:rsid w:val="00BC35AE"/>
    <w:rsid w:val="00BC60AA"/>
    <w:rsid w:val="00BC65FD"/>
    <w:rsid w:val="00BC67E9"/>
    <w:rsid w:val="00BC6F05"/>
    <w:rsid w:val="00BD1947"/>
    <w:rsid w:val="00BD6976"/>
    <w:rsid w:val="00BD70EF"/>
    <w:rsid w:val="00BD7A1A"/>
    <w:rsid w:val="00BE09B2"/>
    <w:rsid w:val="00BE13BD"/>
    <w:rsid w:val="00BF271C"/>
    <w:rsid w:val="00BF2D5B"/>
    <w:rsid w:val="00BF31D7"/>
    <w:rsid w:val="00BF5337"/>
    <w:rsid w:val="00BF7D7D"/>
    <w:rsid w:val="00C00505"/>
    <w:rsid w:val="00C06157"/>
    <w:rsid w:val="00C0690C"/>
    <w:rsid w:val="00C13CFE"/>
    <w:rsid w:val="00C14710"/>
    <w:rsid w:val="00C15CD5"/>
    <w:rsid w:val="00C16E2A"/>
    <w:rsid w:val="00C16F30"/>
    <w:rsid w:val="00C17083"/>
    <w:rsid w:val="00C21A73"/>
    <w:rsid w:val="00C22E08"/>
    <w:rsid w:val="00C25512"/>
    <w:rsid w:val="00C25938"/>
    <w:rsid w:val="00C2593C"/>
    <w:rsid w:val="00C26C3C"/>
    <w:rsid w:val="00C276B5"/>
    <w:rsid w:val="00C27D44"/>
    <w:rsid w:val="00C31ADD"/>
    <w:rsid w:val="00C365FA"/>
    <w:rsid w:val="00C400F7"/>
    <w:rsid w:val="00C40BC0"/>
    <w:rsid w:val="00C458BB"/>
    <w:rsid w:val="00C51A21"/>
    <w:rsid w:val="00C54721"/>
    <w:rsid w:val="00C57F7A"/>
    <w:rsid w:val="00C6407B"/>
    <w:rsid w:val="00C65D3D"/>
    <w:rsid w:val="00C6776B"/>
    <w:rsid w:val="00C70FEB"/>
    <w:rsid w:val="00C7214C"/>
    <w:rsid w:val="00C750B8"/>
    <w:rsid w:val="00C75418"/>
    <w:rsid w:val="00C760AC"/>
    <w:rsid w:val="00C81066"/>
    <w:rsid w:val="00C8169A"/>
    <w:rsid w:val="00C90F92"/>
    <w:rsid w:val="00C913CC"/>
    <w:rsid w:val="00C918D5"/>
    <w:rsid w:val="00C9197A"/>
    <w:rsid w:val="00C91A7D"/>
    <w:rsid w:val="00C92B63"/>
    <w:rsid w:val="00C9554E"/>
    <w:rsid w:val="00C96115"/>
    <w:rsid w:val="00CA05F3"/>
    <w:rsid w:val="00CA0934"/>
    <w:rsid w:val="00CA272C"/>
    <w:rsid w:val="00CA51B7"/>
    <w:rsid w:val="00CA6BC0"/>
    <w:rsid w:val="00CA72FE"/>
    <w:rsid w:val="00CB112C"/>
    <w:rsid w:val="00CB1A53"/>
    <w:rsid w:val="00CB43C5"/>
    <w:rsid w:val="00CC0C22"/>
    <w:rsid w:val="00CC2AFC"/>
    <w:rsid w:val="00CC3EC9"/>
    <w:rsid w:val="00CC4144"/>
    <w:rsid w:val="00CC5687"/>
    <w:rsid w:val="00CD2D77"/>
    <w:rsid w:val="00CD596A"/>
    <w:rsid w:val="00CD6147"/>
    <w:rsid w:val="00CD6757"/>
    <w:rsid w:val="00CD798A"/>
    <w:rsid w:val="00CE04E2"/>
    <w:rsid w:val="00CE433A"/>
    <w:rsid w:val="00CE6957"/>
    <w:rsid w:val="00CE70E9"/>
    <w:rsid w:val="00CF101C"/>
    <w:rsid w:val="00CF3FE4"/>
    <w:rsid w:val="00CF41BB"/>
    <w:rsid w:val="00CF65DD"/>
    <w:rsid w:val="00D00767"/>
    <w:rsid w:val="00D016CA"/>
    <w:rsid w:val="00D03753"/>
    <w:rsid w:val="00D03FC2"/>
    <w:rsid w:val="00D04148"/>
    <w:rsid w:val="00D048BA"/>
    <w:rsid w:val="00D04CA1"/>
    <w:rsid w:val="00D06293"/>
    <w:rsid w:val="00D072BF"/>
    <w:rsid w:val="00D07ED0"/>
    <w:rsid w:val="00D07EF7"/>
    <w:rsid w:val="00D13B20"/>
    <w:rsid w:val="00D16300"/>
    <w:rsid w:val="00D22B6F"/>
    <w:rsid w:val="00D23A51"/>
    <w:rsid w:val="00D2496C"/>
    <w:rsid w:val="00D25E40"/>
    <w:rsid w:val="00D26903"/>
    <w:rsid w:val="00D269B6"/>
    <w:rsid w:val="00D27303"/>
    <w:rsid w:val="00D308D8"/>
    <w:rsid w:val="00D316D8"/>
    <w:rsid w:val="00D328D7"/>
    <w:rsid w:val="00D36171"/>
    <w:rsid w:val="00D40F36"/>
    <w:rsid w:val="00D41184"/>
    <w:rsid w:val="00D42771"/>
    <w:rsid w:val="00D443F2"/>
    <w:rsid w:val="00D45A82"/>
    <w:rsid w:val="00D45EA3"/>
    <w:rsid w:val="00D47BA0"/>
    <w:rsid w:val="00D5078C"/>
    <w:rsid w:val="00D50E79"/>
    <w:rsid w:val="00D51C86"/>
    <w:rsid w:val="00D52C91"/>
    <w:rsid w:val="00D5477C"/>
    <w:rsid w:val="00D66B91"/>
    <w:rsid w:val="00D67FC4"/>
    <w:rsid w:val="00D81EB1"/>
    <w:rsid w:val="00D823BC"/>
    <w:rsid w:val="00D827AE"/>
    <w:rsid w:val="00D82F40"/>
    <w:rsid w:val="00D84E68"/>
    <w:rsid w:val="00D856B4"/>
    <w:rsid w:val="00D91089"/>
    <w:rsid w:val="00D912E6"/>
    <w:rsid w:val="00D913E4"/>
    <w:rsid w:val="00D91873"/>
    <w:rsid w:val="00D95288"/>
    <w:rsid w:val="00D95856"/>
    <w:rsid w:val="00D969C3"/>
    <w:rsid w:val="00DA0BF6"/>
    <w:rsid w:val="00DA31E3"/>
    <w:rsid w:val="00DA4C4B"/>
    <w:rsid w:val="00DA622D"/>
    <w:rsid w:val="00DA66FF"/>
    <w:rsid w:val="00DA6BE9"/>
    <w:rsid w:val="00DA7241"/>
    <w:rsid w:val="00DA77C7"/>
    <w:rsid w:val="00DA7BE3"/>
    <w:rsid w:val="00DA7E9F"/>
    <w:rsid w:val="00DB1AB8"/>
    <w:rsid w:val="00DB208B"/>
    <w:rsid w:val="00DB32C2"/>
    <w:rsid w:val="00DB7044"/>
    <w:rsid w:val="00DC3F4E"/>
    <w:rsid w:val="00DC4F83"/>
    <w:rsid w:val="00DC64C9"/>
    <w:rsid w:val="00DC6AF8"/>
    <w:rsid w:val="00DC6CF2"/>
    <w:rsid w:val="00DD4551"/>
    <w:rsid w:val="00DD4882"/>
    <w:rsid w:val="00DE0B66"/>
    <w:rsid w:val="00DE11D3"/>
    <w:rsid w:val="00DE24A2"/>
    <w:rsid w:val="00DE2ADE"/>
    <w:rsid w:val="00DE2E81"/>
    <w:rsid w:val="00DE311A"/>
    <w:rsid w:val="00DE4568"/>
    <w:rsid w:val="00DE473F"/>
    <w:rsid w:val="00DF2517"/>
    <w:rsid w:val="00DF4F32"/>
    <w:rsid w:val="00DF6352"/>
    <w:rsid w:val="00DF73CF"/>
    <w:rsid w:val="00E02784"/>
    <w:rsid w:val="00E029CD"/>
    <w:rsid w:val="00E04AF8"/>
    <w:rsid w:val="00E04B12"/>
    <w:rsid w:val="00E04FCB"/>
    <w:rsid w:val="00E05D46"/>
    <w:rsid w:val="00E06350"/>
    <w:rsid w:val="00E10E70"/>
    <w:rsid w:val="00E116CD"/>
    <w:rsid w:val="00E11ABA"/>
    <w:rsid w:val="00E129E7"/>
    <w:rsid w:val="00E21BB5"/>
    <w:rsid w:val="00E22373"/>
    <w:rsid w:val="00E23EA5"/>
    <w:rsid w:val="00E241F2"/>
    <w:rsid w:val="00E265F1"/>
    <w:rsid w:val="00E30609"/>
    <w:rsid w:val="00E31325"/>
    <w:rsid w:val="00E3245A"/>
    <w:rsid w:val="00E32A69"/>
    <w:rsid w:val="00E337F5"/>
    <w:rsid w:val="00E339CC"/>
    <w:rsid w:val="00E35089"/>
    <w:rsid w:val="00E35F52"/>
    <w:rsid w:val="00E36B02"/>
    <w:rsid w:val="00E376DA"/>
    <w:rsid w:val="00E410B9"/>
    <w:rsid w:val="00E4206E"/>
    <w:rsid w:val="00E44EBB"/>
    <w:rsid w:val="00E461F1"/>
    <w:rsid w:val="00E52108"/>
    <w:rsid w:val="00E52B70"/>
    <w:rsid w:val="00E5459C"/>
    <w:rsid w:val="00E562AF"/>
    <w:rsid w:val="00E57988"/>
    <w:rsid w:val="00E6069D"/>
    <w:rsid w:val="00E613B5"/>
    <w:rsid w:val="00E614D4"/>
    <w:rsid w:val="00E63BBD"/>
    <w:rsid w:val="00E674AB"/>
    <w:rsid w:val="00E7034C"/>
    <w:rsid w:val="00E71D1F"/>
    <w:rsid w:val="00E72B71"/>
    <w:rsid w:val="00E749D8"/>
    <w:rsid w:val="00E76866"/>
    <w:rsid w:val="00E76D1B"/>
    <w:rsid w:val="00E77594"/>
    <w:rsid w:val="00E77B5B"/>
    <w:rsid w:val="00E81FC7"/>
    <w:rsid w:val="00E8389A"/>
    <w:rsid w:val="00E84459"/>
    <w:rsid w:val="00E85088"/>
    <w:rsid w:val="00E86144"/>
    <w:rsid w:val="00E869D1"/>
    <w:rsid w:val="00E8759A"/>
    <w:rsid w:val="00E878A0"/>
    <w:rsid w:val="00E87C54"/>
    <w:rsid w:val="00E902A7"/>
    <w:rsid w:val="00E907F0"/>
    <w:rsid w:val="00E9190F"/>
    <w:rsid w:val="00E91EC8"/>
    <w:rsid w:val="00E93996"/>
    <w:rsid w:val="00E954EE"/>
    <w:rsid w:val="00E95A7C"/>
    <w:rsid w:val="00E95D16"/>
    <w:rsid w:val="00E9664B"/>
    <w:rsid w:val="00E9689A"/>
    <w:rsid w:val="00E972A2"/>
    <w:rsid w:val="00EA0116"/>
    <w:rsid w:val="00EA0400"/>
    <w:rsid w:val="00EA336F"/>
    <w:rsid w:val="00EA3FFE"/>
    <w:rsid w:val="00EA4486"/>
    <w:rsid w:val="00EA524E"/>
    <w:rsid w:val="00EA72B8"/>
    <w:rsid w:val="00EA77FE"/>
    <w:rsid w:val="00EB0597"/>
    <w:rsid w:val="00EB1097"/>
    <w:rsid w:val="00EB3759"/>
    <w:rsid w:val="00EB3E83"/>
    <w:rsid w:val="00EB4697"/>
    <w:rsid w:val="00EB6760"/>
    <w:rsid w:val="00EB6853"/>
    <w:rsid w:val="00EC1FD7"/>
    <w:rsid w:val="00EC3BD2"/>
    <w:rsid w:val="00ED0AC4"/>
    <w:rsid w:val="00ED1AB7"/>
    <w:rsid w:val="00ED1B1C"/>
    <w:rsid w:val="00ED46E5"/>
    <w:rsid w:val="00ED4A6F"/>
    <w:rsid w:val="00ED7106"/>
    <w:rsid w:val="00EE0358"/>
    <w:rsid w:val="00EE2861"/>
    <w:rsid w:val="00EE4588"/>
    <w:rsid w:val="00EE4755"/>
    <w:rsid w:val="00EE4B46"/>
    <w:rsid w:val="00EE54F7"/>
    <w:rsid w:val="00EE67EA"/>
    <w:rsid w:val="00EE7118"/>
    <w:rsid w:val="00EE7E55"/>
    <w:rsid w:val="00EF01D1"/>
    <w:rsid w:val="00EF269C"/>
    <w:rsid w:val="00EF2AA6"/>
    <w:rsid w:val="00F02A26"/>
    <w:rsid w:val="00F044BC"/>
    <w:rsid w:val="00F066AF"/>
    <w:rsid w:val="00F06A66"/>
    <w:rsid w:val="00F11A65"/>
    <w:rsid w:val="00F1212D"/>
    <w:rsid w:val="00F1270A"/>
    <w:rsid w:val="00F12C47"/>
    <w:rsid w:val="00F13B14"/>
    <w:rsid w:val="00F14AB7"/>
    <w:rsid w:val="00F154B9"/>
    <w:rsid w:val="00F156A7"/>
    <w:rsid w:val="00F158CC"/>
    <w:rsid w:val="00F16BF2"/>
    <w:rsid w:val="00F20902"/>
    <w:rsid w:val="00F24EAB"/>
    <w:rsid w:val="00F25ABA"/>
    <w:rsid w:val="00F26140"/>
    <w:rsid w:val="00F266BE"/>
    <w:rsid w:val="00F27044"/>
    <w:rsid w:val="00F30FE1"/>
    <w:rsid w:val="00F328DD"/>
    <w:rsid w:val="00F33EA5"/>
    <w:rsid w:val="00F36095"/>
    <w:rsid w:val="00F364FB"/>
    <w:rsid w:val="00F37592"/>
    <w:rsid w:val="00F4010A"/>
    <w:rsid w:val="00F41E82"/>
    <w:rsid w:val="00F442E5"/>
    <w:rsid w:val="00F47A41"/>
    <w:rsid w:val="00F47B2E"/>
    <w:rsid w:val="00F50830"/>
    <w:rsid w:val="00F50DAB"/>
    <w:rsid w:val="00F514C5"/>
    <w:rsid w:val="00F515F6"/>
    <w:rsid w:val="00F52A77"/>
    <w:rsid w:val="00F56D32"/>
    <w:rsid w:val="00F6179F"/>
    <w:rsid w:val="00F61953"/>
    <w:rsid w:val="00F650E1"/>
    <w:rsid w:val="00F65120"/>
    <w:rsid w:val="00F70173"/>
    <w:rsid w:val="00F70575"/>
    <w:rsid w:val="00F72667"/>
    <w:rsid w:val="00F72CB4"/>
    <w:rsid w:val="00F752CA"/>
    <w:rsid w:val="00F7579C"/>
    <w:rsid w:val="00F75D58"/>
    <w:rsid w:val="00F76597"/>
    <w:rsid w:val="00F7677D"/>
    <w:rsid w:val="00F76D57"/>
    <w:rsid w:val="00F80DEB"/>
    <w:rsid w:val="00F810D1"/>
    <w:rsid w:val="00F81451"/>
    <w:rsid w:val="00F84562"/>
    <w:rsid w:val="00F862FA"/>
    <w:rsid w:val="00F90001"/>
    <w:rsid w:val="00F92549"/>
    <w:rsid w:val="00F948FD"/>
    <w:rsid w:val="00F97216"/>
    <w:rsid w:val="00FA45B2"/>
    <w:rsid w:val="00FA5037"/>
    <w:rsid w:val="00FA6AC3"/>
    <w:rsid w:val="00FB0BD3"/>
    <w:rsid w:val="00FB2093"/>
    <w:rsid w:val="00FC02A4"/>
    <w:rsid w:val="00FC063E"/>
    <w:rsid w:val="00FC085C"/>
    <w:rsid w:val="00FC1EEC"/>
    <w:rsid w:val="00FC22AB"/>
    <w:rsid w:val="00FC3690"/>
    <w:rsid w:val="00FC3E7A"/>
    <w:rsid w:val="00FC5C16"/>
    <w:rsid w:val="00FC5FA4"/>
    <w:rsid w:val="00FC62C2"/>
    <w:rsid w:val="00FC6E90"/>
    <w:rsid w:val="00FC7AC5"/>
    <w:rsid w:val="00FD15E7"/>
    <w:rsid w:val="00FD2BC8"/>
    <w:rsid w:val="00FD2F09"/>
    <w:rsid w:val="00FD3805"/>
    <w:rsid w:val="00FD4436"/>
    <w:rsid w:val="00FD4D04"/>
    <w:rsid w:val="00FD4FBB"/>
    <w:rsid w:val="00FD5480"/>
    <w:rsid w:val="00FE32AA"/>
    <w:rsid w:val="00FE3C28"/>
    <w:rsid w:val="00FE536A"/>
    <w:rsid w:val="00FE5E12"/>
    <w:rsid w:val="00FF020D"/>
    <w:rsid w:val="00FF2EF7"/>
    <w:rsid w:val="00FF3265"/>
    <w:rsid w:val="00FF3440"/>
    <w:rsid w:val="00FF5E2C"/>
    <w:rsid w:val="00FF67E7"/>
    <w:rsid w:val="00FF759E"/>
    <w:rsid w:val="00FF7B76"/>
    <w:rsid w:val="064876CE"/>
    <w:rsid w:val="0CD633AC"/>
    <w:rsid w:val="27CD6A4A"/>
    <w:rsid w:val="2B2406C2"/>
    <w:rsid w:val="41511F5D"/>
    <w:rsid w:val="5AADC2AE"/>
    <w:rsid w:val="6A573B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semiHidden="0" w:name="toc 1"/>
    <w:lsdException w:uiPriority="39" w:semiHidden="0" w:name="toc 2"/>
    <w:lsdException w:uiPriority="39" w:semiHidden="0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qFormat="1"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paragraph" w:styleId="2">
    <w:name w:val="heading 1"/>
    <w:basedOn w:val="1"/>
    <w:next w:val="1"/>
    <w:link w:val="24"/>
    <w:qFormat/>
    <w:uiPriority w:val="9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character" w:default="1" w:styleId="14">
    <w:name w:val="Default Paragraph Font"/>
    <w:semiHidden/>
    <w:unhideWhenUsed/>
    <w:uiPriority w:val="1"/>
  </w:style>
  <w:style w:type="table" w:default="1" w:styleId="12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annotation text"/>
    <w:basedOn w:val="1"/>
    <w:link w:val="22"/>
    <w:semiHidden/>
    <w:unhideWhenUsed/>
    <w:uiPriority w:val="99"/>
    <w:pPr>
      <w:jc w:val="left"/>
    </w:pPr>
  </w:style>
  <w:style w:type="paragraph" w:styleId="4">
    <w:name w:val="toc 3"/>
    <w:basedOn w:val="1"/>
    <w:next w:val="1"/>
    <w:unhideWhenUsed/>
    <w:uiPriority w:val="39"/>
    <w:pPr>
      <w:widowControl/>
      <w:spacing w:after="100" w:line="259" w:lineRule="auto"/>
      <w:ind w:left="440"/>
      <w:jc w:val="left"/>
    </w:pPr>
    <w:rPr>
      <w:rFonts w:asciiTheme="minorHAnsi" w:hAnsiTheme="minorHAnsi" w:eastAsiaTheme="minorEastAsia"/>
      <w:kern w:val="0"/>
      <w:sz w:val="22"/>
    </w:rPr>
  </w:style>
  <w:style w:type="paragraph" w:styleId="5">
    <w:name w:val="Date"/>
    <w:basedOn w:val="1"/>
    <w:next w:val="1"/>
    <w:link w:val="20"/>
    <w:semiHidden/>
    <w:unhideWhenUsed/>
    <w:qFormat/>
    <w:uiPriority w:val="99"/>
    <w:pPr>
      <w:ind w:left="100" w:leftChars="2500"/>
    </w:pPr>
  </w:style>
  <w:style w:type="paragraph" w:styleId="6">
    <w:name w:val="Balloon Text"/>
    <w:basedOn w:val="1"/>
    <w:link w:val="27"/>
    <w:semiHidden/>
    <w:unhideWhenUsed/>
    <w:uiPriority w:val="99"/>
    <w:rPr>
      <w:sz w:val="18"/>
      <w:szCs w:val="18"/>
    </w:rPr>
  </w:style>
  <w:style w:type="paragraph" w:styleId="7">
    <w:name w:val="footer"/>
    <w:basedOn w:val="1"/>
    <w:link w:val="19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rFonts w:asciiTheme="minorHAnsi" w:hAnsiTheme="minorHAnsi" w:eastAsiaTheme="minorEastAsia" w:cstheme="minorBidi"/>
      <w:sz w:val="18"/>
      <w:szCs w:val="18"/>
    </w:rPr>
  </w:style>
  <w:style w:type="paragraph" w:styleId="8">
    <w:name w:val="header"/>
    <w:basedOn w:val="1"/>
    <w:link w:val="18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Theme="minorHAnsi" w:hAnsiTheme="minorHAnsi" w:eastAsiaTheme="minorEastAsia" w:cstheme="minorBidi"/>
      <w:sz w:val="18"/>
      <w:szCs w:val="18"/>
    </w:rPr>
  </w:style>
  <w:style w:type="paragraph" w:styleId="9">
    <w:name w:val="toc 1"/>
    <w:basedOn w:val="1"/>
    <w:next w:val="1"/>
    <w:unhideWhenUsed/>
    <w:uiPriority w:val="39"/>
    <w:pPr>
      <w:widowControl/>
      <w:spacing w:after="100" w:line="259" w:lineRule="auto"/>
      <w:jc w:val="left"/>
    </w:pPr>
    <w:rPr>
      <w:rFonts w:asciiTheme="minorHAnsi" w:hAnsiTheme="minorHAnsi" w:eastAsiaTheme="minorEastAsia"/>
      <w:kern w:val="0"/>
      <w:sz w:val="22"/>
    </w:rPr>
  </w:style>
  <w:style w:type="paragraph" w:styleId="10">
    <w:name w:val="toc 2"/>
    <w:basedOn w:val="1"/>
    <w:next w:val="1"/>
    <w:unhideWhenUsed/>
    <w:uiPriority w:val="39"/>
    <w:pPr>
      <w:widowControl/>
      <w:spacing w:after="100" w:line="259" w:lineRule="auto"/>
      <w:ind w:left="220"/>
      <w:jc w:val="left"/>
    </w:pPr>
    <w:rPr>
      <w:rFonts w:asciiTheme="minorHAnsi" w:hAnsiTheme="minorHAnsi" w:eastAsiaTheme="minorEastAsia"/>
      <w:kern w:val="0"/>
      <w:sz w:val="22"/>
    </w:rPr>
  </w:style>
  <w:style w:type="paragraph" w:styleId="11">
    <w:name w:val="annotation subject"/>
    <w:basedOn w:val="3"/>
    <w:next w:val="3"/>
    <w:link w:val="23"/>
    <w:semiHidden/>
    <w:unhideWhenUsed/>
    <w:uiPriority w:val="99"/>
    <w:rPr>
      <w:b/>
      <w:bCs/>
    </w:rPr>
  </w:style>
  <w:style w:type="table" w:styleId="13">
    <w:name w:val="Table Grid"/>
    <w:basedOn w:val="12"/>
    <w:uiPriority w:val="39"/>
    <w:rPr>
      <w:kern w:val="2"/>
      <w:sz w:val="21"/>
      <w:szCs w:val="22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15">
    <w:name w:val="Strong"/>
    <w:basedOn w:val="14"/>
    <w:qFormat/>
    <w:uiPriority w:val="22"/>
    <w:rPr>
      <w:b/>
      <w:bCs/>
    </w:rPr>
  </w:style>
  <w:style w:type="character" w:styleId="16">
    <w:name w:val="Hyperlink"/>
    <w:unhideWhenUsed/>
    <w:qFormat/>
    <w:uiPriority w:val="99"/>
    <w:rPr>
      <w:color w:val="0563C1"/>
      <w:u w:val="single"/>
    </w:rPr>
  </w:style>
  <w:style w:type="character" w:styleId="17">
    <w:name w:val="annotation reference"/>
    <w:basedOn w:val="14"/>
    <w:semiHidden/>
    <w:unhideWhenUsed/>
    <w:uiPriority w:val="99"/>
    <w:rPr>
      <w:sz w:val="21"/>
      <w:szCs w:val="21"/>
    </w:rPr>
  </w:style>
  <w:style w:type="character" w:customStyle="1" w:styleId="18">
    <w:name w:val="页眉 Char"/>
    <w:basedOn w:val="14"/>
    <w:link w:val="8"/>
    <w:uiPriority w:val="99"/>
    <w:rPr>
      <w:sz w:val="18"/>
      <w:szCs w:val="18"/>
    </w:rPr>
  </w:style>
  <w:style w:type="character" w:customStyle="1" w:styleId="19">
    <w:name w:val="页脚 Char"/>
    <w:basedOn w:val="14"/>
    <w:link w:val="7"/>
    <w:qFormat/>
    <w:uiPriority w:val="99"/>
    <w:rPr>
      <w:sz w:val="18"/>
      <w:szCs w:val="18"/>
    </w:rPr>
  </w:style>
  <w:style w:type="character" w:customStyle="1" w:styleId="20">
    <w:name w:val="日期 Char"/>
    <w:basedOn w:val="14"/>
    <w:link w:val="5"/>
    <w:semiHidden/>
    <w:uiPriority w:val="99"/>
    <w:rPr>
      <w:rFonts w:ascii="Calibri" w:hAnsi="Calibri" w:eastAsia="宋体" w:cs="Times New Roman"/>
    </w:rPr>
  </w:style>
  <w:style w:type="paragraph" w:styleId="21">
    <w:name w:val="List Paragraph"/>
    <w:basedOn w:val="1"/>
    <w:qFormat/>
    <w:uiPriority w:val="99"/>
    <w:pPr>
      <w:ind w:firstLine="420" w:firstLineChars="200"/>
    </w:pPr>
  </w:style>
  <w:style w:type="character" w:customStyle="1" w:styleId="22">
    <w:name w:val="批注文字 Char"/>
    <w:basedOn w:val="14"/>
    <w:link w:val="3"/>
    <w:semiHidden/>
    <w:qFormat/>
    <w:uiPriority w:val="99"/>
    <w:rPr>
      <w:rFonts w:ascii="Calibri" w:hAnsi="Calibri" w:eastAsia="宋体" w:cs="Times New Roman"/>
      <w:kern w:val="2"/>
      <w:sz w:val="21"/>
      <w:szCs w:val="22"/>
    </w:rPr>
  </w:style>
  <w:style w:type="character" w:customStyle="1" w:styleId="23">
    <w:name w:val="批注主题 Char"/>
    <w:basedOn w:val="22"/>
    <w:link w:val="11"/>
    <w:semiHidden/>
    <w:uiPriority w:val="99"/>
    <w:rPr>
      <w:rFonts w:ascii="Calibri" w:hAnsi="Calibri" w:eastAsia="宋体" w:cs="Times New Roman"/>
      <w:b/>
      <w:bCs/>
      <w:kern w:val="2"/>
      <w:sz w:val="21"/>
      <w:szCs w:val="22"/>
    </w:rPr>
  </w:style>
  <w:style w:type="character" w:customStyle="1" w:styleId="24">
    <w:name w:val="标题 1 Char"/>
    <w:basedOn w:val="14"/>
    <w:link w:val="2"/>
    <w:uiPriority w:val="9"/>
    <w:rPr>
      <w:rFonts w:ascii="Calibri" w:hAnsi="Calibri" w:eastAsia="宋体" w:cs="Times New Roman"/>
      <w:b/>
      <w:bCs/>
      <w:kern w:val="44"/>
      <w:sz w:val="44"/>
      <w:szCs w:val="44"/>
    </w:rPr>
  </w:style>
  <w:style w:type="paragraph" w:customStyle="1" w:styleId="25">
    <w:name w:val="TOC Heading"/>
    <w:basedOn w:val="2"/>
    <w:next w:val="1"/>
    <w:unhideWhenUsed/>
    <w:qFormat/>
    <w:uiPriority w:val="39"/>
    <w:pPr>
      <w:widowControl/>
      <w:spacing w:before="240" w:after="0" w:line="259" w:lineRule="auto"/>
      <w:jc w:val="left"/>
      <w:outlineLvl w:val="9"/>
    </w:pPr>
    <w:rPr>
      <w:rFonts w:asciiTheme="majorHAnsi" w:hAnsiTheme="majorHAnsi" w:eastAsiaTheme="majorEastAsia" w:cstheme="majorBidi"/>
      <w:b w:val="0"/>
      <w:bCs w:val="0"/>
      <w:color w:val="376092" w:themeColor="accent1" w:themeShade="BF"/>
      <w:kern w:val="0"/>
      <w:sz w:val="32"/>
      <w:szCs w:val="32"/>
    </w:rPr>
  </w:style>
  <w:style w:type="paragraph" w:customStyle="1" w:styleId="26">
    <w:name w:val="Revision"/>
    <w:hidden/>
    <w:semiHidden/>
    <w:uiPriority w:val="99"/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customStyle="1" w:styleId="27">
    <w:name w:val="批注框文本 Char"/>
    <w:basedOn w:val="14"/>
    <w:link w:val="6"/>
    <w:semiHidden/>
    <w:uiPriority w:val="99"/>
    <w:rPr>
      <w:rFonts w:ascii="Calibri" w:hAnsi="Calibri" w:eastAsia="宋体" w:cs="Times New Roman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="http://schemas.openxmlformats.org/officeDocument/2006/bibliography" xmlns:b="http://schemas.openxmlformats.org/officeDocument/2006/bibliography" Version="6" StyleName="APA" SelectedStyle="\APASixthEditionOfficeOnline.xsl"/>
</file>

<file path=customXml/itemProps1.xml><?xml version="1.0" encoding="utf-8"?>
<ds:datastoreItem xmlns:ds="http://schemas.openxmlformats.org/officeDocument/2006/customXml" ds:itemID="{DB63B5FE-E220-4444-9162-0FA7D505FFB8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Pages>4</Pages>
  <Words>230</Words>
  <Characters>1314</Characters>
  <Lines>10</Lines>
  <Paragraphs>3</Paragraphs>
  <TotalTime>0</TotalTime>
  <ScaleCrop>false</ScaleCrop>
  <LinksUpToDate>false</LinksUpToDate>
  <CharactersWithSpaces>1541</CharactersWithSpaces>
  <Application>WPS Office WWO_wpscloud_20230216181815-a7cba4286f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2025-02-17T14:17:00Z</dcterms:created>
  <dc:creator>方满林</dc:creator>
  <cp:lastModifiedBy>NTKO</cp:lastModifiedBy>
  <cp:lastPrinted>2023-06-01T16:48:00Z</cp:lastPrinted>
  <dcterms:modified xsi:type="dcterms:W3CDTF">2025-02-17T14:18:32Z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2052-0.0.0.0</vt:lpwstr>
  </property>
  <property fmtid="{D5CDD505-2E9C-101B-9397-08002B2CF9AE}" pid="3" name="ICV">
    <vt:lpwstr>5DADD543A329407CB56E25FE837E43A4</vt:lpwstr>
  </property>
</Properties>
</file>