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cs="黑体"/>
          <w:b w:val="0"/>
          <w:bCs w:val="0"/>
          <w:color w:val="FF0000"/>
          <w:sz w:val="32"/>
          <w:szCs w:val="32"/>
          <w:lang w:val="en-US" w:eastAsia="zh-CN"/>
        </w:rPr>
      </w:pPr>
      <w:r>
        <w:rPr>
          <w:rFonts w:hint="eastAsia" w:ascii="黑体" w:hAnsi="黑体" w:eastAsia="黑体" w:cs="黑体"/>
          <w:b w:val="0"/>
          <w:bCs w:val="0"/>
          <w:color w:val="000000" w:themeColor="text1"/>
          <w:sz w:val="32"/>
          <w:szCs w:val="32"/>
          <w:lang w:val="en-US" w:eastAsia="zh-CN"/>
          <w14:textFill>
            <w14:solidFill>
              <w14:schemeClr w14:val="tx1"/>
            </w14:solidFill>
          </w14:textFill>
        </w:rPr>
        <w:t>附件2</w:t>
      </w:r>
    </w:p>
    <w:p>
      <w:pPr>
        <w:jc w:val="center"/>
        <w:rPr>
          <w:rFonts w:hint="eastAsia" w:ascii="宋体" w:hAnsi="宋体" w:cs="宋体"/>
          <w:b/>
          <w:bCs/>
          <w:color w:val="auto"/>
          <w:sz w:val="44"/>
          <w:szCs w:val="44"/>
        </w:rPr>
      </w:pPr>
      <w:bookmarkStart w:id="0" w:name="OLE_LINK1"/>
      <w:r>
        <w:rPr>
          <w:rFonts w:hint="eastAsia" w:ascii="宋体" w:hAnsi="宋体" w:cs="宋体"/>
          <w:b/>
          <w:bCs/>
          <w:color w:val="auto"/>
          <w:spacing w:val="-18"/>
          <w:sz w:val="44"/>
          <w:szCs w:val="44"/>
          <w:lang w:eastAsia="zh-CN"/>
        </w:rPr>
        <w:t>《</w:t>
      </w:r>
      <w:r>
        <w:rPr>
          <w:rFonts w:hint="eastAsia" w:ascii="宋体" w:hAnsi="宋体" w:cs="宋体"/>
          <w:b/>
          <w:bCs/>
          <w:color w:val="auto"/>
          <w:sz w:val="44"/>
          <w:szCs w:val="44"/>
        </w:rPr>
        <w:t>北京市公安局怀柔分局</w:t>
      </w:r>
    </w:p>
    <w:p>
      <w:pPr>
        <w:jc w:val="center"/>
        <w:rPr>
          <w:rFonts w:ascii="黑体" w:hAnsi="黑体" w:eastAsia="黑体" w:cs="黑体"/>
          <w:color w:val="auto"/>
          <w:kern w:val="20"/>
          <w:sz w:val="32"/>
          <w:szCs w:val="32"/>
        </w:rPr>
      </w:pPr>
      <w:r>
        <w:rPr>
          <w:rFonts w:hint="eastAsia" w:ascii="宋体" w:hAnsi="宋体" w:cs="宋体"/>
          <w:b/>
          <w:bCs/>
          <w:color w:val="auto"/>
          <w:spacing w:val="-18"/>
          <w:sz w:val="44"/>
          <w:szCs w:val="44"/>
        </w:rPr>
        <w:t>关于对</w:t>
      </w:r>
      <w:r>
        <w:rPr>
          <w:rFonts w:hint="eastAsia" w:ascii="宋体" w:hAnsi="宋体" w:cs="宋体"/>
          <w:b/>
          <w:bCs/>
          <w:color w:val="auto"/>
          <w:sz w:val="44"/>
          <w:szCs w:val="44"/>
        </w:rPr>
        <w:t>怀柔区</w:t>
      </w:r>
      <w:r>
        <w:rPr>
          <w:rFonts w:hint="eastAsia" w:ascii="宋体" w:hAnsi="宋体" w:cs="宋体"/>
          <w:b/>
          <w:bCs/>
          <w:color w:val="auto"/>
          <w:sz w:val="44"/>
          <w:szCs w:val="44"/>
          <w:lang w:eastAsia="zh-CN"/>
        </w:rPr>
        <w:t>部分道路</w:t>
      </w:r>
      <w:r>
        <w:rPr>
          <w:rFonts w:hint="eastAsia" w:ascii="宋体" w:hAnsi="宋体" w:cs="宋体"/>
          <w:b/>
          <w:bCs/>
          <w:color w:val="auto"/>
          <w:spacing w:val="-20"/>
          <w:sz w:val="44"/>
          <w:szCs w:val="44"/>
        </w:rPr>
        <w:t>采取</w:t>
      </w:r>
      <w:r>
        <w:rPr>
          <w:rFonts w:hint="eastAsia" w:ascii="宋体" w:hAnsi="宋体" w:cs="宋体"/>
          <w:b/>
          <w:bCs/>
          <w:color w:val="auto"/>
          <w:spacing w:val="-20"/>
          <w:sz w:val="44"/>
          <w:szCs w:val="44"/>
          <w:lang w:eastAsia="zh-CN"/>
        </w:rPr>
        <w:t>和调整</w:t>
      </w:r>
      <w:r>
        <w:rPr>
          <w:rFonts w:hint="eastAsia" w:ascii="宋体" w:hAnsi="宋体" w:cs="宋体"/>
          <w:b/>
          <w:bCs/>
          <w:color w:val="auto"/>
          <w:spacing w:val="-20"/>
          <w:sz w:val="44"/>
          <w:szCs w:val="44"/>
        </w:rPr>
        <w:t>交通管理措施的通告</w:t>
      </w:r>
      <w:r>
        <w:rPr>
          <w:rFonts w:hint="eastAsia" w:ascii="宋体" w:hAnsi="宋体" w:cs="宋体"/>
          <w:b/>
          <w:bCs/>
          <w:color w:val="auto"/>
          <w:spacing w:val="-20"/>
          <w:sz w:val="44"/>
          <w:szCs w:val="44"/>
          <w:lang w:eastAsia="zh-CN"/>
        </w:rPr>
        <w:t>（征求意见稿）》</w:t>
      </w:r>
      <w:bookmarkStart w:id="1" w:name="_GoBack"/>
      <w:bookmarkEnd w:id="1"/>
      <w:r>
        <w:rPr>
          <w:rFonts w:hint="eastAsia" w:ascii="宋体" w:hAnsi="宋体" w:cs="宋体"/>
          <w:b/>
          <w:bCs/>
          <w:color w:val="auto"/>
          <w:kern w:val="20"/>
          <w:sz w:val="44"/>
          <w:szCs w:val="44"/>
        </w:rPr>
        <w:t>的起草说明</w:t>
      </w:r>
    </w:p>
    <w:bookmarkEnd w:id="0"/>
    <w:p>
      <w:pPr>
        <w:rPr>
          <w:rFonts w:ascii="宋体" w:hAnsi="宋体" w:cs="宋体"/>
          <w:color w:val="FF0000"/>
          <w:kern w:val="20"/>
          <w:szCs w:val="21"/>
        </w:rPr>
      </w:pPr>
    </w:p>
    <w:p>
      <w:pPr>
        <w:spacing w:line="240" w:lineRule="auto"/>
        <w:rPr>
          <w:rFonts w:hint="eastAsia" w:ascii="黑体" w:hAnsi="黑体" w:eastAsia="黑体" w:cs="黑体"/>
          <w:b w:val="0"/>
          <w:bCs w:val="0"/>
          <w:color w:val="auto"/>
          <w:kern w:val="20"/>
          <w:sz w:val="32"/>
          <w:szCs w:val="32"/>
        </w:rPr>
      </w:pPr>
      <w:r>
        <w:rPr>
          <w:rFonts w:hint="eastAsia" w:ascii="黑体" w:hAnsi="黑体" w:eastAsia="黑体" w:cs="黑体"/>
          <w:b w:val="0"/>
          <w:bCs w:val="0"/>
          <w:color w:val="FF0000"/>
          <w:kern w:val="20"/>
          <w:sz w:val="32"/>
          <w:szCs w:val="32"/>
        </w:rPr>
        <w:t>　</w:t>
      </w:r>
      <w:r>
        <w:rPr>
          <w:rFonts w:hint="eastAsia" w:ascii="黑体" w:hAnsi="黑体" w:eastAsia="黑体" w:cs="黑体"/>
          <w:b w:val="0"/>
          <w:bCs w:val="0"/>
          <w:color w:val="auto"/>
          <w:kern w:val="20"/>
          <w:sz w:val="32"/>
          <w:szCs w:val="32"/>
        </w:rPr>
        <w:t>　一、起草背景</w:t>
      </w: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beforeAutospacing="0" w:after="0" w:afterLines="0" w:afterAutospacing="0" w:line="600" w:lineRule="exact"/>
        <w:ind w:right="0" w:rightChars="0" w:firstLine="640" w:firstLineChars="200"/>
        <w:jc w:val="left"/>
        <w:textAlignment w:val="auto"/>
        <w:outlineLvl w:val="9"/>
        <w:rPr>
          <w:rFonts w:ascii="仿宋_GB2312" w:hAnsi="仿宋_GB2312" w:eastAsia="仿宋_GB2312" w:cs="仿宋_GB2312"/>
          <w:b/>
          <w:bCs/>
          <w:color w:val="auto"/>
          <w:kern w:val="20"/>
          <w:sz w:val="32"/>
          <w:szCs w:val="32"/>
        </w:rPr>
      </w:pPr>
      <w:r>
        <w:rPr>
          <w:rFonts w:hint="eastAsia" w:ascii="仿宋" w:hAnsi="仿宋" w:eastAsia="仿宋" w:cs="仿宋"/>
          <w:color w:val="000000"/>
          <w:sz w:val="32"/>
          <w:szCs w:val="32"/>
        </w:rPr>
        <w:t>为保障怀柔区</w:t>
      </w:r>
      <w:r>
        <w:rPr>
          <w:rFonts w:hint="eastAsia" w:ascii="仿宋" w:hAnsi="仿宋" w:eastAsia="仿宋" w:cs="仿宋"/>
          <w:color w:val="000000"/>
          <w:sz w:val="32"/>
          <w:szCs w:val="32"/>
          <w:lang w:eastAsia="zh-CN"/>
        </w:rPr>
        <w:t>部分道路的</w:t>
      </w:r>
      <w:r>
        <w:rPr>
          <w:rFonts w:hint="eastAsia" w:ascii="仿宋" w:hAnsi="仿宋" w:eastAsia="仿宋" w:cs="仿宋"/>
          <w:color w:val="000000"/>
          <w:sz w:val="32"/>
          <w:szCs w:val="32"/>
        </w:rPr>
        <w:t>交通安全与畅通，</w:t>
      </w:r>
      <w:r>
        <w:rPr>
          <w:rFonts w:hint="eastAsia" w:ascii="仿宋" w:hAnsi="仿宋" w:eastAsia="仿宋" w:cs="仿宋"/>
          <w:color w:val="000000"/>
          <w:sz w:val="32"/>
          <w:szCs w:val="32"/>
          <w:lang w:eastAsia="zh-CN"/>
        </w:rPr>
        <w:t>北京市公安局怀柔分局</w:t>
      </w:r>
      <w:r>
        <w:rPr>
          <w:rFonts w:hint="eastAsia" w:ascii="仿宋" w:hAnsi="仿宋" w:eastAsia="仿宋" w:cs="仿宋"/>
          <w:kern w:val="20"/>
          <w:sz w:val="32"/>
          <w:szCs w:val="32"/>
          <w:lang w:eastAsia="zh-CN"/>
        </w:rPr>
        <w:t>专门进行了实地踏勘和调查研究，</w:t>
      </w:r>
      <w:r>
        <w:rPr>
          <w:rFonts w:hint="eastAsia" w:ascii="仿宋" w:hAnsi="仿宋" w:eastAsia="仿宋" w:cs="仿宋"/>
          <w:sz w:val="32"/>
          <w:szCs w:val="32"/>
          <w:shd w:val="clear" w:color="auto" w:fill="FFFFFF"/>
        </w:rPr>
        <w:t>根据道路交通安全法律法规有关规定</w:t>
      </w:r>
      <w:r>
        <w:rPr>
          <w:rFonts w:hint="eastAsia" w:ascii="仿宋" w:hAnsi="仿宋" w:eastAsia="仿宋" w:cs="仿宋"/>
          <w:sz w:val="32"/>
          <w:szCs w:val="32"/>
          <w:shd w:val="clear" w:color="auto" w:fill="FFFFFF"/>
          <w:lang w:eastAsia="zh-CN"/>
        </w:rPr>
        <w:t>，同意</w:t>
      </w:r>
      <w:r>
        <w:rPr>
          <w:rFonts w:hint="eastAsia" w:ascii="仿宋" w:hAnsi="仿宋" w:eastAsia="仿宋" w:cs="仿宋"/>
          <w:color w:val="000000"/>
          <w:sz w:val="32"/>
          <w:szCs w:val="32"/>
          <w:lang w:eastAsia="zh-CN"/>
        </w:rPr>
        <w:t>对怀柔区部分道路采取和调整</w:t>
      </w:r>
      <w:r>
        <w:rPr>
          <w:rFonts w:hint="eastAsia" w:ascii="仿宋_GB2312" w:hAnsi="华文仿宋" w:eastAsia="仿宋_GB2312"/>
          <w:color w:val="000000"/>
          <w:sz w:val="32"/>
          <w:szCs w:val="32"/>
          <w:lang w:val="en-US" w:eastAsia="zh-CN"/>
        </w:rPr>
        <w:t>交通管理措施</w:t>
      </w:r>
      <w:r>
        <w:rPr>
          <w:rFonts w:hint="eastAsia" w:ascii="仿宋_GB2312" w:hAnsi="仿宋_GB2312" w:eastAsia="仿宋_GB2312" w:cs="仿宋_GB2312"/>
          <w:b w:val="0"/>
          <w:bCs w:val="0"/>
          <w:color w:val="000000"/>
          <w:sz w:val="32"/>
          <w:szCs w:val="32"/>
          <w:lang w:eastAsia="zh-CN"/>
        </w:rPr>
        <w:t>。</w:t>
      </w:r>
      <w:r>
        <w:rPr>
          <w:rFonts w:hint="eastAsia" w:ascii="仿宋_GB2312" w:hAnsi="仿宋_GB2312" w:eastAsia="仿宋_GB2312" w:cs="仿宋_GB2312"/>
          <w:b w:val="0"/>
          <w:bCs w:val="0"/>
          <w:color w:val="000000"/>
          <w:sz w:val="32"/>
          <w:szCs w:val="32"/>
        </w:rPr>
        <w:t>现</w:t>
      </w:r>
      <w:r>
        <w:rPr>
          <w:rFonts w:hint="eastAsia" w:ascii="仿宋_GB2312" w:hAnsi="仿宋_GB2312" w:eastAsia="仿宋_GB2312" w:cs="仿宋_GB2312"/>
          <w:b w:val="0"/>
          <w:bCs w:val="0"/>
          <w:color w:val="000000"/>
          <w:spacing w:val="0"/>
          <w:sz w:val="32"/>
          <w:szCs w:val="32"/>
        </w:rPr>
        <w:t>我</w:t>
      </w:r>
      <w:r>
        <w:rPr>
          <w:rFonts w:hint="eastAsia" w:ascii="仿宋_GB2312" w:hAnsi="仿宋_GB2312" w:eastAsia="仿宋_GB2312" w:cs="仿宋_GB2312"/>
          <w:b w:val="0"/>
          <w:bCs w:val="0"/>
          <w:color w:val="000000"/>
          <w:spacing w:val="0"/>
          <w:sz w:val="32"/>
          <w:szCs w:val="32"/>
          <w:lang w:eastAsia="zh-CN"/>
        </w:rPr>
        <w:t>局</w:t>
      </w:r>
      <w:r>
        <w:rPr>
          <w:rFonts w:hint="eastAsia" w:ascii="仿宋_GB2312" w:hAnsi="仿宋_GB2312" w:eastAsia="仿宋_GB2312" w:cs="仿宋_GB2312"/>
          <w:b w:val="0"/>
          <w:bCs w:val="0"/>
          <w:color w:val="000000"/>
          <w:spacing w:val="0"/>
          <w:sz w:val="32"/>
          <w:szCs w:val="32"/>
        </w:rPr>
        <w:t>草拟了</w:t>
      </w:r>
      <w:r>
        <w:rPr>
          <w:rFonts w:hint="eastAsia" w:ascii="仿宋_GB2312" w:hAnsi="仿宋_GB2312" w:eastAsia="仿宋_GB2312" w:cs="仿宋_GB2312"/>
          <w:color w:val="auto"/>
          <w:sz w:val="32"/>
          <w:szCs w:val="32"/>
        </w:rPr>
        <w:t>《</w:t>
      </w:r>
      <w:r>
        <w:rPr>
          <w:rFonts w:hint="eastAsia" w:ascii="仿宋" w:hAnsi="仿宋" w:eastAsia="仿宋" w:cs="仿宋"/>
          <w:color w:val="auto"/>
          <w:sz w:val="32"/>
          <w:szCs w:val="32"/>
        </w:rPr>
        <w:t>北京市公安局怀柔分局关于对怀柔区</w:t>
      </w:r>
      <w:r>
        <w:rPr>
          <w:rFonts w:hint="eastAsia" w:ascii="仿宋" w:hAnsi="仿宋" w:eastAsia="仿宋" w:cs="仿宋"/>
          <w:color w:val="auto"/>
          <w:sz w:val="32"/>
          <w:szCs w:val="32"/>
          <w:lang w:eastAsia="zh-CN"/>
        </w:rPr>
        <w:t>部分道路采取和调整</w:t>
      </w:r>
      <w:r>
        <w:rPr>
          <w:rFonts w:hint="eastAsia" w:ascii="仿宋" w:hAnsi="仿宋" w:eastAsia="仿宋" w:cs="仿宋"/>
          <w:color w:val="auto"/>
          <w:sz w:val="32"/>
          <w:szCs w:val="32"/>
        </w:rPr>
        <w:t>交通管理措施的通告</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val="0"/>
          <w:bCs w:val="0"/>
          <w:color w:val="000000"/>
          <w:spacing w:val="-12"/>
          <w:kern w:val="0"/>
          <w:sz w:val="32"/>
          <w:szCs w:val="32"/>
        </w:rPr>
        <w:t>，</w:t>
      </w:r>
      <w:r>
        <w:rPr>
          <w:rFonts w:hint="eastAsia" w:ascii="仿宋_GB2312" w:hAnsi="仿宋_GB2312" w:eastAsia="仿宋_GB2312" w:cs="仿宋_GB2312"/>
          <w:b w:val="0"/>
          <w:bCs w:val="0"/>
          <w:color w:val="000000"/>
          <w:spacing w:val="0"/>
          <w:kern w:val="0"/>
          <w:sz w:val="32"/>
          <w:szCs w:val="32"/>
        </w:rPr>
        <w:t>待确定后以</w:t>
      </w:r>
      <w:r>
        <w:rPr>
          <w:rFonts w:hint="eastAsia" w:ascii="仿宋_GB2312" w:hAnsi="仿宋_GB2312" w:eastAsia="仿宋_GB2312" w:cs="仿宋_GB2312"/>
          <w:b w:val="0"/>
          <w:bCs w:val="0"/>
          <w:color w:val="000000"/>
          <w:spacing w:val="0"/>
          <w:kern w:val="0"/>
          <w:sz w:val="32"/>
          <w:szCs w:val="32"/>
          <w:lang w:eastAsia="zh-CN"/>
        </w:rPr>
        <w:t>北京市公安局怀柔分局的</w:t>
      </w:r>
      <w:r>
        <w:rPr>
          <w:rFonts w:hint="eastAsia" w:ascii="仿宋_GB2312" w:hAnsi="仿宋_GB2312" w:eastAsia="仿宋_GB2312" w:cs="仿宋_GB2312"/>
          <w:b w:val="0"/>
          <w:bCs w:val="0"/>
          <w:color w:val="000000"/>
          <w:spacing w:val="0"/>
          <w:kern w:val="0"/>
          <w:sz w:val="32"/>
          <w:szCs w:val="32"/>
        </w:rPr>
        <w:t>名义向社会发布通告。</w:t>
      </w:r>
    </w:p>
    <w:p>
      <w:pPr>
        <w:keepNext w:val="0"/>
        <w:keepLines w:val="0"/>
        <w:pageBreakBefore w:val="0"/>
        <w:kinsoku/>
        <w:wordWrap/>
        <w:overflowPunct/>
        <w:topLinePunct w:val="0"/>
        <w:autoSpaceDE/>
        <w:autoSpaceDN/>
        <w:bidi w:val="0"/>
        <w:adjustRightInd/>
        <w:snapToGrid/>
        <w:spacing w:line="600" w:lineRule="exact"/>
        <w:ind w:firstLine="643"/>
        <w:textAlignment w:val="auto"/>
        <w:outlineLvl w:val="9"/>
        <w:rPr>
          <w:rFonts w:hint="eastAsia" w:ascii="黑体" w:hAnsi="黑体" w:eastAsia="黑体" w:cs="黑体"/>
          <w:b w:val="0"/>
          <w:bCs w:val="0"/>
          <w:sz w:val="32"/>
          <w:szCs w:val="32"/>
          <w:lang w:eastAsia="zh-CN"/>
        </w:rPr>
      </w:pPr>
      <w:r>
        <w:rPr>
          <w:rFonts w:hint="eastAsia" w:ascii="黑体" w:hAnsi="黑体" w:eastAsia="黑体" w:cs="黑体"/>
          <w:b w:val="0"/>
          <w:bCs w:val="0"/>
          <w:color w:val="auto"/>
          <w:kern w:val="20"/>
          <w:sz w:val="32"/>
          <w:szCs w:val="32"/>
          <w:lang w:eastAsia="zh-CN"/>
        </w:rPr>
        <w:t>二、</w:t>
      </w:r>
      <w:r>
        <w:rPr>
          <w:rFonts w:hint="eastAsia" w:ascii="黑体" w:hAnsi="黑体" w:eastAsia="黑体" w:cs="黑体"/>
          <w:b w:val="0"/>
          <w:bCs w:val="0"/>
          <w:sz w:val="32"/>
          <w:szCs w:val="32"/>
          <w:lang w:eastAsia="zh-CN"/>
        </w:rPr>
        <w:t>评估方法和过程</w:t>
      </w:r>
    </w:p>
    <w:p>
      <w:pPr>
        <w:pStyle w:val="2"/>
        <w:keepNext w:val="0"/>
        <w:keepLines w:val="0"/>
        <w:pageBreakBefore w:val="0"/>
        <w:widowControl/>
        <w:numPr>
          <w:ilvl w:val="0"/>
          <w:numId w:val="0"/>
        </w:numPr>
        <w:kinsoku/>
        <w:wordWrap/>
        <w:overflowPunct/>
        <w:topLinePunct w:val="0"/>
        <w:autoSpaceDE/>
        <w:autoSpaceDN/>
        <w:bidi w:val="0"/>
        <w:adjustRightInd/>
        <w:snapToGrid/>
        <w:spacing w:after="0" w:line="560" w:lineRule="exact"/>
        <w:ind w:left="0" w:leftChars="0" w:firstLine="640" w:firstLineChars="200"/>
        <w:textAlignment w:val="baseline"/>
        <w:rPr>
          <w:rFonts w:hint="eastAsia" w:ascii="仿宋" w:hAnsi="仿宋" w:eastAsia="仿宋" w:cs="仿宋"/>
          <w:b w:val="0"/>
          <w:bCs w:val="0"/>
          <w:color w:val="auto"/>
          <w:sz w:val="32"/>
          <w:szCs w:val="32"/>
          <w:lang w:eastAsia="zh-CN"/>
        </w:rPr>
      </w:pPr>
      <w:r>
        <w:rPr>
          <w:rFonts w:hint="eastAsia" w:ascii="仿宋" w:hAnsi="仿宋" w:eastAsia="仿宋" w:cs="仿宋"/>
          <w:b w:val="0"/>
          <w:bCs w:val="0"/>
          <w:color w:val="auto"/>
          <w:sz w:val="32"/>
          <w:szCs w:val="32"/>
          <w:lang w:eastAsia="zh-CN"/>
        </w:rPr>
        <w:t>针对怀柔区部分道路采取和调整交通管理措施后，从道路车流量、货车通行线路、周边居民及相关企业反映等方面，分局多次实地勘验，书面致函、走访和召开座谈会的形式征求涉及的区相关单位、属地街乡镇和企业的意见。经会议研究，对怀柔区部分道路采取和调整交通管理措施合法、合理、可行，具体评估如下：</w:t>
      </w:r>
    </w:p>
    <w:p>
      <w:pPr>
        <w:pStyle w:val="2"/>
        <w:keepNext w:val="0"/>
        <w:keepLines w:val="0"/>
        <w:pageBreakBefore w:val="0"/>
        <w:widowControl/>
        <w:numPr>
          <w:ilvl w:val="0"/>
          <w:numId w:val="0"/>
        </w:numPr>
        <w:kinsoku/>
        <w:wordWrap/>
        <w:overflowPunct/>
        <w:topLinePunct w:val="0"/>
        <w:autoSpaceDE/>
        <w:autoSpaceDN/>
        <w:bidi w:val="0"/>
        <w:adjustRightInd/>
        <w:snapToGrid/>
        <w:spacing w:after="0" w:line="560" w:lineRule="exact"/>
        <w:ind w:left="630" w:leftChars="0"/>
        <w:textAlignment w:val="baseline"/>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（一）合法性</w:t>
      </w:r>
    </w:p>
    <w:p>
      <w:pPr>
        <w:pStyle w:val="2"/>
        <w:keepNext w:val="0"/>
        <w:keepLines w:val="0"/>
        <w:pageBreakBefore w:val="0"/>
        <w:widowControl/>
        <w:numPr>
          <w:ilvl w:val="0"/>
          <w:numId w:val="0"/>
        </w:numPr>
        <w:kinsoku/>
        <w:wordWrap/>
        <w:overflowPunct/>
        <w:topLinePunct w:val="0"/>
        <w:autoSpaceDE/>
        <w:autoSpaceDN/>
        <w:bidi w:val="0"/>
        <w:adjustRightInd/>
        <w:snapToGrid/>
        <w:spacing w:after="0"/>
        <w:ind w:left="11" w:leftChars="0" w:firstLine="617" w:firstLineChars="193"/>
        <w:textAlignment w:val="baseline"/>
        <w:rPr>
          <w:rFonts w:hint="eastAsia" w:ascii="仿宋" w:hAnsi="仿宋" w:eastAsia="仿宋" w:cs="仿宋"/>
          <w:b w:val="0"/>
          <w:bCs w:val="0"/>
          <w:color w:val="auto"/>
          <w:sz w:val="32"/>
          <w:szCs w:val="32"/>
          <w:lang w:eastAsia="zh-CN"/>
        </w:rPr>
      </w:pPr>
      <w:r>
        <w:rPr>
          <w:rFonts w:hint="eastAsia" w:ascii="仿宋" w:hAnsi="仿宋" w:eastAsia="仿宋" w:cs="仿宋"/>
          <w:b w:val="0"/>
          <w:bCs w:val="0"/>
          <w:color w:val="auto"/>
          <w:sz w:val="32"/>
          <w:szCs w:val="32"/>
          <w:lang w:eastAsia="zh-CN"/>
        </w:rPr>
        <w:t>按照相关法律规定，北京市公安局怀柔分局可以对外发布《北京市公安局怀柔分局关于对怀柔区部分道路采取和调整交通管理措施的通告》。</w:t>
      </w:r>
    </w:p>
    <w:p>
      <w:pPr>
        <w:pStyle w:val="2"/>
        <w:keepNext w:val="0"/>
        <w:keepLines w:val="0"/>
        <w:pageBreakBefore w:val="0"/>
        <w:widowControl/>
        <w:numPr>
          <w:ilvl w:val="0"/>
          <w:numId w:val="0"/>
        </w:numPr>
        <w:kinsoku/>
        <w:wordWrap/>
        <w:overflowPunct/>
        <w:topLinePunct w:val="0"/>
        <w:autoSpaceDE/>
        <w:autoSpaceDN/>
        <w:bidi w:val="0"/>
        <w:adjustRightInd/>
        <w:snapToGrid/>
        <w:spacing w:after="0"/>
        <w:ind w:left="630" w:leftChars="0"/>
        <w:textAlignment w:val="baseline"/>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（二）合理性</w:t>
      </w:r>
    </w:p>
    <w:p>
      <w:pPr>
        <w:pStyle w:val="2"/>
        <w:keepNext w:val="0"/>
        <w:keepLines w:val="0"/>
        <w:pageBreakBefore w:val="0"/>
        <w:widowControl/>
        <w:numPr>
          <w:ilvl w:val="0"/>
          <w:numId w:val="0"/>
        </w:numPr>
        <w:kinsoku/>
        <w:wordWrap/>
        <w:overflowPunct/>
        <w:topLinePunct w:val="0"/>
        <w:autoSpaceDE/>
        <w:autoSpaceDN/>
        <w:bidi w:val="0"/>
        <w:adjustRightInd/>
        <w:snapToGrid/>
        <w:spacing w:after="0" w:line="560" w:lineRule="exact"/>
        <w:ind w:left="0" w:leftChars="0" w:firstLine="0" w:firstLineChars="0"/>
        <w:textAlignment w:val="baseline"/>
        <w:rPr>
          <w:rFonts w:hint="eastAsia" w:ascii="仿宋" w:hAnsi="仿宋" w:eastAsia="仿宋" w:cs="仿宋"/>
          <w:b w:val="0"/>
          <w:bCs w:val="0"/>
          <w:color w:val="auto"/>
          <w:sz w:val="32"/>
          <w:szCs w:val="32"/>
          <w:lang w:eastAsia="zh-CN"/>
        </w:rPr>
      </w:pPr>
      <w:r>
        <w:rPr>
          <w:rFonts w:hint="eastAsia" w:ascii="仿宋" w:hAnsi="仿宋" w:eastAsia="仿宋" w:cs="仿宋"/>
          <w:b w:val="0"/>
          <w:bCs w:val="0"/>
          <w:color w:val="auto"/>
          <w:sz w:val="32"/>
          <w:szCs w:val="32"/>
          <w:lang w:eastAsia="zh-CN"/>
        </w:rPr>
        <w:t xml:space="preserve"> </w:t>
      </w:r>
      <w:r>
        <w:rPr>
          <w:rFonts w:hint="eastAsia" w:ascii="仿宋" w:hAnsi="仿宋" w:eastAsia="仿宋" w:cs="仿宋"/>
          <w:b w:val="0"/>
          <w:bCs w:val="0"/>
          <w:color w:val="auto"/>
          <w:sz w:val="32"/>
          <w:szCs w:val="32"/>
          <w:lang w:val="en-US" w:eastAsia="zh-CN"/>
        </w:rPr>
        <w:t xml:space="preserve">   </w:t>
      </w:r>
      <w:r>
        <w:rPr>
          <w:rFonts w:hint="eastAsia" w:ascii="仿宋" w:hAnsi="仿宋" w:eastAsia="仿宋" w:cs="仿宋"/>
          <w:b w:val="0"/>
          <w:bCs w:val="0"/>
          <w:color w:val="auto"/>
          <w:sz w:val="32"/>
          <w:szCs w:val="32"/>
          <w:lang w:eastAsia="zh-CN"/>
        </w:rPr>
        <w:t>2024年11月5日，北京市公安局怀柔分局以书面形式向区城管委、区住建委、区公路分局、区交通局、区司法局、区规自分局等相关区职能部门，泉河街道办事处、龙山街道办事处、怀柔镇政府、北房镇政府、杨宋镇政府等街道乡镇及北京怀柔环境卫生服务有限公司、怀胜公司等区国资委所属公司发送《北京市公安局怀柔分局关于对怀柔区部分道路采取和调整交通管理措施的通告》征求意见的函，共</w:t>
      </w:r>
      <w:r>
        <w:rPr>
          <w:rFonts w:hint="eastAsia" w:ascii="仿宋" w:hAnsi="仿宋" w:eastAsia="仿宋" w:cs="仿宋"/>
          <w:b w:val="0"/>
          <w:bCs w:val="0"/>
          <w:color w:val="auto"/>
          <w:sz w:val="32"/>
          <w:szCs w:val="32"/>
          <w:lang w:val="en-US" w:eastAsia="zh-CN"/>
        </w:rPr>
        <w:t>50件，</w:t>
      </w:r>
      <w:r>
        <w:rPr>
          <w:rFonts w:hint="eastAsia" w:ascii="仿宋" w:hAnsi="仿宋" w:eastAsia="仿宋" w:cs="仿宋"/>
          <w:b w:val="0"/>
          <w:bCs w:val="0"/>
          <w:color w:val="auto"/>
          <w:sz w:val="32"/>
          <w:szCs w:val="32"/>
          <w:lang w:eastAsia="zh-CN"/>
        </w:rPr>
        <w:t>收到回复函50件，其中49件反馈无意见，1件北京怀柔环境卫生服务有限公司回复函，提出垃圾清运和道路清扫车辆不属于特种车辆，建议为上述车辆办理通行证件，经怀柔分局研究决定予以采纳。同时分局重点走访了统一食品公司、福田戴姆勒公司、健力宝公司、太平洋制罐公司，会同区交通局以座谈会的形式与18家专业运输企业进行讨论，该措施得到区各相关职能部门、属地政府和涉及企业的认可和支持。</w:t>
      </w:r>
    </w:p>
    <w:p>
      <w:pPr>
        <w:pStyle w:val="2"/>
        <w:keepNext w:val="0"/>
        <w:keepLines w:val="0"/>
        <w:pageBreakBefore w:val="0"/>
        <w:widowControl/>
        <w:numPr>
          <w:ilvl w:val="0"/>
          <w:numId w:val="0"/>
        </w:numPr>
        <w:kinsoku/>
        <w:wordWrap/>
        <w:overflowPunct/>
        <w:topLinePunct w:val="0"/>
        <w:autoSpaceDE/>
        <w:autoSpaceDN/>
        <w:bidi w:val="0"/>
        <w:adjustRightInd/>
        <w:snapToGrid/>
        <w:spacing w:line="560" w:lineRule="exact"/>
        <w:ind w:left="630" w:leftChars="0"/>
        <w:textAlignment w:val="baseline"/>
        <w:rPr>
          <w:rFonts w:hint="eastAsia" w:ascii="楷体" w:hAnsi="楷体" w:eastAsia="楷体" w:cs="楷体"/>
          <w:b w:val="0"/>
          <w:bCs w:val="0"/>
          <w:color w:val="auto"/>
          <w:sz w:val="32"/>
          <w:szCs w:val="32"/>
          <w:lang w:eastAsia="zh-CN"/>
        </w:rPr>
      </w:pPr>
      <w:r>
        <w:rPr>
          <w:rFonts w:hint="eastAsia" w:ascii="楷体" w:hAnsi="楷体" w:eastAsia="楷体" w:cs="楷体"/>
          <w:b w:val="0"/>
          <w:bCs w:val="0"/>
          <w:color w:val="auto"/>
          <w:sz w:val="32"/>
          <w:szCs w:val="32"/>
          <w:lang w:eastAsia="zh-CN"/>
        </w:rPr>
        <w:t>（三）可行性</w:t>
      </w:r>
    </w:p>
    <w:p>
      <w:pPr>
        <w:pStyle w:val="2"/>
        <w:keepNext w:val="0"/>
        <w:keepLines w:val="0"/>
        <w:pageBreakBefore w:val="0"/>
        <w:widowControl/>
        <w:numPr>
          <w:ilvl w:val="0"/>
          <w:numId w:val="0"/>
        </w:numPr>
        <w:kinsoku/>
        <w:wordWrap/>
        <w:overflowPunct/>
        <w:topLinePunct w:val="0"/>
        <w:autoSpaceDE/>
        <w:autoSpaceDN/>
        <w:bidi w:val="0"/>
        <w:adjustRightInd/>
        <w:snapToGrid/>
        <w:spacing w:line="560" w:lineRule="exact"/>
        <w:ind w:left="10" w:leftChars="0" w:firstLine="617" w:firstLineChars="193"/>
        <w:textAlignment w:val="baseline"/>
        <w:rPr>
          <w:rFonts w:hint="eastAsia" w:ascii="仿宋" w:hAnsi="仿宋" w:eastAsia="仿宋" w:cs="仿宋"/>
          <w:b w:val="0"/>
          <w:bCs w:val="0"/>
          <w:color w:val="auto"/>
          <w:sz w:val="32"/>
          <w:szCs w:val="32"/>
          <w:lang w:eastAsia="zh-CN"/>
        </w:rPr>
      </w:pPr>
      <w:r>
        <w:rPr>
          <w:rFonts w:hint="eastAsia" w:ascii="仿宋" w:hAnsi="仿宋" w:eastAsia="仿宋" w:cs="仿宋"/>
          <w:b w:val="0"/>
          <w:bCs w:val="0"/>
          <w:color w:val="auto"/>
          <w:sz w:val="32"/>
          <w:szCs w:val="32"/>
          <w:lang w:eastAsia="zh-CN"/>
        </w:rPr>
        <w:t>北京市公安局怀柔分局专门进行了实地踏勘和调查研究，根据道路交通安全法律法规有关规定，同意对怀柔区部分道路6时至23时采取禁止中、重载货汽车及专项作业车通行的交通管理措施。</w:t>
      </w:r>
    </w:p>
    <w:p>
      <w:pPr>
        <w:pStyle w:val="2"/>
        <w:keepNext w:val="0"/>
        <w:keepLines w:val="0"/>
        <w:pageBreakBefore w:val="0"/>
        <w:widowControl/>
        <w:numPr>
          <w:ilvl w:val="0"/>
          <w:numId w:val="0"/>
        </w:numPr>
        <w:kinsoku/>
        <w:wordWrap/>
        <w:overflowPunct/>
        <w:topLinePunct w:val="0"/>
        <w:autoSpaceDE/>
        <w:autoSpaceDN/>
        <w:bidi w:val="0"/>
        <w:adjustRightInd/>
        <w:snapToGrid/>
        <w:spacing w:line="560" w:lineRule="exact"/>
        <w:ind w:left="10" w:leftChars="0" w:firstLine="828" w:firstLineChars="259"/>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lang w:eastAsia="zh-CN"/>
        </w:rPr>
        <w:t>三、</w:t>
      </w:r>
      <w:r>
        <w:rPr>
          <w:rFonts w:hint="eastAsia" w:ascii="黑体" w:hAnsi="黑体" w:eastAsia="黑体" w:cs="黑体"/>
          <w:b w:val="0"/>
          <w:bCs w:val="0"/>
          <w:color w:val="auto"/>
          <w:sz w:val="32"/>
          <w:szCs w:val="32"/>
        </w:rPr>
        <w:t>主要内容</w:t>
      </w:r>
    </w:p>
    <w:p>
      <w:pPr>
        <w:pStyle w:val="5"/>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Times New Roman"/>
          <w:color w:val="000000"/>
          <w:sz w:val="32"/>
          <w:szCs w:val="22"/>
          <w:lang w:val="en-US" w:eastAsia="zh-CN"/>
        </w:rPr>
      </w:pPr>
      <w:r>
        <w:rPr>
          <w:rFonts w:hint="eastAsia" w:ascii="仿宋" w:hAnsi="仿宋" w:eastAsia="仿宋" w:cs="Times New Roman"/>
          <w:color w:val="000000"/>
          <w:sz w:val="32"/>
          <w:szCs w:val="22"/>
          <w:lang w:val="en-US" w:eastAsia="zh-CN"/>
        </w:rPr>
        <w:t>（一）京漠线（G111国道开放路环岛至雁栖湖北二路路段）、雁栖湖南路（京漠线至范崎路）、范崎路（怀雁路北口至雁栖湖北二路西口）6时至23时禁止中、重型载货汽车及专项作业车通行。（新增）</w:t>
      </w:r>
    </w:p>
    <w:p>
      <w:pPr>
        <w:pStyle w:val="5"/>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Times New Roman"/>
          <w:color w:val="000000"/>
          <w:sz w:val="32"/>
          <w:szCs w:val="22"/>
          <w:lang w:val="en-US" w:eastAsia="zh-CN"/>
        </w:rPr>
      </w:pPr>
      <w:r>
        <w:rPr>
          <w:rFonts w:hint="eastAsia" w:ascii="仿宋" w:hAnsi="仿宋" w:eastAsia="仿宋" w:cs="Times New Roman"/>
          <w:color w:val="000000"/>
          <w:sz w:val="32"/>
          <w:szCs w:val="22"/>
          <w:lang w:val="en-US" w:eastAsia="zh-CN"/>
        </w:rPr>
        <w:t>（二）南华大街（含）以北，龙山路（含）、龙山东路（含）及水库环湖路（含）以东，开放路（含）以西，富乐大街（含）以南的道路6时至23时禁止载货汽车及专项作业车通行。（调整）</w:t>
      </w:r>
    </w:p>
    <w:p>
      <w:pPr>
        <w:pStyle w:val="5"/>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Times New Roman"/>
          <w:color w:val="000000"/>
          <w:sz w:val="32"/>
          <w:szCs w:val="22"/>
          <w:lang w:val="en-US" w:eastAsia="zh-CN"/>
        </w:rPr>
      </w:pPr>
      <w:r>
        <w:rPr>
          <w:rFonts w:hint="eastAsia" w:ascii="仿宋" w:hAnsi="仿宋" w:eastAsia="仿宋" w:cs="Times New Roman"/>
          <w:color w:val="000000"/>
          <w:sz w:val="32"/>
          <w:szCs w:val="22"/>
          <w:lang w:val="en-US" w:eastAsia="zh-CN"/>
        </w:rPr>
        <w:t>（三）怀长路宽沟路口至京沈路怀长立交桥路段，6时至23时禁止中、重型载货汽车及专项作业车通行。（调整）</w:t>
      </w:r>
    </w:p>
    <w:p>
      <w:pPr>
        <w:pStyle w:val="5"/>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Times New Roman"/>
          <w:color w:val="000000"/>
          <w:sz w:val="32"/>
          <w:szCs w:val="22"/>
          <w:lang w:val="en-US" w:eastAsia="zh-CN"/>
        </w:rPr>
      </w:pPr>
      <w:r>
        <w:rPr>
          <w:rFonts w:hint="eastAsia" w:ascii="仿宋" w:hAnsi="仿宋" w:eastAsia="仿宋" w:cs="Times New Roman"/>
          <w:color w:val="000000"/>
          <w:sz w:val="32"/>
          <w:szCs w:val="22"/>
          <w:lang w:val="en-US" w:eastAsia="zh-CN"/>
        </w:rPr>
        <w:t>（四）怀长路怀昌交界至宽沟路口路段、北台路怀顺交界至宽沟路口路段，6时至23时禁止中、重型载货汽车及专项作业车通行。（调整）</w:t>
      </w:r>
    </w:p>
    <w:p>
      <w:pPr>
        <w:pStyle w:val="5"/>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Times New Roman"/>
          <w:color w:val="000000"/>
          <w:sz w:val="32"/>
          <w:szCs w:val="22"/>
          <w:lang w:val="en-US" w:eastAsia="zh-CN"/>
        </w:rPr>
      </w:pPr>
      <w:r>
        <w:rPr>
          <w:rFonts w:hint="eastAsia" w:ascii="仿宋" w:hAnsi="仿宋" w:eastAsia="仿宋" w:cs="Times New Roman"/>
          <w:color w:val="000000"/>
          <w:sz w:val="32"/>
          <w:szCs w:val="22"/>
          <w:lang w:val="en-US" w:eastAsia="zh-CN"/>
        </w:rPr>
        <w:t>（五）京密高速、怀雁路，6时至23时禁止载货汽车及专项作业车通行。（调整）</w:t>
      </w:r>
    </w:p>
    <w:p>
      <w:pPr>
        <w:pStyle w:val="5"/>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Times New Roman"/>
          <w:color w:val="000000"/>
          <w:sz w:val="32"/>
          <w:szCs w:val="22"/>
          <w:lang w:val="en-US" w:eastAsia="zh-CN"/>
        </w:rPr>
      </w:pPr>
      <w:r>
        <w:rPr>
          <w:rFonts w:hint="eastAsia" w:ascii="仿宋" w:hAnsi="仿宋" w:eastAsia="仿宋" w:cs="Times New Roman"/>
          <w:color w:val="000000"/>
          <w:sz w:val="32"/>
          <w:szCs w:val="22"/>
          <w:lang w:val="en-US" w:eastAsia="zh-CN"/>
        </w:rPr>
        <w:t>（六）军队、武警、消防救援、警用车辆及执行任务的工程抢险、救护车等特种车辆，不受上述措施限制。</w:t>
      </w:r>
    </w:p>
    <w:p>
      <w:pPr>
        <w:pStyle w:val="5"/>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Times New Roman"/>
          <w:color w:val="000000"/>
          <w:sz w:val="32"/>
          <w:szCs w:val="22"/>
          <w:lang w:val="en-US" w:eastAsia="zh-CN"/>
        </w:rPr>
      </w:pPr>
      <w:r>
        <w:rPr>
          <w:rFonts w:hint="eastAsia" w:ascii="仿宋" w:hAnsi="仿宋" w:eastAsia="仿宋" w:cs="Times New Roman"/>
          <w:color w:val="000000"/>
          <w:sz w:val="32"/>
          <w:szCs w:val="22"/>
          <w:lang w:val="en-US" w:eastAsia="zh-CN"/>
        </w:rPr>
        <w:t>（七）对于机动车违反规定行驶的，认定为“驾驶机动车违反禁令标志指示的”违法行为，依法处罚。</w:t>
      </w:r>
    </w:p>
    <w:p>
      <w:pPr>
        <w:pStyle w:val="2"/>
        <w:keepNext w:val="0"/>
        <w:keepLines w:val="0"/>
        <w:pageBreakBefore w:val="0"/>
        <w:widowControl/>
        <w:kinsoku/>
        <w:wordWrap/>
        <w:overflowPunct/>
        <w:topLinePunct w:val="0"/>
        <w:autoSpaceDE/>
        <w:autoSpaceDN/>
        <w:bidi w:val="0"/>
        <w:adjustRightInd/>
        <w:snapToGrid/>
        <w:spacing w:line="560" w:lineRule="exact"/>
        <w:ind w:firstLine="651"/>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四、法律依据</w:t>
      </w:r>
    </w:p>
    <w:p>
      <w:pPr>
        <w:pStyle w:val="2"/>
        <w:keepNext w:val="0"/>
        <w:keepLines w:val="0"/>
        <w:pageBreakBefore w:val="0"/>
        <w:widowControl/>
        <w:kinsoku/>
        <w:wordWrap/>
        <w:overflowPunct/>
        <w:topLinePunct w:val="0"/>
        <w:autoSpaceDE/>
        <w:autoSpaceDN/>
        <w:bidi w:val="0"/>
        <w:adjustRightInd/>
        <w:snapToGrid/>
        <w:spacing w:line="560" w:lineRule="exact"/>
        <w:ind w:firstLine="651"/>
        <w:rPr>
          <w:rFonts w:ascii="仿宋" w:hAnsi="仿宋" w:eastAsia="仿宋" w:cs="仿宋"/>
          <w:color w:val="auto"/>
          <w:sz w:val="32"/>
          <w:szCs w:val="32"/>
        </w:rPr>
      </w:pPr>
      <w:r>
        <w:rPr>
          <w:rFonts w:hint="eastAsia" w:ascii="仿宋" w:hAnsi="仿宋" w:eastAsia="仿宋" w:cs="仿宋"/>
          <w:color w:val="auto"/>
          <w:sz w:val="32"/>
          <w:szCs w:val="32"/>
        </w:rPr>
        <w:t>根据《中华人民共和国道路交通安全法》第四章第一节第三十九条规定：公安机关交通管理部门根据道路和交通流量的具体情况，可以对机动车、非机动车、行人采取疏导、限制通行、禁止通行等措施。</w:t>
      </w:r>
    </w:p>
    <w:p>
      <w:pPr>
        <w:pStyle w:val="2"/>
        <w:keepNext w:val="0"/>
        <w:keepLines w:val="0"/>
        <w:pageBreakBefore w:val="0"/>
        <w:widowControl/>
        <w:kinsoku/>
        <w:wordWrap/>
        <w:overflowPunct/>
        <w:topLinePunct w:val="0"/>
        <w:autoSpaceDE/>
        <w:autoSpaceDN/>
        <w:bidi w:val="0"/>
        <w:adjustRightInd/>
        <w:snapToGrid/>
        <w:spacing w:line="560" w:lineRule="exact"/>
        <w:ind w:left="630"/>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五、社会影响和群众满意度风险评估</w:t>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 w:hAnsi="仿宋" w:eastAsia="仿宋" w:cs="仿宋"/>
          <w:b w:val="0"/>
          <w:bCs w:val="0"/>
          <w:color w:val="auto"/>
          <w:sz w:val="32"/>
          <w:szCs w:val="32"/>
          <w:lang w:eastAsia="zh-CN"/>
        </w:rPr>
        <w:t>北京市公安局怀柔分局</w:t>
      </w:r>
      <w:r>
        <w:rPr>
          <w:rFonts w:hint="eastAsia" w:ascii="仿宋_GB2312" w:hAnsi="仿宋_GB2312" w:eastAsia="仿宋_GB2312" w:cs="仿宋_GB2312"/>
          <w:color w:val="auto"/>
          <w:sz w:val="32"/>
          <w:szCs w:val="32"/>
        </w:rPr>
        <w:t>发布《关于对怀柔区部分道路采取和调整交通管理措施的通告》后，对怀柔区部分道路6时至23</w:t>
      </w:r>
      <w:r>
        <w:rPr>
          <w:rFonts w:hint="eastAsia" w:ascii="仿宋_GB2312" w:hAnsi="仿宋_GB2312" w:eastAsia="仿宋_GB2312" w:cs="仿宋_GB2312"/>
          <w:color w:val="auto"/>
          <w:sz w:val="32"/>
          <w:szCs w:val="32"/>
          <w:lang w:eastAsia="zh-CN"/>
        </w:rPr>
        <w:t>时</w:t>
      </w:r>
      <w:r>
        <w:rPr>
          <w:rFonts w:hint="eastAsia" w:ascii="仿宋_GB2312" w:hAnsi="仿宋_GB2312" w:eastAsia="仿宋_GB2312" w:cs="仿宋_GB2312"/>
          <w:color w:val="auto"/>
          <w:sz w:val="32"/>
          <w:szCs w:val="32"/>
        </w:rPr>
        <w:t>采取禁止中、重载货汽车及专项作业车通行，确需进入上述道路行驶的，需办理通行证件，存在社会稳定风险。</w:t>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风险描述：怀柔区部分道路6时至23</w:t>
      </w:r>
      <w:r>
        <w:rPr>
          <w:rFonts w:hint="eastAsia" w:ascii="仿宋_GB2312" w:hAnsi="仿宋_GB2312" w:eastAsia="仿宋_GB2312" w:cs="仿宋_GB2312"/>
          <w:color w:val="auto"/>
          <w:sz w:val="32"/>
          <w:szCs w:val="32"/>
          <w:lang w:eastAsia="zh-CN"/>
        </w:rPr>
        <w:t>时</w:t>
      </w:r>
      <w:r>
        <w:rPr>
          <w:rFonts w:hint="eastAsia" w:ascii="仿宋_GB2312" w:hAnsi="仿宋_GB2312" w:eastAsia="仿宋_GB2312" w:cs="仿宋_GB2312"/>
          <w:color w:val="auto"/>
          <w:sz w:val="32"/>
          <w:szCs w:val="32"/>
        </w:rPr>
        <w:t>采取禁止中、重载货汽车及专项作业车通行的交通管理措施，会造成部分载货汽车及专项作业车司机不满，反映禁行后造成交通不便的信访和12345市民服务热线增加。</w:t>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风险评估：对怀柔区部分道路采取禁止中、重载货汽车及专项作业车通行的交通管理措施，降低怀柔区部分道路的车流量，有效消除存在的不安全隐患，去往G111国道其他路段的中、重载货汽车及专项作业车，可选择通怀路行驶，最多绕行7公里且减少了红绿灯数量，引发社会风险较低。</w:t>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风险等级：较低风险</w:t>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怀柔分局在实施交通管理措施的同时，也将采取一系列具体交通整治工作，保证政策落地，起到管控效果。</w:t>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ascii="仿宋_GB2312" w:hAnsi="仿宋_GB2312" w:eastAsia="仿宋_GB2312" w:cs="仿宋_GB2312"/>
          <w:color w:val="auto"/>
          <w:sz w:val="32"/>
          <w:szCs w:val="32"/>
        </w:rPr>
      </w:pPr>
      <w:r>
        <w:rPr>
          <w:rFonts w:hint="eastAsia" w:ascii="仿宋" w:hAnsi="仿宋" w:eastAsia="仿宋" w:cs="仿宋"/>
          <w:color w:val="auto"/>
          <w:sz w:val="32"/>
          <w:szCs w:val="32"/>
          <w:lang w:eastAsia="zh-CN"/>
        </w:rPr>
        <w:t>（一）</w:t>
      </w:r>
      <w:r>
        <w:rPr>
          <w:rFonts w:hint="eastAsia" w:ascii="仿宋_GB2312" w:hAnsi="仿宋_GB2312" w:eastAsia="仿宋_GB2312" w:cs="仿宋_GB2312"/>
          <w:color w:val="auto"/>
          <w:sz w:val="32"/>
          <w:szCs w:val="32"/>
        </w:rPr>
        <w:t>广泛发布通告,设置禁止通行的禁令标志。</w:t>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ascii="仿宋_GB2312" w:hAnsi="仿宋_GB2312" w:eastAsia="仿宋_GB2312" w:cs="仿宋_GB2312"/>
          <w:color w:val="auto"/>
          <w:sz w:val="32"/>
          <w:szCs w:val="32"/>
        </w:rPr>
      </w:pPr>
      <w:r>
        <w:rPr>
          <w:rFonts w:hint="eastAsia" w:ascii="仿宋" w:hAnsi="仿宋" w:eastAsia="仿宋" w:cs="仿宋"/>
          <w:color w:val="auto"/>
          <w:sz w:val="32"/>
          <w:szCs w:val="32"/>
          <w:lang w:eastAsia="zh-CN"/>
        </w:rPr>
        <w:t>（二）</w:t>
      </w:r>
      <w:r>
        <w:rPr>
          <w:rFonts w:hint="eastAsia" w:ascii="仿宋_GB2312" w:hAnsi="仿宋_GB2312" w:eastAsia="仿宋_GB2312" w:cs="仿宋_GB2312"/>
          <w:color w:val="auto"/>
          <w:sz w:val="32"/>
          <w:szCs w:val="32"/>
        </w:rPr>
        <w:t>加强现场执法，交通支队依法加大对</w:t>
      </w:r>
      <w:r>
        <w:rPr>
          <w:rFonts w:hint="eastAsia" w:ascii="仿宋" w:hAnsi="仿宋" w:eastAsia="仿宋" w:cs="仿宋"/>
          <w:color w:val="auto"/>
          <w:sz w:val="32"/>
          <w:szCs w:val="32"/>
        </w:rPr>
        <w:t>机动车违反禁令标志指示的违法行为</w:t>
      </w:r>
      <w:r>
        <w:rPr>
          <w:rFonts w:hint="eastAsia" w:ascii="仿宋_GB2312" w:hAnsi="仿宋_GB2312" w:eastAsia="仿宋_GB2312" w:cs="仿宋_GB2312"/>
          <w:color w:val="auto"/>
          <w:sz w:val="32"/>
          <w:szCs w:val="32"/>
        </w:rPr>
        <w:t>处罚力度，形成高压震慑态势。</w:t>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color w:val="FF0000"/>
        </w:rPr>
      </w:pPr>
      <w:r>
        <w:rPr>
          <w:rFonts w:hint="eastAsia" w:ascii="仿宋" w:hAnsi="仿宋" w:eastAsia="仿宋" w:cs="仿宋"/>
          <w:color w:val="auto"/>
          <w:sz w:val="32"/>
          <w:szCs w:val="32"/>
          <w:lang w:eastAsia="zh-CN"/>
        </w:rPr>
        <w:t>（三）</w:t>
      </w:r>
      <w:r>
        <w:rPr>
          <w:rFonts w:hint="eastAsia" w:ascii="仿宋_GB2312" w:hAnsi="仿宋_GB2312" w:eastAsia="仿宋_GB2312" w:cs="仿宋_GB2312"/>
          <w:color w:val="auto"/>
          <w:sz w:val="32"/>
          <w:szCs w:val="32"/>
        </w:rPr>
        <w:t>积极向区财政申请</w:t>
      </w:r>
      <w:r>
        <w:rPr>
          <w:rFonts w:hint="eastAsia" w:ascii="仿宋_GB2312" w:hAnsi="仿宋_GB2312" w:eastAsia="仿宋_GB2312" w:cs="仿宋_GB2312"/>
          <w:color w:val="auto"/>
          <w:sz w:val="32"/>
          <w:szCs w:val="32"/>
          <w:lang w:eastAsia="zh-CN"/>
        </w:rPr>
        <w:t>资金</w:t>
      </w:r>
      <w:r>
        <w:rPr>
          <w:rFonts w:hint="eastAsia" w:ascii="仿宋_GB2312" w:hAnsi="仿宋_GB2312" w:eastAsia="仿宋_GB2312" w:cs="仿宋_GB2312"/>
          <w:color w:val="auto"/>
          <w:sz w:val="32"/>
          <w:szCs w:val="32"/>
        </w:rPr>
        <w:t>，加大非现场自动抓拍设备建设，提高非现场执法效能。</w:t>
      </w:r>
    </w:p>
    <w:sectPr>
      <w:headerReference r:id="rId3" w:type="default"/>
      <w:footerReference r:id="rId4"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A00002EF" w:usb1="4000004B"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A00002EF" w:usb1="4000004B" w:usb2="00000000" w:usb3="00000000" w:csb0="2000019F" w:csb1="00000000"/>
  </w:font>
  <w:font w:name="Calibri">
    <w:panose1 w:val="020F0502020204030204"/>
    <w:charset w:val="00"/>
    <w:family w:val="roman"/>
    <w:pitch w:val="default"/>
    <w:sig w:usb0="E10002FF" w:usb1="4000ACFF" w:usb2="00000009"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A00002EF" w:usb1="4000004B" w:usb2="00000000" w:usb3="00000000" w:csb0="2000019F" w:csb1="00000000"/>
  </w:font>
  <w:font w:name="Calibri">
    <w:panose1 w:val="020F0502020204030204"/>
    <w:charset w:val="00"/>
    <w:family w:val="modern"/>
    <w:pitch w:val="default"/>
    <w:sig w:usb0="E10002FF" w:usb1="4000ACFF" w:usb2="00000009"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仿宋">
    <w:panose1 w:val="02010609060101010101"/>
    <w:charset w:val="86"/>
    <w:family w:val="roman"/>
    <w:pitch w:val="default"/>
    <w:sig w:usb0="800002BF" w:usb1="38CF7CFA" w:usb2="00000016" w:usb3="00000000" w:csb0="00040001" w:csb1="00000000"/>
  </w:font>
  <w:font w:name="仿宋_GB2312">
    <w:panose1 w:val="02010609030101010101"/>
    <w:charset w:val="86"/>
    <w:family w:val="roman"/>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楷体">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swiss"/>
    <w:pitch w:val="default"/>
    <w:sig w:usb0="800002BF" w:usb1="38CF7CFA" w:usb2="00000016" w:usb3="00000000" w:csb0="00040001" w:csb1="00000000"/>
  </w:font>
  <w:font w:name="仿宋_GB2312">
    <w:panose1 w:val="02010609030101010101"/>
    <w:charset w:val="86"/>
    <w:family w:val="swiss"/>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VkNGQ4ZTJhNGQ2MjZhNjE1NDFiNzE3NzU3ZDJhMDkifQ=="/>
  </w:docVars>
  <w:rsids>
    <w:rsidRoot w:val="14C3347D"/>
    <w:rsid w:val="001D14F0"/>
    <w:rsid w:val="001F66B5"/>
    <w:rsid w:val="009524C3"/>
    <w:rsid w:val="009A3B78"/>
    <w:rsid w:val="009E0331"/>
    <w:rsid w:val="00B359E2"/>
    <w:rsid w:val="03B00D2C"/>
    <w:rsid w:val="08084BBC"/>
    <w:rsid w:val="0FEF6257"/>
    <w:rsid w:val="11720280"/>
    <w:rsid w:val="119E4218"/>
    <w:rsid w:val="14C3347D"/>
    <w:rsid w:val="19315CBB"/>
    <w:rsid w:val="1D3B2916"/>
    <w:rsid w:val="1DD77CBE"/>
    <w:rsid w:val="1F392C25"/>
    <w:rsid w:val="1F97625B"/>
    <w:rsid w:val="1FA3668F"/>
    <w:rsid w:val="20B26BD0"/>
    <w:rsid w:val="2174557D"/>
    <w:rsid w:val="28471431"/>
    <w:rsid w:val="2AC35AC5"/>
    <w:rsid w:val="2D4139DD"/>
    <w:rsid w:val="2E824FF0"/>
    <w:rsid w:val="349C260E"/>
    <w:rsid w:val="36810EAD"/>
    <w:rsid w:val="376B3989"/>
    <w:rsid w:val="3B205DAC"/>
    <w:rsid w:val="3BD61CA7"/>
    <w:rsid w:val="3DD64DAA"/>
    <w:rsid w:val="412E4640"/>
    <w:rsid w:val="419F0044"/>
    <w:rsid w:val="42362EC8"/>
    <w:rsid w:val="44902889"/>
    <w:rsid w:val="482C2B43"/>
    <w:rsid w:val="4C5F5ACF"/>
    <w:rsid w:val="4D2259B4"/>
    <w:rsid w:val="4D482D91"/>
    <w:rsid w:val="4F513554"/>
    <w:rsid w:val="590C7F12"/>
    <w:rsid w:val="59FA26E6"/>
    <w:rsid w:val="5C282288"/>
    <w:rsid w:val="614C03AE"/>
    <w:rsid w:val="61B80C00"/>
    <w:rsid w:val="63E2339F"/>
    <w:rsid w:val="63EF02EB"/>
    <w:rsid w:val="67FB6495"/>
    <w:rsid w:val="68003463"/>
    <w:rsid w:val="6B632678"/>
    <w:rsid w:val="6B8A685E"/>
    <w:rsid w:val="70DE1267"/>
    <w:rsid w:val="749425AF"/>
    <w:rsid w:val="7B551E63"/>
    <w:rsid w:val="7B8E1EAE"/>
    <w:rsid w:val="7DFA2730"/>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578" w:lineRule="atLeast"/>
      <w:jc w:val="both"/>
      <w:textAlignment w:val="baseline"/>
    </w:pPr>
    <w:rPr>
      <w:rFonts w:ascii="Times New Roman" w:hAnsi="Calibri" w:eastAsia="宋体" w:cs="Times New Roman"/>
      <w:color w:val="000000"/>
      <w:sz w:val="21"/>
      <w:u w:color="000000"/>
      <w:lang w:val="en-US" w:eastAsia="zh-CN" w:bidi="ar-SA"/>
    </w:rPr>
  </w:style>
  <w:style w:type="character" w:default="1" w:styleId="6">
    <w:name w:val="Default Paragraph Font"/>
    <w:unhideWhenUsed/>
    <w:qFormat/>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jc w:val="left"/>
    </w:pPr>
    <w:rPr>
      <w:sz w:val="24"/>
    </w:rPr>
  </w:style>
  <w:style w:type="paragraph" w:customStyle="1" w:styleId="8">
    <w:name w:val="biaoti2"/>
    <w:basedOn w:val="1"/>
    <w:qFormat/>
    <w:uiPriority w:val="0"/>
    <w:pPr>
      <w:spacing w:before="100" w:beforeAutospacing="1" w:after="100" w:afterAutospacing="1"/>
      <w:jc w:val="left"/>
    </w:pPr>
    <w:rPr>
      <w:rFonts w:ascii="宋体" w:hAnsi="宋体" w:cs="宋体"/>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1545</Words>
  <Characters>1626</Characters>
  <Lines>11</Lines>
  <Paragraphs>3</Paragraphs>
  <ScaleCrop>false</ScaleCrop>
  <LinksUpToDate>false</LinksUpToDate>
  <CharactersWithSpaces>1660</CharactersWithSpaces>
  <Application>WPS Office_10.8.0.5648_F1E327BC-269C-435d-A152-05C5408002CA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2021-10-06T11:14:00Z</dcterms:created>
  <dc:creator>Administrator</dc:creator>
  <cp:lastModifiedBy>bgs</cp:lastModifiedBy>
  <cp:lastPrinted>2024-11-05T00:28:00Z</cp:lastPrinted>
  <dcterms:modified xsi:type="dcterms:W3CDTF">2025-02-18T08:58:56Z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2052-10.8.0.5648</vt:lpwstr>
  </property>
  <property fmtid="{D5CDD505-2E9C-101B-9397-08002B2CF9AE}" pid="3" name="ICV">
    <vt:lpwstr>975BF71DB5514B7BA18A1A8A9E9F3366_12</vt:lpwstr>
  </property>
</Properties>
</file>