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9999E8">
      <w:pPr>
        <w:widowControl/>
        <w:wordWrap/>
        <w:spacing w:line="520" w:lineRule="exact"/>
        <w:jc w:val="left"/>
        <w:rPr>
          <w:rFonts w:hint="default" w:ascii="黑体" w:hAnsi="黑体" w:eastAsia="黑体" w:cs="黑体"/>
          <w:bCs/>
          <w:color w:val="000000"/>
          <w:spacing w:val="-6"/>
          <w:sz w:val="32"/>
          <w:szCs w:val="32"/>
          <w:lang w:val="en-US" w:eastAsia="zh-CN"/>
        </w:rPr>
      </w:pPr>
      <w:r>
        <w:rPr>
          <w:rFonts w:hint="eastAsia" w:ascii="黑体" w:hAnsi="黑体" w:eastAsia="黑体" w:cs="黑体"/>
          <w:bCs/>
          <w:color w:val="000000"/>
          <w:spacing w:val="-6"/>
          <w:sz w:val="32"/>
          <w:szCs w:val="32"/>
          <w:lang w:eastAsia="zh-CN"/>
        </w:rPr>
        <w:t>附件</w:t>
      </w:r>
      <w:r>
        <w:rPr>
          <w:rFonts w:hint="eastAsia" w:ascii="黑体" w:hAnsi="黑体" w:eastAsia="黑体" w:cs="黑体"/>
          <w:bCs/>
          <w:color w:val="000000"/>
          <w:spacing w:val="-6"/>
          <w:sz w:val="32"/>
          <w:szCs w:val="32"/>
          <w:lang w:val="en-US" w:eastAsia="zh-CN"/>
        </w:rPr>
        <w:t>1</w:t>
      </w:r>
    </w:p>
    <w:p w14:paraId="08BFE5B4">
      <w:pPr>
        <w:pStyle w:val="2"/>
        <w:ind w:left="0" w:leftChars="0" w:firstLine="0" w:firstLineChars="0"/>
        <w:jc w:val="center"/>
        <w:rPr>
          <w:rFonts w:hint="eastAsia"/>
        </w:rPr>
      </w:pPr>
      <w:bookmarkStart w:id="0" w:name="_GoBack"/>
      <w:r>
        <w:rPr>
          <w:rFonts w:hint="eastAsia" w:ascii="Times New Roman" w:eastAsia="方正小标宋简体" w:cs="Times New Roman"/>
          <w:b w:val="0"/>
          <w:bCs/>
          <w:snapToGrid w:val="0"/>
          <w:spacing w:val="-20"/>
          <w:w w:val="100"/>
          <w:kern w:val="0"/>
          <w:sz w:val="44"/>
          <w:szCs w:val="44"/>
          <w:lang w:val="en-US" w:eastAsia="zh-CN"/>
        </w:rPr>
        <w:t>应用场景</w:t>
      </w:r>
      <w:r>
        <w:rPr>
          <w:rFonts w:hint="eastAsia" w:ascii="Times New Roman" w:hAnsi="Times New Roman" w:eastAsia="方正小标宋简体" w:cs="Times New Roman"/>
          <w:b w:val="0"/>
          <w:bCs/>
          <w:snapToGrid w:val="0"/>
          <w:spacing w:val="-20"/>
          <w:w w:val="100"/>
          <w:kern w:val="0"/>
          <w:sz w:val="44"/>
          <w:szCs w:val="44"/>
          <w:lang w:val="en-US" w:eastAsia="zh-CN"/>
        </w:rPr>
        <w:t>征集领域及支持</w:t>
      </w:r>
    </w:p>
    <w:bookmarkEnd w:id="0"/>
    <w:p w14:paraId="5EBB39D4">
      <w:pPr>
        <w:pStyle w:val="3"/>
        <w:numPr>
          <w:ilvl w:val="0"/>
          <w:numId w:val="0"/>
        </w:numPr>
        <w:ind w:firstLine="643"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eastAsia="zh-CN"/>
        </w:rPr>
        <w:t>一、人形机器人领域：</w:t>
      </w:r>
      <w:r>
        <w:rPr>
          <w:rFonts w:hint="eastAsia" w:ascii="仿宋_GB2312" w:hAnsi="仿宋_GB2312" w:eastAsia="仿宋_GB2312" w:cs="仿宋_GB2312"/>
          <w:sz w:val="32"/>
          <w:szCs w:val="32"/>
          <w:lang w:eastAsia="zh-CN"/>
        </w:rPr>
        <w:t>包括但不限于医疗康养、文旅教娱、应急作业、安保巡逻、城市管理、教育科研、生活服务等应用场景。</w:t>
      </w:r>
    </w:p>
    <w:p w14:paraId="40DCC274">
      <w:pPr>
        <w:pStyle w:val="3"/>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市经信局提供以下方面服务支持：</w:t>
      </w:r>
    </w:p>
    <w:p w14:paraId="622C5F98">
      <w:pPr>
        <w:pStyle w:val="3"/>
        <w:numPr>
          <w:ilvl w:val="0"/>
          <w:numId w:val="0"/>
        </w:num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1.供需对接：根据场景建设需求，匹配对接生产制造企业、技术服务机构与场景应用单位，推动产业链上下游的深度合作。</w:t>
      </w:r>
    </w:p>
    <w:p w14:paraId="76BDA8E7">
      <w:pPr>
        <w:pStyle w:val="3"/>
        <w:numPr>
          <w:ilvl w:val="0"/>
          <w:numId w:val="0"/>
        </w:numPr>
        <w:ind w:firstLine="640"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sz w:val="32"/>
          <w:szCs w:val="32"/>
          <w:lang w:eastAsia="zh-CN"/>
        </w:rPr>
        <w:t>2.技术服务：</w:t>
      </w:r>
      <w:r>
        <w:rPr>
          <w:rFonts w:hint="eastAsia" w:ascii="仿宋_GB2312" w:hAnsi="仿宋_GB2312" w:eastAsia="仿宋_GB2312" w:cs="仿宋_GB2312"/>
          <w:kern w:val="2"/>
          <w:sz w:val="32"/>
          <w:szCs w:val="32"/>
          <w:lang w:val="en-US" w:eastAsia="zh-CN" w:bidi="ar-SA"/>
        </w:rPr>
        <w:t>提供场景建设规划、检验检测认证、技术迭代开发等服务。</w:t>
      </w:r>
    </w:p>
    <w:p w14:paraId="515B5AB7">
      <w:pPr>
        <w:pStyle w:val="3"/>
        <w:numPr>
          <w:ilvl w:val="0"/>
          <w:numId w:val="0"/>
        </w:num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kern w:val="2"/>
          <w:sz w:val="32"/>
          <w:szCs w:val="32"/>
          <w:lang w:val="en-US" w:eastAsia="zh-CN" w:bidi="ar-SA"/>
        </w:rPr>
        <w:t>3.</w:t>
      </w:r>
      <w:r>
        <w:rPr>
          <w:rFonts w:hint="eastAsia" w:ascii="仿宋_GB2312" w:hAnsi="仿宋_GB2312" w:eastAsia="仿宋_GB2312" w:cs="仿宋_GB2312"/>
          <w:sz w:val="32"/>
          <w:szCs w:val="32"/>
          <w:lang w:eastAsia="zh-CN"/>
        </w:rPr>
        <w:t>根据《杭州市促进人形机器人产业创新发展的若干政策措施》（杭政办函〔2024〕66号）规定，评选一批具有示范应用价值的“人形机器人</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eastAsia="zh-CN"/>
        </w:rPr>
        <w:t>”应用场景，对单个示范应用场景予以最高不超过200万元的奖励。</w:t>
      </w:r>
    </w:p>
    <w:p w14:paraId="48AE567E">
      <w:pPr>
        <w:pStyle w:val="3"/>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sz w:val="32"/>
          <w:szCs w:val="32"/>
          <w:lang w:val="en-US" w:eastAsia="zh-CN"/>
        </w:rPr>
        <w:t>市经信局高端装备处：罗明，85257118。邮箱：</w:t>
      </w:r>
      <w:r>
        <w:rPr>
          <w:rFonts w:hint="eastAsia" w:ascii="仿宋_GB2312" w:hAnsi="仿宋_GB2312" w:eastAsia="仿宋_GB2312" w:cs="仿宋_GB2312"/>
          <w:sz w:val="32"/>
          <w:szCs w:val="32"/>
          <w:lang w:val="en-US" w:eastAsia="zh-CN"/>
        </w:rPr>
        <w:fldChar w:fldCharType="begin"/>
      </w:r>
      <w:r>
        <w:rPr>
          <w:rFonts w:hint="eastAsia" w:ascii="仿宋_GB2312" w:hAnsi="仿宋_GB2312" w:eastAsia="仿宋_GB2312" w:cs="仿宋_GB2312"/>
          <w:sz w:val="32"/>
          <w:szCs w:val="32"/>
          <w:lang w:val="en-US" w:eastAsia="zh-CN"/>
        </w:rPr>
        <w:instrText xml:space="preserve"> HYPERLINK "mailto:sswu_zjut@163.com）" </w:instrText>
      </w:r>
      <w:r>
        <w:rPr>
          <w:rFonts w:hint="eastAsia" w:ascii="仿宋_GB2312" w:hAnsi="仿宋_GB2312" w:eastAsia="仿宋_GB2312" w:cs="仿宋_GB2312"/>
          <w:sz w:val="32"/>
          <w:szCs w:val="32"/>
          <w:lang w:val="en-US" w:eastAsia="zh-CN"/>
        </w:rPr>
        <w:fldChar w:fldCharType="separate"/>
      </w:r>
      <w:r>
        <w:rPr>
          <w:rFonts w:hint="eastAsia" w:ascii="仿宋_GB2312" w:hAnsi="仿宋_GB2312" w:eastAsia="仿宋_GB2312" w:cs="仿宋_GB2312"/>
          <w:sz w:val="32"/>
          <w:szCs w:val="32"/>
          <w:lang w:val="en-US" w:eastAsia="zh-CN"/>
        </w:rPr>
        <w:t>sswu_zjut@163.com）</w:t>
      </w:r>
      <w:r>
        <w:rPr>
          <w:rFonts w:hint="eastAsia" w:ascii="仿宋_GB2312" w:hAnsi="仿宋_GB2312" w:eastAsia="仿宋_GB2312" w:cs="仿宋_GB2312"/>
          <w:sz w:val="32"/>
          <w:szCs w:val="32"/>
          <w:lang w:val="en-US" w:eastAsia="zh-CN"/>
        </w:rPr>
        <w:fldChar w:fldCharType="end"/>
      </w:r>
    </w:p>
    <w:p w14:paraId="41C4B424">
      <w:pPr>
        <w:pStyle w:val="3"/>
        <w:keepNext w:val="0"/>
        <w:keepLines w:val="0"/>
        <w:pageBreakBefore w:val="0"/>
        <w:widowControl w:val="0"/>
        <w:numPr>
          <w:ilvl w:val="0"/>
          <w:numId w:val="0"/>
        </w:numPr>
        <w:kinsoku/>
        <w:wordWrap/>
        <w:overflowPunct/>
        <w:topLinePunct w:val="0"/>
        <w:autoSpaceDE/>
        <w:autoSpaceDN/>
        <w:bidi w:val="0"/>
        <w:adjustRightInd/>
        <w:snapToGrid/>
        <w:ind w:leftChars="0" w:firstLine="643" w:firstLineChars="200"/>
        <w:textAlignment w:val="auto"/>
        <w:rPr>
          <w:rFonts w:hint="eastAsia"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二、人工智能领域：</w:t>
      </w:r>
      <w:r>
        <w:rPr>
          <w:rFonts w:hint="eastAsia" w:ascii="仿宋_GB2312" w:hAnsi="仿宋_GB2312" w:eastAsia="仿宋_GB2312" w:cs="仿宋_GB2312"/>
          <w:sz w:val="32"/>
          <w:szCs w:val="32"/>
          <w:lang w:eastAsia="zh-CN"/>
        </w:rPr>
        <w:t>包括但不限于</w:t>
      </w:r>
      <w:r>
        <w:rPr>
          <w:rFonts w:hint="eastAsia" w:ascii="仿宋_GB2312" w:hAnsi="仿宋_GB2312" w:eastAsia="仿宋_GB2312" w:cs="仿宋_GB2312"/>
          <w:kern w:val="2"/>
          <w:sz w:val="32"/>
          <w:szCs w:val="32"/>
          <w:lang w:val="en-US" w:eastAsia="zh-CN" w:bidi="ar-SA"/>
        </w:rPr>
        <w:t>人工智能技术在智能制造</w:t>
      </w:r>
      <w:r>
        <w:rPr>
          <w:rFonts w:hint="eastAsia" w:hAnsi="仿宋_GB2312" w:eastAsia="仿宋_GB2312" w:cs="仿宋_GB2312"/>
          <w:kern w:val="2"/>
          <w:sz w:val="32"/>
          <w:szCs w:val="32"/>
          <w:lang w:val="en-US" w:eastAsia="zh-CN" w:bidi="ar-SA"/>
        </w:rPr>
        <w:t>、教育教学、医疗诊断、智慧交通、智慧农业、安全治理、社会服务及大模型创新应用等应用场景。</w:t>
      </w:r>
    </w:p>
    <w:p w14:paraId="135D729C">
      <w:pPr>
        <w:pStyle w:val="3"/>
        <w:numPr>
          <w:ilvl w:val="0"/>
          <w:numId w:val="0"/>
        </w:numPr>
        <w:ind w:firstLine="640" w:firstLineChars="200"/>
        <w:rPr>
          <w:rFonts w:hint="eastAsia" w:hAnsi="仿宋_GB2312" w:eastAsia="仿宋_GB2312" w:cs="仿宋_GB2312"/>
          <w:kern w:val="2"/>
          <w:sz w:val="32"/>
          <w:szCs w:val="32"/>
          <w:lang w:val="en-US" w:eastAsia="zh-CN" w:bidi="ar-SA"/>
        </w:rPr>
      </w:pPr>
      <w:r>
        <w:rPr>
          <w:rFonts w:hint="eastAsia" w:ascii="仿宋_GB2312" w:hAnsi="仿宋_GB2312" w:eastAsia="仿宋_GB2312" w:cs="仿宋_GB2312"/>
          <w:sz w:val="32"/>
          <w:szCs w:val="32"/>
          <w:lang w:val="en-US" w:eastAsia="zh-CN"/>
        </w:rPr>
        <w:t>市经信局提供以下方面服务支持：</w:t>
      </w:r>
    </w:p>
    <w:p w14:paraId="0CB1D908">
      <w:pPr>
        <w:pStyle w:val="2"/>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eastAsia="zh-CN" w:bidi="ar-SA"/>
        </w:rPr>
        <w:t>1.</w:t>
      </w:r>
      <w:r>
        <w:rPr>
          <w:rFonts w:hint="default" w:ascii="仿宋_GB2312" w:hAnsi="仿宋_GB2312" w:eastAsia="仿宋_GB2312" w:cs="仿宋_GB2312"/>
          <w:kern w:val="2"/>
          <w:sz w:val="32"/>
          <w:szCs w:val="32"/>
          <w:lang w:val="en-US" w:eastAsia="zh-CN" w:bidi="ar-SA"/>
        </w:rPr>
        <w:t>供需对接。对场景建设中的技术问题和期望功能，对接在杭高校、人工智能技术创新平台或企业，推动核心技术攻关。</w:t>
      </w:r>
    </w:p>
    <w:p w14:paraId="6C486975">
      <w:pPr>
        <w:pStyle w:val="2"/>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2.技术服务。在高端装备、服装制造、生物医药等行业打造一批</w:t>
      </w:r>
      <w:r>
        <w:rPr>
          <w:rFonts w:hint="default" w:hAnsi="仿宋_GB2312" w:eastAsia="仿宋_GB2312" w:cs="仿宋_GB2312"/>
          <w:kern w:val="2"/>
          <w:sz w:val="32"/>
          <w:szCs w:val="32"/>
          <w:lang w:eastAsia="zh-CN" w:bidi="ar-SA"/>
        </w:rPr>
        <w:t>人工智能</w:t>
      </w:r>
      <w:r>
        <w:rPr>
          <w:rFonts w:hint="default" w:ascii="仿宋_GB2312" w:hAnsi="仿宋_GB2312" w:eastAsia="仿宋_GB2312" w:cs="仿宋_GB2312"/>
          <w:kern w:val="2"/>
          <w:sz w:val="32"/>
          <w:szCs w:val="32"/>
          <w:lang w:val="en-US" w:eastAsia="zh-CN" w:bidi="ar-SA"/>
        </w:rPr>
        <w:t>行业赋能中心，加强人工智能大模型调用和智能体开发，打造人工智能赋能新型工业化的标杆案例和服务团队。</w:t>
      </w:r>
    </w:p>
    <w:p w14:paraId="3B95DCFC">
      <w:pPr>
        <w:pStyle w:val="2"/>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3.</w:t>
      </w:r>
      <w:r>
        <w:rPr>
          <w:rFonts w:hint="default" w:ascii="仿宋_GB2312" w:hAnsi="仿宋_GB2312" w:eastAsia="仿宋_GB2312" w:cs="仿宋_GB2312"/>
          <w:kern w:val="2"/>
          <w:sz w:val="32"/>
          <w:szCs w:val="32"/>
          <w:lang w:eastAsia="zh-CN" w:bidi="ar-SA"/>
        </w:rPr>
        <w:t>政策支持。</w:t>
      </w:r>
      <w:r>
        <w:rPr>
          <w:rFonts w:hint="default" w:ascii="仿宋_GB2312" w:hAnsi="仿宋_GB2312" w:eastAsia="仿宋_GB2312" w:cs="仿宋_GB2312"/>
          <w:kern w:val="2"/>
          <w:sz w:val="32"/>
          <w:szCs w:val="32"/>
          <w:lang w:val="en-US" w:eastAsia="zh-CN" w:bidi="ar-SA"/>
        </w:rPr>
        <w:t>根据《关于加快推进人工智能产业创新发展的实施意见》（杭政办函〔2023〕55号）和《支持人工智能全产业链高质量发展的若干措施》（杭政办函〔2024〕40号），每年择优支持不超过10个标杆型示范项目和不超过5个赋能新型工业化的首次应用解决方案，单个项目补助金额最高500万元。</w:t>
      </w:r>
    </w:p>
    <w:p w14:paraId="4C4EFE73">
      <w:pPr>
        <w:pStyle w:val="2"/>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（市经信局技术创新处：陈张平，85257071，</w:t>
      </w:r>
      <w:r>
        <w:rPr>
          <w:rFonts w:hint="eastAsia" w:ascii="仿宋_GB2312" w:hAnsi="仿宋_GB2312" w:eastAsia="仿宋_GB2312" w:cs="仿宋_GB2312"/>
          <w:kern w:val="2"/>
          <w:sz w:val="32"/>
          <w:szCs w:val="32"/>
          <w:lang w:val="en-US" w:eastAsia="zh-CN" w:bidi="ar-SA"/>
        </w:rPr>
        <w:t>邮箱：</w:t>
      </w:r>
      <w:r>
        <w:rPr>
          <w:rFonts w:hint="default" w:ascii="仿宋_GB2312" w:hAnsi="仿宋_GB2312" w:eastAsia="仿宋_GB2312" w:cs="仿宋_GB2312"/>
          <w:kern w:val="2"/>
          <w:sz w:val="32"/>
          <w:szCs w:val="32"/>
          <w:lang w:val="en-US" w:eastAsia="zh-CN" w:bidi="ar-SA"/>
        </w:rPr>
        <w:fldChar w:fldCharType="begin"/>
      </w:r>
      <w:r>
        <w:rPr>
          <w:rFonts w:hint="default" w:ascii="仿宋_GB2312" w:hAnsi="仿宋_GB2312" w:eastAsia="仿宋_GB2312" w:cs="仿宋_GB2312"/>
          <w:kern w:val="2"/>
          <w:sz w:val="32"/>
          <w:szCs w:val="32"/>
          <w:lang w:val="en-US" w:eastAsia="zh-CN" w:bidi="ar-SA"/>
        </w:rPr>
        <w:instrText xml:space="preserve"> HYPERLINK "mailto:2452718909@qq.com）" </w:instrText>
      </w:r>
      <w:r>
        <w:rPr>
          <w:rFonts w:hint="default" w:ascii="仿宋_GB2312" w:hAnsi="仿宋_GB2312" w:eastAsia="仿宋_GB2312" w:cs="仿宋_GB2312"/>
          <w:kern w:val="2"/>
          <w:sz w:val="32"/>
          <w:szCs w:val="32"/>
          <w:lang w:val="en-US" w:eastAsia="zh-CN" w:bidi="ar-SA"/>
        </w:rPr>
        <w:fldChar w:fldCharType="separate"/>
      </w:r>
      <w:r>
        <w:rPr>
          <w:rFonts w:hint="default" w:ascii="仿宋_GB2312" w:hAnsi="仿宋_GB2312" w:eastAsia="仿宋_GB2312" w:cs="仿宋_GB2312"/>
          <w:kern w:val="2"/>
          <w:sz w:val="32"/>
          <w:szCs w:val="32"/>
          <w:lang w:val="en-US" w:eastAsia="zh-CN" w:bidi="ar-SA"/>
        </w:rPr>
        <w:t>2452718909@qq.com）</w:t>
      </w:r>
      <w:r>
        <w:rPr>
          <w:rFonts w:hint="default" w:ascii="仿宋_GB2312" w:hAnsi="仿宋_GB2312" w:eastAsia="仿宋_GB2312" w:cs="仿宋_GB2312"/>
          <w:kern w:val="2"/>
          <w:sz w:val="32"/>
          <w:szCs w:val="32"/>
          <w:lang w:val="en-US" w:eastAsia="zh-CN" w:bidi="ar-SA"/>
        </w:rPr>
        <w:fldChar w:fldCharType="end"/>
      </w:r>
    </w:p>
    <w:p w14:paraId="18DC32D2">
      <w:pPr>
        <w:pStyle w:val="2"/>
        <w:rPr>
          <w:rFonts w:hint="default" w:ascii="仿宋_GB2312" w:hAnsi="仿宋_GB2312" w:eastAsia="仿宋_GB2312" w:cs="仿宋_GB2312"/>
          <w:kern w:val="2"/>
          <w:sz w:val="32"/>
          <w:szCs w:val="32"/>
          <w:lang w:val="en-US" w:eastAsia="zh-CN" w:bidi="ar-SA"/>
        </w:rPr>
      </w:pPr>
      <w:r>
        <w:rPr>
          <w:rFonts w:hint="eastAsia" w:hAnsi="仿宋_GB2312" w:eastAsia="仿宋_GB2312" w:cs="仿宋_GB2312"/>
          <w:b/>
          <w:bCs/>
          <w:kern w:val="2"/>
          <w:sz w:val="32"/>
          <w:szCs w:val="32"/>
          <w:lang w:val="en-US" w:eastAsia="zh-CN" w:bidi="ar-SA"/>
        </w:rPr>
        <w:t>三</w:t>
      </w:r>
      <w:r>
        <w:rPr>
          <w:rFonts w:hint="default" w:ascii="仿宋_GB2312" w:hAnsi="仿宋_GB2312" w:eastAsia="仿宋_GB2312" w:cs="仿宋_GB2312"/>
          <w:b/>
          <w:bCs/>
          <w:kern w:val="2"/>
          <w:sz w:val="32"/>
          <w:szCs w:val="32"/>
          <w:lang w:val="en-US" w:eastAsia="zh-CN" w:bidi="ar-SA"/>
        </w:rPr>
        <w:t>、合成生物领域</w:t>
      </w:r>
      <w:r>
        <w:rPr>
          <w:rFonts w:hint="eastAsia" w:hAnsi="仿宋_GB2312" w:eastAsia="仿宋_GB2312" w:cs="仿宋_GB2312"/>
          <w:b/>
          <w:bCs/>
          <w:kern w:val="2"/>
          <w:sz w:val="32"/>
          <w:szCs w:val="32"/>
          <w:lang w:val="en-US" w:eastAsia="zh-CN" w:bidi="ar-SA"/>
        </w:rPr>
        <w:t>：</w:t>
      </w:r>
      <w:r>
        <w:rPr>
          <w:rFonts w:hint="eastAsia" w:ascii="仿宋_GB2312" w:hAnsi="仿宋_GB2312" w:eastAsia="仿宋_GB2312" w:cs="仿宋_GB2312"/>
          <w:sz w:val="32"/>
          <w:szCs w:val="32"/>
          <w:lang w:eastAsia="zh-CN"/>
        </w:rPr>
        <w:t>包括但不限于</w:t>
      </w:r>
      <w:r>
        <w:rPr>
          <w:rFonts w:hint="default" w:ascii="仿宋_GB2312" w:hAnsi="仿宋_GB2312" w:eastAsia="仿宋_GB2312" w:cs="仿宋_GB2312"/>
          <w:kern w:val="2"/>
          <w:sz w:val="32"/>
          <w:szCs w:val="32"/>
          <w:lang w:val="en-US" w:eastAsia="zh-CN" w:bidi="ar-SA"/>
        </w:rPr>
        <w:t>生物医药、生物基材料、医美、化妆品、个人护理、生物农业、食品及添加剂、动物饲料、低碳生物制造、生物电子材料等应用场景。</w:t>
      </w:r>
    </w:p>
    <w:p w14:paraId="6D5A10FE">
      <w:pPr>
        <w:pStyle w:val="3"/>
        <w:numPr>
          <w:ilvl w:val="0"/>
          <w:numId w:val="0"/>
        </w:numPr>
        <w:ind w:firstLine="640" w:firstLineChars="200"/>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sz w:val="32"/>
          <w:szCs w:val="32"/>
          <w:lang w:val="en-US" w:eastAsia="zh-CN"/>
        </w:rPr>
        <w:t>市经信局提供以下方面服务支持：</w:t>
      </w:r>
      <w:r>
        <w:rPr>
          <w:rFonts w:hint="default" w:ascii="仿宋_GB2312" w:hAnsi="仿宋_GB2312" w:eastAsia="仿宋_GB2312" w:cs="仿宋_GB2312"/>
          <w:kern w:val="2"/>
          <w:sz w:val="32"/>
          <w:szCs w:val="32"/>
          <w:lang w:val="en-US" w:eastAsia="zh-CN" w:bidi="ar-SA"/>
        </w:rPr>
        <w:t xml:space="preserve">  </w:t>
      </w:r>
    </w:p>
    <w:p w14:paraId="50E45F2A">
      <w:pPr>
        <w:pStyle w:val="3"/>
        <w:numPr>
          <w:ilvl w:val="0"/>
          <w:numId w:val="0"/>
        </w:numPr>
        <w:ind w:firstLine="640" w:firstLineChars="200"/>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1.供需对接：动态收集合成生物企业技术需求，建立基因合成、菌种改造、生物催化、酶制剂等专项需求库</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组织产业链对接会，推动基因合成、生物发酵、AI+合成生物、微生物组工程等成果在杭州企业场景落地。</w:t>
      </w:r>
    </w:p>
    <w:p w14:paraId="421A136A">
      <w:pPr>
        <w:pStyle w:val="3"/>
        <w:numPr>
          <w:ilvl w:val="0"/>
          <w:numId w:val="0"/>
        </w:numPr>
        <w:ind w:firstLine="640" w:firstLineChars="200"/>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2.技术服务：依托</w:t>
      </w:r>
      <w:r>
        <w:rPr>
          <w:rFonts w:hint="eastAsia" w:ascii="仿宋_GB2312" w:hAnsi="仿宋_GB2312" w:eastAsia="仿宋_GB2312" w:cs="仿宋_GB2312"/>
          <w:kern w:val="2"/>
          <w:sz w:val="32"/>
          <w:szCs w:val="32"/>
          <w:lang w:val="en-US" w:eastAsia="zh-CN" w:bidi="ar-SA"/>
        </w:rPr>
        <w:t>中国科学院</w:t>
      </w:r>
      <w:r>
        <w:rPr>
          <w:rFonts w:hint="default" w:ascii="仿宋_GB2312" w:hAnsi="仿宋_GB2312" w:eastAsia="仿宋_GB2312" w:cs="仿宋_GB2312"/>
          <w:kern w:val="2"/>
          <w:sz w:val="32"/>
          <w:szCs w:val="32"/>
          <w:lang w:val="en-US" w:eastAsia="zh-CN" w:bidi="ar-SA"/>
        </w:rPr>
        <w:t>杭州医学研究所、浙大杭州国际科创中心、华东合成生物学技术研究院等高能级创新平台和合成生物领域重点企业，聚焦基础研究、底层技术开发，提高研究成果转移转化效率。推进合成生物概念验证中心和中试基地建设，探索公共服务平台与企业自建平台相结合的模式，促进更多科技成果转化。</w:t>
      </w:r>
    </w:p>
    <w:p w14:paraId="122C2C02">
      <w:pPr>
        <w:pStyle w:val="3"/>
        <w:numPr>
          <w:ilvl w:val="0"/>
          <w:numId w:val="0"/>
        </w:numPr>
        <w:ind w:firstLine="640" w:firstLineChars="200"/>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3.政策支持：根据《杭州市支持合成生物产业高质量发展的若干措施》（杭政办函〔2023〕64号）规定，对生物材料、医疗美容药械、化妆品、生物育种等领域产业化应用给予一定比例补助，支持企业加快合成生物技术的应用推广。（市经信局</w:t>
      </w:r>
      <w:r>
        <w:rPr>
          <w:rFonts w:hint="eastAsia" w:hAnsi="仿宋_GB2312" w:eastAsia="仿宋_GB2312" w:cs="仿宋_GB2312"/>
          <w:kern w:val="2"/>
          <w:sz w:val="32"/>
          <w:szCs w:val="32"/>
          <w:lang w:val="en-US" w:eastAsia="zh-CN" w:bidi="ar-SA"/>
        </w:rPr>
        <w:t>生物医药</w:t>
      </w:r>
      <w:r>
        <w:rPr>
          <w:rFonts w:hint="default" w:ascii="仿宋_GB2312" w:hAnsi="仿宋_GB2312" w:eastAsia="仿宋_GB2312" w:cs="仿宋_GB2312"/>
          <w:kern w:val="2"/>
          <w:sz w:val="32"/>
          <w:szCs w:val="32"/>
          <w:lang w:val="en-US" w:eastAsia="zh-CN" w:bidi="ar-SA"/>
        </w:rPr>
        <w:t>处：</w:t>
      </w:r>
      <w:r>
        <w:rPr>
          <w:rFonts w:hint="eastAsia" w:hAnsi="仿宋_GB2312" w:eastAsia="仿宋_GB2312" w:cs="仿宋_GB2312"/>
          <w:kern w:val="2"/>
          <w:sz w:val="32"/>
          <w:szCs w:val="32"/>
          <w:lang w:val="en-US" w:eastAsia="zh-CN" w:bidi="ar-SA"/>
        </w:rPr>
        <w:t>苏丹</w:t>
      </w:r>
      <w:r>
        <w:rPr>
          <w:rFonts w:hint="default" w:ascii="仿宋_GB2312" w:hAnsi="仿宋_GB2312" w:eastAsia="仿宋_GB2312" w:cs="仿宋_GB2312"/>
          <w:kern w:val="2"/>
          <w:sz w:val="32"/>
          <w:szCs w:val="32"/>
          <w:lang w:val="en-US" w:eastAsia="zh-CN" w:bidi="ar-SA"/>
        </w:rPr>
        <w:t>，85257</w:t>
      </w:r>
      <w:r>
        <w:rPr>
          <w:rFonts w:hint="eastAsia" w:hAnsi="仿宋_GB2312" w:eastAsia="仿宋_GB2312" w:cs="仿宋_GB2312"/>
          <w:kern w:val="2"/>
          <w:sz w:val="32"/>
          <w:szCs w:val="32"/>
          <w:lang w:val="en-US" w:eastAsia="zh-CN" w:bidi="ar-SA"/>
        </w:rPr>
        <w:t>120</w:t>
      </w:r>
      <w:r>
        <w:rPr>
          <w:rFonts w:hint="default"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kern w:val="2"/>
          <w:sz w:val="32"/>
          <w:szCs w:val="32"/>
          <w:lang w:val="en-US" w:eastAsia="zh-CN" w:bidi="ar-SA"/>
        </w:rPr>
        <w:t>邮箱：</w:t>
      </w:r>
      <w:r>
        <w:rPr>
          <w:rFonts w:hint="default" w:ascii="仿宋_GB2312" w:hAnsi="仿宋_GB2312" w:eastAsia="仿宋_GB2312" w:cs="仿宋_GB2312"/>
          <w:kern w:val="2"/>
          <w:sz w:val="32"/>
          <w:szCs w:val="32"/>
          <w:lang w:val="en-US" w:eastAsia="zh-CN" w:bidi="ar-SA"/>
        </w:rPr>
        <w:fldChar w:fldCharType="begin"/>
      </w:r>
      <w:r>
        <w:rPr>
          <w:rFonts w:hint="default" w:ascii="仿宋_GB2312" w:hAnsi="仿宋_GB2312" w:eastAsia="仿宋_GB2312" w:cs="仿宋_GB2312"/>
          <w:kern w:val="2"/>
          <w:sz w:val="32"/>
          <w:szCs w:val="32"/>
          <w:lang w:val="en-US" w:eastAsia="zh-CN" w:bidi="ar-SA"/>
        </w:rPr>
        <w:instrText xml:space="preserve"> HYPERLINK "mailto:2452718909@qq.com）" </w:instrText>
      </w:r>
      <w:r>
        <w:rPr>
          <w:rFonts w:hint="default" w:ascii="仿宋_GB2312" w:hAnsi="仿宋_GB2312" w:eastAsia="仿宋_GB2312" w:cs="仿宋_GB2312"/>
          <w:kern w:val="2"/>
          <w:sz w:val="32"/>
          <w:szCs w:val="32"/>
          <w:lang w:val="en-US" w:eastAsia="zh-CN" w:bidi="ar-SA"/>
        </w:rPr>
        <w:fldChar w:fldCharType="separate"/>
      </w:r>
      <w:r>
        <w:rPr>
          <w:rFonts w:hint="default" w:ascii="仿宋_GB2312" w:hAnsi="仿宋_GB2312" w:eastAsia="仿宋_GB2312" w:cs="仿宋_GB2312"/>
          <w:kern w:val="2"/>
          <w:sz w:val="32"/>
          <w:szCs w:val="32"/>
          <w:lang w:val="en-US" w:eastAsia="zh-CN" w:bidi="ar-SA"/>
        </w:rPr>
        <w:t>sudantvxq@126.com）</w:t>
      </w:r>
      <w:r>
        <w:rPr>
          <w:rFonts w:hint="default" w:ascii="仿宋_GB2312" w:hAnsi="仿宋_GB2312" w:eastAsia="仿宋_GB2312" w:cs="仿宋_GB2312"/>
          <w:kern w:val="2"/>
          <w:sz w:val="32"/>
          <w:szCs w:val="32"/>
          <w:lang w:val="en-US" w:eastAsia="zh-CN" w:bidi="ar-SA"/>
        </w:rPr>
        <w:fldChar w:fldCharType="end"/>
      </w:r>
    </w:p>
    <w:p w14:paraId="5ED0311E">
      <w:pPr>
        <w:pStyle w:val="2"/>
        <w:rPr>
          <w:rFonts w:hint="eastAsia" w:ascii="仿宋_GB2312" w:hAnsi="仿宋_GB2312" w:eastAsia="仿宋_GB2312" w:cs="仿宋_GB2312"/>
          <w:sz w:val="32"/>
          <w:szCs w:val="32"/>
          <w:lang w:val="en-US" w:eastAsia="zh-CN"/>
        </w:rPr>
      </w:pPr>
      <w:r>
        <w:rPr>
          <w:rFonts w:hint="eastAsia" w:hAnsi="仿宋_GB2312" w:eastAsia="仿宋_GB2312" w:cs="仿宋_GB2312"/>
          <w:b/>
          <w:bCs/>
          <w:kern w:val="2"/>
          <w:sz w:val="32"/>
          <w:szCs w:val="32"/>
          <w:lang w:val="en-US" w:eastAsia="zh-CN" w:bidi="ar-SA"/>
        </w:rPr>
        <w:t>四、智能网联汽车领域：</w:t>
      </w:r>
      <w:r>
        <w:rPr>
          <w:rFonts w:hint="eastAsia" w:ascii="仿宋_GB2312" w:hAnsi="仿宋_GB2312" w:eastAsia="仿宋_GB2312" w:cs="仿宋_GB2312"/>
          <w:sz w:val="32"/>
          <w:szCs w:val="32"/>
          <w:lang w:val="en-US" w:eastAsia="zh-CN"/>
        </w:rPr>
        <w:t>包括但不限于智慧乘用车、智慧公交、低速物流、无人巡逻、无人环卫、无人充电、智慧集重卡、无人零售、智慧停车场、数据上车应用等应用场景。</w:t>
      </w:r>
    </w:p>
    <w:p w14:paraId="2D56BFE4">
      <w:pPr>
        <w:pStyle w:val="3"/>
        <w:numPr>
          <w:ilvl w:val="0"/>
          <w:numId w:val="0"/>
        </w:numPr>
        <w:ind w:firstLine="640" w:firstLineChars="200"/>
        <w:rPr>
          <w:rFonts w:hint="eastAsia" w:hAnsi="仿宋_GB2312" w:eastAsia="仿宋_GB2312" w:cs="仿宋_GB2312"/>
          <w:kern w:val="2"/>
          <w:sz w:val="32"/>
          <w:szCs w:val="32"/>
          <w:lang w:val="en-US" w:eastAsia="zh-CN" w:bidi="ar-SA"/>
        </w:rPr>
      </w:pPr>
      <w:r>
        <w:rPr>
          <w:rFonts w:hint="eastAsia" w:ascii="仿宋_GB2312" w:hAnsi="仿宋_GB2312" w:eastAsia="仿宋_GB2312" w:cs="仿宋_GB2312"/>
          <w:sz w:val="32"/>
          <w:szCs w:val="32"/>
          <w:lang w:val="en-US" w:eastAsia="zh-CN"/>
        </w:rPr>
        <w:t>市经信局提供以下方面服务支持：</w:t>
      </w:r>
    </w:p>
    <w:p w14:paraId="44BE4718">
      <w:pPr>
        <w:pStyle w:val="3"/>
        <w:numPr>
          <w:ilvl w:val="0"/>
          <w:numId w:val="0"/>
        </w:numPr>
        <w:ind w:firstLine="640" w:firstLineChars="200"/>
        <w:rPr>
          <w:rFonts w:hint="default"/>
          <w:lang w:val="en-US" w:eastAsia="zh-CN"/>
        </w:rPr>
      </w:pPr>
      <w:r>
        <w:rPr>
          <w:rFonts w:hint="eastAsia" w:ascii="仿宋_GB2312" w:hAnsi="仿宋_GB2312" w:eastAsia="仿宋_GB2312" w:cs="仿宋_GB2312"/>
          <w:kern w:val="2"/>
          <w:sz w:val="32"/>
          <w:szCs w:val="32"/>
          <w:lang w:val="en-US" w:eastAsia="zh-CN" w:bidi="ar-SA"/>
        </w:rPr>
        <w:t>1.供需对接：</w:t>
      </w:r>
      <w:r>
        <w:rPr>
          <w:rFonts w:hint="eastAsia" w:ascii="仿宋_GB2312" w:hAnsi="仿宋_GB2312" w:eastAsia="仿宋_GB2312" w:cs="仿宋_GB2312"/>
          <w:sz w:val="32"/>
          <w:szCs w:val="32"/>
          <w:lang w:eastAsia="zh-CN"/>
        </w:rPr>
        <w:t>根据场景建设需求，匹配对接生产制造企业、技术服务机构与场景应用单位，推动产业链上下游的深度合作和无人驾驶等先进技术的推广应用</w:t>
      </w:r>
      <w:r>
        <w:rPr>
          <w:rFonts w:hint="eastAsia" w:ascii="仿宋_GB2312" w:hAnsi="仿宋_GB2312" w:eastAsia="仿宋_GB2312" w:cs="仿宋_GB2312"/>
          <w:kern w:val="2"/>
          <w:sz w:val="32"/>
          <w:szCs w:val="32"/>
          <w:lang w:val="en-US" w:eastAsia="zh-CN" w:bidi="ar-SA"/>
        </w:rPr>
        <w:t>，共同建设首发性、标杆性场景。</w:t>
      </w:r>
      <w:r>
        <w:rPr>
          <w:rFonts w:hint="eastAsia" w:ascii="仿宋_GB2312" w:hAnsi="仿宋_GB2312" w:eastAsia="仿宋_GB2312" w:cs="仿宋_GB2312"/>
          <w:kern w:val="2"/>
          <w:sz w:val="32"/>
          <w:szCs w:val="32"/>
          <w:lang w:val="en-US" w:eastAsia="zh-CN" w:bidi="ar-SA"/>
        </w:rPr>
        <w:br w:type="textWrapping"/>
      </w:r>
      <w:r>
        <w:rPr>
          <w:rFonts w:hint="eastAsia" w:ascii="仿宋_GB2312" w:hAnsi="仿宋_GB2312" w:eastAsia="仿宋_GB2312" w:cs="仿宋_GB2312"/>
          <w:kern w:val="2"/>
          <w:sz w:val="32"/>
          <w:szCs w:val="32"/>
          <w:lang w:val="en-US" w:eastAsia="zh-CN" w:bidi="ar-SA"/>
        </w:rPr>
        <w:t xml:space="preserve">    2.技术服务：支持路权和牌照获得，联合企业及建设单位开展技术攻关，提供检验检测服务。</w:t>
      </w:r>
      <w:r>
        <w:rPr>
          <w:rFonts w:hint="eastAsia" w:ascii="仿宋_GB2312" w:hAnsi="仿宋_GB2312" w:eastAsia="仿宋_GB2312" w:cs="仿宋_GB2312"/>
          <w:kern w:val="2"/>
          <w:sz w:val="32"/>
          <w:szCs w:val="32"/>
          <w:lang w:val="en-US" w:eastAsia="zh-CN" w:bidi="ar-SA"/>
        </w:rPr>
        <w:br w:type="textWrapping"/>
      </w:r>
      <w:r>
        <w:rPr>
          <w:rFonts w:hint="eastAsia" w:ascii="仿宋_GB2312" w:hAnsi="仿宋_GB2312" w:eastAsia="仿宋_GB2312" w:cs="仿宋_GB2312"/>
          <w:kern w:val="2"/>
          <w:sz w:val="32"/>
          <w:szCs w:val="32"/>
          <w:lang w:val="en-US" w:eastAsia="zh-CN" w:bidi="ar-SA"/>
        </w:rPr>
        <w:t xml:space="preserve">    3.根据《杭州市人民政府关于印发杭州市打造国家智能网联汽车“车路云一体化”应用标杆城市实施方案的通知》规定，对购置车辆及设施建设给予一定比例补助。</w:t>
      </w:r>
    </w:p>
    <w:p w14:paraId="522B2651">
      <w:pPr>
        <w:pStyle w:val="3"/>
        <w:numPr>
          <w:ilvl w:val="0"/>
          <w:numId w:val="0"/>
        </w:numPr>
        <w:ind w:firstLine="640" w:firstLineChars="200"/>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sz w:val="32"/>
          <w:szCs w:val="32"/>
          <w:lang w:val="en-US" w:eastAsia="zh-CN"/>
        </w:rPr>
        <w:t>市经信局高端装备处：陈昕儒，85257070。邮箱：sswu_zjut@163.com</w:t>
      </w:r>
      <w:r>
        <w:rPr>
          <w:rFonts w:hint="eastAsia" w:ascii="仿宋_GB2312" w:hAnsi="仿宋_GB2312" w:eastAsia="仿宋_GB2312" w:cs="仿宋_GB2312"/>
          <w:kern w:val="2"/>
          <w:sz w:val="32"/>
          <w:szCs w:val="32"/>
          <w:lang w:val="en-US" w:eastAsia="zh-CN" w:bidi="ar-SA"/>
        </w:rPr>
        <w:t>）</w:t>
      </w:r>
    </w:p>
    <w:p w14:paraId="276AD378">
      <w:pPr>
        <w:pStyle w:val="3"/>
        <w:keepNext w:val="0"/>
        <w:keepLines w:val="0"/>
        <w:pageBreakBefore w:val="0"/>
        <w:widowControl w:val="0"/>
        <w:numPr>
          <w:ilvl w:val="0"/>
          <w:numId w:val="0"/>
        </w:numPr>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eastAsia="zh-CN"/>
        </w:rPr>
        <w:t>五、机器人及增材制造领域：</w:t>
      </w:r>
      <w:r>
        <w:rPr>
          <w:rFonts w:hint="eastAsia" w:ascii="仿宋_GB2312" w:hAnsi="仿宋_GB2312" w:eastAsia="仿宋_GB2312" w:cs="仿宋_GB2312"/>
          <w:sz w:val="32"/>
          <w:szCs w:val="32"/>
          <w:lang w:eastAsia="zh-CN"/>
        </w:rPr>
        <w:t>包括但不限于智能制造、市政巡检、物流仓储、</w:t>
      </w:r>
      <w:r>
        <w:rPr>
          <w:rFonts w:hint="eastAsia" w:ascii="仿宋_GB2312" w:hAnsi="仿宋_GB2312" w:eastAsia="仿宋_GB2312" w:cs="仿宋_GB2312"/>
          <w:sz w:val="32"/>
          <w:szCs w:val="32"/>
          <w:lang w:val="en-US" w:eastAsia="zh-CN"/>
        </w:rPr>
        <w:t>农业养殖、自动化产线、增材制造等应用场景。</w:t>
      </w:r>
    </w:p>
    <w:p w14:paraId="2A0D9DD0">
      <w:pPr>
        <w:pStyle w:val="3"/>
        <w:numPr>
          <w:ilvl w:val="0"/>
          <w:numId w:val="0"/>
        </w:numPr>
        <w:ind w:firstLine="640" w:firstLineChars="200"/>
        <w:rPr>
          <w:rFonts w:hint="eastAsia" w:hAnsi="仿宋_GB2312" w:eastAsia="仿宋_GB2312" w:cs="仿宋_GB2312"/>
          <w:kern w:val="2"/>
          <w:sz w:val="32"/>
          <w:szCs w:val="32"/>
          <w:lang w:val="en-US" w:eastAsia="zh-CN" w:bidi="ar-SA"/>
        </w:rPr>
      </w:pPr>
      <w:r>
        <w:rPr>
          <w:rFonts w:hint="eastAsia" w:ascii="仿宋_GB2312" w:hAnsi="仿宋_GB2312" w:eastAsia="仿宋_GB2312" w:cs="仿宋_GB2312"/>
          <w:sz w:val="32"/>
          <w:szCs w:val="32"/>
          <w:lang w:val="en-US" w:eastAsia="zh-CN"/>
        </w:rPr>
        <w:t>市经信局提供以下方面服务支持：</w:t>
      </w:r>
    </w:p>
    <w:p w14:paraId="0F520E42">
      <w:pPr>
        <w:pStyle w:val="3"/>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US" w:eastAsia="zh-CN"/>
        </w:rPr>
        <w:t>1</w:t>
      </w:r>
      <w:r>
        <w:rPr>
          <w:rFonts w:hint="default" w:ascii="仿宋_GB2312" w:hAnsi="仿宋_GB2312" w:eastAsia="仿宋_GB2312" w:cs="仿宋_GB2312"/>
          <w:sz w:val="32"/>
          <w:szCs w:val="32"/>
          <w:lang w:val="en" w:eastAsia="zh-CN"/>
        </w:rPr>
        <w:t>.</w:t>
      </w:r>
      <w:r>
        <w:rPr>
          <w:rFonts w:hint="eastAsia" w:ascii="仿宋_GB2312" w:hAnsi="仿宋_GB2312" w:eastAsia="仿宋_GB2312" w:cs="仿宋_GB2312"/>
          <w:sz w:val="32"/>
          <w:szCs w:val="32"/>
          <w:lang w:val="en" w:eastAsia="zh-CN"/>
        </w:rPr>
        <w:t>供需对接：</w:t>
      </w:r>
      <w:r>
        <w:rPr>
          <w:rFonts w:hint="eastAsia" w:ascii="仿宋_GB2312" w:hAnsi="仿宋_GB2312" w:eastAsia="仿宋_GB2312" w:cs="仿宋_GB2312"/>
          <w:sz w:val="32"/>
          <w:szCs w:val="32"/>
          <w:lang w:eastAsia="zh-CN"/>
        </w:rPr>
        <w:t>根据场景建设需求，匹配对接生产制造企业、技术服务机构与场景应用单位，推动产业链上下游的深度合作和先进技术、优质产品的推广应用</w:t>
      </w:r>
      <w:r>
        <w:rPr>
          <w:rFonts w:hint="eastAsia"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kern w:val="2"/>
          <w:sz w:val="32"/>
          <w:szCs w:val="32"/>
          <w:lang w:val="en-US" w:eastAsia="zh-CN" w:bidi="ar-SA"/>
        </w:rPr>
        <w:br w:type="textWrapping"/>
      </w:r>
      <w:r>
        <w:rPr>
          <w:rFonts w:hint="eastAsia" w:ascii="仿宋_GB2312" w:hAnsi="仿宋_GB2312" w:eastAsia="仿宋_GB2312" w:cs="仿宋_GB2312"/>
          <w:kern w:val="2"/>
          <w:sz w:val="32"/>
          <w:szCs w:val="32"/>
          <w:lang w:val="en-US" w:eastAsia="zh-CN" w:bidi="ar-SA"/>
        </w:rPr>
        <w:t xml:space="preserve">    </w:t>
      </w:r>
      <w:r>
        <w:rPr>
          <w:rFonts w:hint="default" w:ascii="仿宋_GB2312" w:hAnsi="仿宋_GB2312" w:eastAsia="仿宋_GB2312" w:cs="仿宋_GB2312"/>
          <w:sz w:val="32"/>
          <w:szCs w:val="32"/>
          <w:lang w:val="en" w:eastAsia="zh-CN"/>
        </w:rPr>
        <w:t>2.</w:t>
      </w:r>
      <w:r>
        <w:rPr>
          <w:rFonts w:hint="eastAsia" w:ascii="仿宋_GB2312" w:hAnsi="仿宋_GB2312" w:eastAsia="仿宋_GB2312" w:cs="仿宋_GB2312"/>
          <w:sz w:val="32"/>
          <w:szCs w:val="32"/>
          <w:lang w:val="en" w:eastAsia="zh-CN"/>
        </w:rPr>
        <w:t>技术服务：联合浙江大学、西湖大学、浙江智能机器人研究院等科创平台及高校开展核心技术攻关，为场景应用提供技术支持。</w:t>
      </w:r>
    </w:p>
    <w:p w14:paraId="079F801D">
      <w:pPr>
        <w:pStyle w:val="3"/>
        <w:numPr>
          <w:ilvl w:val="0"/>
          <w:numId w:val="0"/>
        </w:numPr>
        <w:ind w:firstLine="640" w:firstLineChars="200"/>
        <w:rPr>
          <w:rFonts w:hint="eastAsia" w:ascii="仿宋_GB2312" w:hAnsi="仿宋_GB2312" w:eastAsia="仿宋_GB2312" w:cs="仿宋_GB2312"/>
          <w:kern w:val="2"/>
          <w:sz w:val="32"/>
          <w:szCs w:val="32"/>
          <w:lang w:val="en-US" w:eastAsia="zh-CN" w:bidi="ar-SA"/>
        </w:rPr>
      </w:pPr>
      <w:r>
        <w:rPr>
          <w:rFonts w:hint="default" w:ascii="仿宋_GB2312" w:hAnsi="仿宋_GB2312" w:eastAsia="仿宋_GB2312" w:cs="仿宋_GB2312"/>
          <w:sz w:val="32"/>
          <w:szCs w:val="32"/>
          <w:lang w:val="en" w:eastAsia="zh-CN"/>
        </w:rPr>
        <w:t>3</w:t>
      </w:r>
      <w:r>
        <w:rPr>
          <w:rFonts w:hint="eastAsia" w:ascii="仿宋_GB2312" w:hAnsi="仿宋_GB2312" w:eastAsia="仿宋_GB2312" w:cs="仿宋_GB2312"/>
          <w:sz w:val="32"/>
          <w:szCs w:val="32"/>
          <w:lang w:val="en" w:eastAsia="zh-CN"/>
        </w:rPr>
        <w:t>.</w:t>
      </w:r>
      <w:r>
        <w:rPr>
          <w:rFonts w:hint="eastAsia" w:ascii="仿宋_GB2312" w:hAnsi="仿宋_GB2312" w:eastAsia="仿宋_GB2312" w:cs="仿宋_GB2312"/>
          <w:sz w:val="32"/>
          <w:szCs w:val="32"/>
          <w:lang w:val="en-US" w:eastAsia="zh-CN"/>
        </w:rPr>
        <w:t>根据《杭州市人民政府办公厅关于印发加快推进高端装备制造业高质量发展若干措施的通知》（杭政办函〔2023〕56号）规定，对可复制可推广的场景应用开放项目，</w:t>
      </w:r>
      <w:r>
        <w:rPr>
          <w:rFonts w:hint="eastAsia" w:ascii="仿宋_GB2312" w:hAnsi="仿宋_GB2312" w:eastAsia="仿宋_GB2312" w:cs="仿宋_GB2312"/>
          <w:sz w:val="32"/>
          <w:szCs w:val="32"/>
          <w:lang w:eastAsia="zh-CN"/>
        </w:rPr>
        <w:t>予以</w:t>
      </w:r>
      <w:r>
        <w:rPr>
          <w:rFonts w:hint="eastAsia" w:ascii="仿宋_GB2312" w:hAnsi="仿宋_GB2312" w:eastAsia="仿宋_GB2312" w:cs="仿宋_GB2312"/>
          <w:sz w:val="32"/>
          <w:szCs w:val="32"/>
          <w:lang w:val="en-US" w:eastAsia="zh-CN"/>
        </w:rPr>
        <w:t>建设单位最高不超过200万元的奖励。</w:t>
      </w:r>
    </w:p>
    <w:p w14:paraId="0BE18EF6">
      <w:pPr>
        <w:pStyle w:val="3"/>
        <w:numPr>
          <w:ilvl w:val="0"/>
          <w:numId w:val="0"/>
        </w:numPr>
        <w:ind w:firstLine="640"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sz w:val="32"/>
          <w:szCs w:val="32"/>
          <w:lang w:val="en-US" w:eastAsia="zh-CN"/>
        </w:rPr>
        <w:t>市经信局高端装备处：罗明，85257118。邮箱：sswu_zjut@163.com</w:t>
      </w:r>
      <w:r>
        <w:rPr>
          <w:rFonts w:hint="eastAsia" w:ascii="仿宋_GB2312" w:hAnsi="仿宋_GB2312" w:eastAsia="仿宋_GB2312" w:cs="仿宋_GB2312"/>
          <w:kern w:val="2"/>
          <w:sz w:val="32"/>
          <w:szCs w:val="32"/>
          <w:lang w:val="en-US" w:eastAsia="zh-CN" w:bidi="ar-SA"/>
        </w:rPr>
        <w:t>）</w:t>
      </w:r>
    </w:p>
    <w:p w14:paraId="5F915F6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3264439E-B3B0-4DD2-9D96-83AEF05C4D45}"/>
  </w:font>
  <w:font w:name="仿宋_GB2312">
    <w:altName w:val="仿宋"/>
    <w:panose1 w:val="02010609030101010101"/>
    <w:charset w:val="86"/>
    <w:family w:val="modern"/>
    <w:pitch w:val="default"/>
    <w:sig w:usb0="00000000" w:usb1="00000000" w:usb2="00000000" w:usb3="00000000" w:csb0="00040000" w:csb1="00000000"/>
    <w:embedRegular r:id="rId2" w:fontKey="{351C4079-86FF-4D8E-AE9E-2E793D4279CD}"/>
  </w:font>
  <w:font w:name="方正小标宋简体">
    <w:panose1 w:val="02000000000000000000"/>
    <w:charset w:val="86"/>
    <w:family w:val="auto"/>
    <w:pitch w:val="default"/>
    <w:sig w:usb0="00000001" w:usb1="08000000" w:usb2="00000000" w:usb3="00000000" w:csb0="00040000" w:csb1="00000000"/>
    <w:embedRegular r:id="rId3" w:fontKey="{832CF192-E608-4812-BAB7-5B8143D7E4D5}"/>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BFE58B5"/>
    <w:rsid w:val="6BFE58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customStyle="1" w:styleId="2">
    <w:name w:val="Normal Indent1"/>
    <w:basedOn w:val="1"/>
    <w:next w:val="3"/>
    <w:qFormat/>
    <w:uiPriority w:val="0"/>
    <w:pPr>
      <w:spacing w:line="480" w:lineRule="auto"/>
      <w:ind w:firstLine="200" w:firstLineChars="200"/>
    </w:pPr>
    <w:rPr>
      <w:rFonts w:ascii="仿宋_GB2312" w:hAnsi="Times New Roman"/>
    </w:rPr>
  </w:style>
  <w:style w:type="paragraph" w:styleId="3">
    <w:name w:val="index 5"/>
    <w:basedOn w:val="1"/>
    <w:next w:val="1"/>
    <w:qFormat/>
    <w:uiPriority w:val="0"/>
    <w:pPr>
      <w:ind w:left="800" w:leftChars="800"/>
    </w:pPr>
    <w:rPr>
      <w:rFonts w:ascii="Times New Roman" w:hAnsi="Times New Roman" w:eastAsia="宋体" w:cs="Times New Roman"/>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2025-02-18T02:48:00Z</dcterms:created>
  <dc:creator>汪株燚</dc:creator>
  <cp:lastModifiedBy>汪株燚</cp:lastModifiedBy>
  <dcterms:modified xsi:type="dcterms:W3CDTF">2025-02-18T02:49:05Z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8D64FBE25B6E4FF798725FF5E59F0AEC_11</vt:lpwstr>
  </property>
  <property fmtid="{D5CDD505-2E9C-101B-9397-08002B2CF9AE}" pid="4" name="KSOTemplateDocerSaveRecord">
    <vt:lpwstr>eyJoZGlkIjoiYWYxNzJlNzI5ZjQ2OWE0YTljZTAzNGQ1OTY5MjJhOWUiLCJ1c2VySWQiOiIyMDE5NTc3NzQifQ==</vt:lpwstr>
  </property>
</Properties>
</file>