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A8E" w:rsidRDefault="00CC67C9">
      <w:pPr>
        <w:widowControl/>
        <w:jc w:val="center"/>
        <w:rPr>
          <w:rFonts w:ascii="方正公文小标宋" w:eastAsia="方正公文小标宋" w:hAnsi="方正公文小标宋" w:cs="方正公文小标宋"/>
          <w:b/>
          <w:bCs/>
          <w:color w:val="000000" w:themeColor="text1"/>
          <w:sz w:val="36"/>
          <w:szCs w:val="36"/>
        </w:rPr>
      </w:pPr>
      <w:r>
        <w:rPr>
          <w:rFonts w:ascii="方正公文小标宋" w:eastAsia="方正公文小标宋" w:hAnsi="方正公文小标宋" w:cs="方正公文小标宋" w:hint="eastAsia"/>
          <w:b/>
          <w:bCs/>
          <w:color w:val="000000" w:themeColor="text1"/>
          <w:sz w:val="36"/>
          <w:szCs w:val="36"/>
        </w:rPr>
        <w:t>202</w:t>
      </w:r>
      <w:r w:rsidR="00B7683D">
        <w:rPr>
          <w:rFonts w:ascii="方正公文小标宋" w:eastAsia="方正公文小标宋" w:hAnsi="方正公文小标宋" w:cs="方正公文小标宋" w:hint="eastAsia"/>
          <w:b/>
          <w:bCs/>
          <w:color w:val="000000" w:themeColor="text1"/>
          <w:sz w:val="36"/>
          <w:szCs w:val="36"/>
        </w:rPr>
        <w:t>5</w:t>
      </w:r>
      <w:r>
        <w:rPr>
          <w:rFonts w:ascii="方正公文小标宋" w:eastAsia="方正公文小标宋" w:hAnsi="方正公文小标宋" w:cs="方正公文小标宋" w:hint="eastAsia"/>
          <w:b/>
          <w:bCs/>
          <w:color w:val="000000" w:themeColor="text1"/>
          <w:sz w:val="36"/>
          <w:szCs w:val="36"/>
        </w:rPr>
        <w:t>年杭州市流通领域（网络）</w:t>
      </w:r>
    </w:p>
    <w:p w:rsidR="004F5A8E" w:rsidRDefault="00CC67C9">
      <w:pPr>
        <w:widowControl/>
        <w:jc w:val="center"/>
        <w:rPr>
          <w:rFonts w:ascii="方正公文小标宋" w:eastAsia="方正公文小标宋" w:hAnsi="方正公文小标宋" w:cs="方正公文小标宋"/>
          <w:b/>
          <w:bCs/>
          <w:color w:val="000000" w:themeColor="text1"/>
          <w:sz w:val="36"/>
          <w:szCs w:val="36"/>
        </w:rPr>
      </w:pPr>
      <w:r>
        <w:rPr>
          <w:rFonts w:ascii="方正公文小标宋" w:eastAsia="方正公文小标宋" w:hAnsi="方正公文小标宋" w:cs="方正公文小标宋" w:hint="eastAsia"/>
          <w:b/>
          <w:bCs/>
          <w:color w:val="000000" w:themeColor="text1"/>
          <w:sz w:val="36"/>
          <w:szCs w:val="36"/>
        </w:rPr>
        <w:t>电动自行车充电器产品质量监督抽查实施细则</w:t>
      </w:r>
    </w:p>
    <w:p w:rsidR="004F5A8E" w:rsidRDefault="004F5A8E">
      <w:pPr>
        <w:pStyle w:val="a4"/>
        <w:jc w:val="center"/>
        <w:rPr>
          <w:rFonts w:ascii="黑体" w:eastAsia="黑体" w:hAnsi="黑体"/>
          <w:b/>
          <w:bCs/>
          <w:color w:val="000000" w:themeColor="text1"/>
          <w:sz w:val="32"/>
          <w:szCs w:val="32"/>
        </w:rPr>
      </w:pPr>
    </w:p>
    <w:p w:rsidR="004F5A8E" w:rsidRDefault="00CC67C9">
      <w:pPr>
        <w:adjustRightInd w:val="0"/>
        <w:snapToGrid w:val="0"/>
        <w:spacing w:line="360" w:lineRule="auto"/>
        <w:ind w:firstLineChars="200" w:firstLine="482"/>
        <w:jc w:val="left"/>
        <w:rPr>
          <w:rFonts w:ascii="黑体" w:eastAsia="黑体" w:hAnsi="黑体"/>
          <w:b/>
          <w:bCs/>
          <w:color w:val="000000" w:themeColor="text1"/>
          <w:sz w:val="24"/>
        </w:rPr>
      </w:pPr>
      <w:r>
        <w:rPr>
          <w:rFonts w:ascii="黑体" w:eastAsia="黑体" w:hAnsi="黑体" w:hint="eastAsia"/>
          <w:b/>
          <w:bCs/>
          <w:color w:val="000000" w:themeColor="text1"/>
          <w:sz w:val="24"/>
        </w:rPr>
        <w:t>一、</w:t>
      </w:r>
      <w:r>
        <w:rPr>
          <w:rFonts w:ascii="黑体" w:eastAsia="黑体" w:hAnsi="黑体"/>
          <w:b/>
          <w:bCs/>
          <w:color w:val="000000" w:themeColor="text1"/>
          <w:sz w:val="24"/>
        </w:rPr>
        <w:t>抽样方法</w:t>
      </w:r>
    </w:p>
    <w:p w:rsidR="004F5A8E" w:rsidRDefault="00CC67C9">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color w:val="000000" w:themeColor="text1"/>
          <w:sz w:val="24"/>
        </w:rPr>
        <w:t>以随机抽样的方式在被抽样生产者、销售者的待销产品中抽取。</w:t>
      </w:r>
    </w:p>
    <w:p w:rsidR="004F5A8E" w:rsidRDefault="00CC67C9">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抽样基数满足抽样数量即可。</w:t>
      </w:r>
    </w:p>
    <w:p w:rsidR="004F5A8E" w:rsidRDefault="00CC67C9">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每批次抽取样品3</w:t>
      </w:r>
      <w:r w:rsidR="00B65F24">
        <w:rPr>
          <w:rFonts w:ascii="仿宋" w:eastAsia="仿宋" w:hAnsi="仿宋" w:hint="eastAsia"/>
          <w:color w:val="000000" w:themeColor="text1"/>
          <w:sz w:val="24"/>
        </w:rPr>
        <w:t>个</w:t>
      </w:r>
      <w:r>
        <w:rPr>
          <w:rFonts w:ascii="仿宋" w:eastAsia="仿宋" w:hAnsi="仿宋" w:hint="eastAsia"/>
          <w:color w:val="000000" w:themeColor="text1"/>
          <w:sz w:val="24"/>
        </w:rPr>
        <w:t>，其中2</w:t>
      </w:r>
      <w:r w:rsidR="00B65F24">
        <w:rPr>
          <w:rFonts w:ascii="仿宋" w:eastAsia="仿宋" w:hAnsi="仿宋" w:hint="eastAsia"/>
          <w:color w:val="000000" w:themeColor="text1"/>
          <w:sz w:val="24"/>
        </w:rPr>
        <w:t>个</w:t>
      </w:r>
      <w:r>
        <w:rPr>
          <w:rFonts w:ascii="仿宋" w:eastAsia="仿宋" w:hAnsi="仿宋" w:hint="eastAsia"/>
          <w:color w:val="000000" w:themeColor="text1"/>
          <w:sz w:val="24"/>
        </w:rPr>
        <w:t>作为检验样品，1</w:t>
      </w:r>
      <w:r w:rsidR="00B65F24">
        <w:rPr>
          <w:rFonts w:ascii="仿宋" w:eastAsia="仿宋" w:hAnsi="仿宋" w:hint="eastAsia"/>
          <w:color w:val="000000" w:themeColor="text1"/>
          <w:sz w:val="24"/>
        </w:rPr>
        <w:t>个</w:t>
      </w:r>
      <w:r>
        <w:rPr>
          <w:rFonts w:ascii="仿宋" w:eastAsia="仿宋" w:hAnsi="仿宋" w:hint="eastAsia"/>
          <w:color w:val="000000" w:themeColor="text1"/>
          <w:sz w:val="24"/>
        </w:rPr>
        <w:t>作为备用样品。</w:t>
      </w:r>
    </w:p>
    <w:p w:rsidR="004F5A8E" w:rsidRDefault="004F5A8E">
      <w:pPr>
        <w:adjustRightInd w:val="0"/>
        <w:snapToGrid w:val="0"/>
        <w:spacing w:line="360" w:lineRule="auto"/>
        <w:ind w:firstLineChars="200" w:firstLine="482"/>
        <w:jc w:val="left"/>
        <w:rPr>
          <w:rFonts w:ascii="黑体" w:eastAsia="黑体" w:hAnsi="黑体"/>
          <w:b/>
          <w:bCs/>
          <w:color w:val="000000" w:themeColor="text1"/>
          <w:sz w:val="24"/>
        </w:rPr>
      </w:pPr>
    </w:p>
    <w:p w:rsidR="004F5A8E" w:rsidRDefault="00CC67C9">
      <w:pPr>
        <w:adjustRightInd w:val="0"/>
        <w:snapToGrid w:val="0"/>
        <w:spacing w:line="360" w:lineRule="auto"/>
        <w:ind w:firstLineChars="200" w:firstLine="482"/>
        <w:jc w:val="left"/>
        <w:rPr>
          <w:rFonts w:ascii="黑体" w:eastAsia="黑体" w:hAnsi="黑体"/>
          <w:b/>
          <w:bCs/>
          <w:color w:val="000000" w:themeColor="text1"/>
          <w:sz w:val="24"/>
        </w:rPr>
      </w:pPr>
      <w:r>
        <w:rPr>
          <w:rFonts w:ascii="黑体" w:eastAsia="黑体" w:hAnsi="黑体" w:hint="eastAsia"/>
          <w:b/>
          <w:bCs/>
          <w:color w:val="000000" w:themeColor="text1"/>
          <w:sz w:val="24"/>
        </w:rPr>
        <w:t>二、</w:t>
      </w:r>
      <w:r>
        <w:rPr>
          <w:rFonts w:ascii="黑体" w:eastAsia="黑体" w:hAnsi="黑体"/>
          <w:b/>
          <w:bCs/>
          <w:color w:val="000000" w:themeColor="text1"/>
          <w:sz w:val="24"/>
        </w:rPr>
        <w:t>检验依据</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3982"/>
        <w:gridCol w:w="3548"/>
      </w:tblGrid>
      <w:tr w:rsidR="004F5A8E">
        <w:trPr>
          <w:cantSplit/>
          <w:trHeight w:val="567"/>
          <w:tblHeader/>
          <w:jc w:val="center"/>
        </w:trPr>
        <w:tc>
          <w:tcPr>
            <w:tcW w:w="814" w:type="dxa"/>
            <w:vAlign w:val="center"/>
          </w:tcPr>
          <w:p w:rsidR="004F5A8E" w:rsidRDefault="00CC67C9">
            <w:pPr>
              <w:adjustRightInd w:val="0"/>
              <w:snapToGrid w:val="0"/>
              <w:spacing w:line="300" w:lineRule="exact"/>
              <w:jc w:val="center"/>
              <w:rPr>
                <w:rFonts w:ascii="仿宋" w:eastAsia="仿宋" w:hAnsi="仿宋"/>
                <w:b/>
                <w:bCs/>
                <w:color w:val="000000" w:themeColor="text1"/>
                <w:sz w:val="24"/>
              </w:rPr>
            </w:pPr>
            <w:r>
              <w:rPr>
                <w:rFonts w:ascii="仿宋" w:eastAsia="仿宋" w:hAnsi="仿宋"/>
                <w:b/>
                <w:bCs/>
                <w:color w:val="000000" w:themeColor="text1"/>
                <w:sz w:val="24"/>
              </w:rPr>
              <w:t>序号</w:t>
            </w:r>
          </w:p>
        </w:tc>
        <w:tc>
          <w:tcPr>
            <w:tcW w:w="3982" w:type="dxa"/>
            <w:vAlign w:val="center"/>
          </w:tcPr>
          <w:p w:rsidR="004F5A8E" w:rsidRDefault="00CC67C9">
            <w:pPr>
              <w:adjustRightInd w:val="0"/>
              <w:snapToGrid w:val="0"/>
              <w:spacing w:line="300" w:lineRule="exact"/>
              <w:jc w:val="center"/>
              <w:rPr>
                <w:rFonts w:ascii="仿宋" w:eastAsia="仿宋" w:hAnsi="仿宋"/>
                <w:b/>
                <w:bCs/>
                <w:color w:val="000000" w:themeColor="text1"/>
                <w:sz w:val="24"/>
              </w:rPr>
            </w:pPr>
            <w:r>
              <w:rPr>
                <w:rFonts w:ascii="仿宋" w:eastAsia="仿宋" w:hAnsi="仿宋"/>
                <w:b/>
                <w:bCs/>
                <w:color w:val="000000" w:themeColor="text1"/>
                <w:sz w:val="24"/>
              </w:rPr>
              <w:t>检验项目</w:t>
            </w:r>
          </w:p>
        </w:tc>
        <w:tc>
          <w:tcPr>
            <w:tcW w:w="3548" w:type="dxa"/>
            <w:vAlign w:val="center"/>
          </w:tcPr>
          <w:p w:rsidR="004F5A8E" w:rsidRDefault="00CC67C9">
            <w:pPr>
              <w:adjustRightInd w:val="0"/>
              <w:snapToGrid w:val="0"/>
              <w:spacing w:line="300" w:lineRule="exact"/>
              <w:jc w:val="center"/>
              <w:rPr>
                <w:rFonts w:ascii="仿宋" w:eastAsia="仿宋" w:hAnsi="仿宋"/>
                <w:b/>
                <w:bCs/>
                <w:color w:val="000000" w:themeColor="text1"/>
                <w:sz w:val="24"/>
              </w:rPr>
            </w:pPr>
            <w:r>
              <w:rPr>
                <w:rFonts w:ascii="仿宋" w:eastAsia="仿宋" w:hAnsi="仿宋"/>
                <w:b/>
                <w:bCs/>
                <w:color w:val="000000" w:themeColor="text1"/>
                <w:sz w:val="24"/>
              </w:rPr>
              <w:t>检测方法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外壳冲击</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2</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跌落</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3</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工作温度下的泄漏电流</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4</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电气强度</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5</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防触电保护</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6</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非正常工作（仅测5.2.5.1、5.2.5.2）</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7</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超温保护</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8</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过充切断</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9</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延时切断</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4F5A8E">
        <w:trPr>
          <w:cantSplit/>
          <w:trHeight w:val="567"/>
          <w:jc w:val="center"/>
        </w:trPr>
        <w:tc>
          <w:tcPr>
            <w:tcW w:w="814" w:type="dxa"/>
            <w:vAlign w:val="center"/>
          </w:tcPr>
          <w:p w:rsidR="004F5A8E" w:rsidRDefault="00CC67C9">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10</w:t>
            </w:r>
          </w:p>
        </w:tc>
        <w:tc>
          <w:tcPr>
            <w:tcW w:w="3982" w:type="dxa"/>
            <w:vAlign w:val="center"/>
          </w:tcPr>
          <w:p w:rsidR="004F5A8E" w:rsidRDefault="00B7683D">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耐热（仅外壳）</w:t>
            </w:r>
          </w:p>
        </w:tc>
        <w:tc>
          <w:tcPr>
            <w:tcW w:w="3548" w:type="dxa"/>
            <w:vAlign w:val="center"/>
          </w:tcPr>
          <w:p w:rsidR="004F5A8E" w:rsidRDefault="00CC67C9">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00B7683D" w:rsidRPr="00B7683D">
              <w:rPr>
                <w:rFonts w:ascii="仿宋" w:eastAsia="仿宋" w:hAnsi="仿宋" w:hint="eastAsia"/>
                <w:color w:val="000000" w:themeColor="text1"/>
                <w:sz w:val="24"/>
              </w:rPr>
              <w:t>及第1号修改单</w:t>
            </w:r>
          </w:p>
        </w:tc>
      </w:tr>
      <w:tr w:rsidR="00B7683D">
        <w:trPr>
          <w:cantSplit/>
          <w:trHeight w:val="567"/>
          <w:jc w:val="center"/>
        </w:trPr>
        <w:tc>
          <w:tcPr>
            <w:tcW w:w="814" w:type="dxa"/>
            <w:vAlign w:val="center"/>
          </w:tcPr>
          <w:p w:rsidR="00B7683D" w:rsidRDefault="00B7683D" w:rsidP="00B7683D">
            <w:pPr>
              <w:adjustRightInd w:val="0"/>
              <w:snapToGrid w:val="0"/>
              <w:spacing w:line="300" w:lineRule="exact"/>
              <w:jc w:val="center"/>
              <w:rPr>
                <w:rFonts w:ascii="仿宋" w:eastAsia="仿宋" w:hAnsi="仿宋"/>
                <w:color w:val="000000" w:themeColor="text1"/>
                <w:sz w:val="24"/>
              </w:rPr>
            </w:pPr>
            <w:r>
              <w:rPr>
                <w:rFonts w:ascii="仿宋" w:eastAsia="仿宋" w:hAnsi="仿宋" w:hint="eastAsia"/>
                <w:color w:val="000000" w:themeColor="text1"/>
                <w:sz w:val="24"/>
              </w:rPr>
              <w:t>11</w:t>
            </w:r>
          </w:p>
        </w:tc>
        <w:tc>
          <w:tcPr>
            <w:tcW w:w="3982" w:type="dxa"/>
            <w:vAlign w:val="center"/>
          </w:tcPr>
          <w:p w:rsidR="00B7683D" w:rsidRDefault="00B7683D" w:rsidP="008B2BF8">
            <w:pPr>
              <w:pStyle w:val="TableParagraph"/>
              <w:spacing w:before="2" w:line="289" w:lineRule="exact"/>
              <w:ind w:left="107"/>
              <w:jc w:val="center"/>
              <w:rPr>
                <w:rFonts w:ascii="仿宋" w:eastAsia="仿宋" w:hAnsi="仿宋" w:cs="Times New Roman"/>
                <w:color w:val="000000" w:themeColor="text1"/>
                <w:kern w:val="2"/>
                <w:sz w:val="24"/>
                <w:szCs w:val="24"/>
                <w:lang w:val="en-US" w:bidi="ar-SA"/>
              </w:rPr>
            </w:pPr>
            <w:r w:rsidRPr="00B7683D">
              <w:rPr>
                <w:rFonts w:ascii="仿宋" w:eastAsia="仿宋" w:hAnsi="仿宋" w:cs="Times New Roman" w:hint="eastAsia"/>
                <w:color w:val="000000" w:themeColor="text1"/>
                <w:kern w:val="2"/>
                <w:sz w:val="24"/>
                <w:szCs w:val="24"/>
                <w:lang w:val="en-US" w:bidi="ar-SA"/>
              </w:rPr>
              <w:t>灼热丝（仅外壳）</w:t>
            </w:r>
          </w:p>
        </w:tc>
        <w:tc>
          <w:tcPr>
            <w:tcW w:w="3548" w:type="dxa"/>
            <w:vAlign w:val="center"/>
          </w:tcPr>
          <w:p w:rsidR="00B7683D" w:rsidRDefault="00B7683D" w:rsidP="008B2BF8">
            <w:pPr>
              <w:adjustRightInd w:val="0"/>
              <w:snapToGrid w:val="0"/>
              <w:spacing w:line="300" w:lineRule="exact"/>
              <w:jc w:val="center"/>
              <w:textAlignment w:val="center"/>
              <w:rPr>
                <w:rFonts w:ascii="仿宋" w:eastAsia="仿宋" w:hAnsi="仿宋"/>
                <w:color w:val="000000" w:themeColor="text1"/>
                <w:sz w:val="24"/>
              </w:rPr>
            </w:pPr>
            <w:r>
              <w:rPr>
                <w:rFonts w:ascii="仿宋" w:eastAsia="仿宋" w:hAnsi="仿宋"/>
                <w:color w:val="000000" w:themeColor="text1"/>
                <w:sz w:val="24"/>
              </w:rPr>
              <w:t>GB 42296-2022</w:t>
            </w:r>
            <w:r w:rsidRPr="00B7683D">
              <w:rPr>
                <w:rFonts w:ascii="仿宋" w:eastAsia="仿宋" w:hAnsi="仿宋" w:hint="eastAsia"/>
                <w:color w:val="000000" w:themeColor="text1"/>
                <w:sz w:val="24"/>
              </w:rPr>
              <w:t>及第1号修改单</w:t>
            </w:r>
          </w:p>
        </w:tc>
      </w:tr>
    </w:tbl>
    <w:p w:rsidR="004F5A8E" w:rsidRDefault="00CC67C9">
      <w:pPr>
        <w:adjustRightInd w:val="0"/>
        <w:snapToGrid w:val="0"/>
        <w:spacing w:beforeLines="50" w:before="156" w:line="360" w:lineRule="auto"/>
        <w:ind w:firstLineChars="200" w:firstLine="480"/>
        <w:jc w:val="left"/>
        <w:rPr>
          <w:rFonts w:ascii="仿宋" w:eastAsia="仿宋" w:hAnsi="仿宋"/>
          <w:color w:val="000000" w:themeColor="text1"/>
          <w:sz w:val="24"/>
        </w:rPr>
      </w:pPr>
      <w:r>
        <w:rPr>
          <w:rFonts w:ascii="仿宋" w:eastAsia="仿宋" w:hAnsi="仿宋" w:hint="eastAsia"/>
          <w:color w:val="000000" w:themeColor="text1"/>
          <w:sz w:val="24"/>
        </w:rPr>
        <w:t>执行企业标准、团体标准、地方标准的产品，检验项目参照上述内容执行。</w:t>
      </w:r>
    </w:p>
    <w:p w:rsidR="004F5A8E" w:rsidRDefault="00CC67C9">
      <w:pPr>
        <w:adjustRightInd w:val="0"/>
        <w:snapToGrid w:val="0"/>
        <w:spacing w:line="360" w:lineRule="auto"/>
        <w:ind w:firstLineChars="200" w:firstLine="480"/>
        <w:jc w:val="left"/>
        <w:rPr>
          <w:color w:val="000000" w:themeColor="text1"/>
        </w:rPr>
      </w:pPr>
      <w:r>
        <w:rPr>
          <w:rFonts w:ascii="仿宋" w:eastAsia="仿宋" w:hAnsi="仿宋"/>
          <w:color w:val="000000" w:themeColor="text1"/>
          <w:sz w:val="24"/>
        </w:rPr>
        <w:t>凡是注日期的文件，其随后所有的修改单（不包括勘误的内容）或修订版不适用于本细则。凡是不注日期的文件，其最新版本适用于本细则。</w:t>
      </w:r>
    </w:p>
    <w:p w:rsidR="004F5A8E" w:rsidRDefault="004F5A8E">
      <w:pPr>
        <w:pStyle w:val="a4"/>
      </w:pPr>
    </w:p>
    <w:p w:rsidR="004F5A8E" w:rsidRDefault="00CC67C9">
      <w:pPr>
        <w:adjustRightInd w:val="0"/>
        <w:snapToGrid w:val="0"/>
        <w:spacing w:line="360" w:lineRule="auto"/>
        <w:ind w:firstLineChars="200" w:firstLine="482"/>
        <w:jc w:val="left"/>
        <w:rPr>
          <w:rFonts w:ascii="黑体" w:eastAsia="黑体" w:hAnsi="黑体"/>
          <w:b/>
          <w:bCs/>
          <w:color w:val="000000" w:themeColor="text1"/>
          <w:sz w:val="24"/>
        </w:rPr>
      </w:pPr>
      <w:r>
        <w:rPr>
          <w:rFonts w:ascii="黑体" w:eastAsia="黑体" w:hAnsi="黑体" w:hint="eastAsia"/>
          <w:b/>
          <w:bCs/>
          <w:color w:val="000000" w:themeColor="text1"/>
          <w:sz w:val="24"/>
        </w:rPr>
        <w:t>三、</w:t>
      </w:r>
      <w:r>
        <w:rPr>
          <w:rFonts w:ascii="黑体" w:eastAsia="黑体" w:hAnsi="黑体"/>
          <w:b/>
          <w:bCs/>
          <w:color w:val="000000" w:themeColor="text1"/>
          <w:sz w:val="24"/>
        </w:rPr>
        <w:t>判定规则</w:t>
      </w:r>
    </w:p>
    <w:p w:rsidR="004F5A8E" w:rsidRDefault="00CC67C9">
      <w:pPr>
        <w:adjustRightInd w:val="0"/>
        <w:snapToGrid w:val="0"/>
        <w:spacing w:line="360" w:lineRule="auto"/>
        <w:ind w:firstLineChars="200" w:firstLine="480"/>
        <w:jc w:val="left"/>
        <w:rPr>
          <w:rFonts w:ascii="仿宋" w:eastAsia="仿宋" w:hAnsi="仿宋"/>
          <w:color w:val="000000" w:themeColor="text1"/>
          <w:sz w:val="24"/>
        </w:rPr>
      </w:pPr>
      <w:r>
        <w:rPr>
          <w:rFonts w:ascii="仿宋" w:eastAsia="仿宋" w:hAnsi="仿宋"/>
          <w:color w:val="000000" w:themeColor="text1"/>
          <w:sz w:val="24"/>
        </w:rPr>
        <w:t>3.1依据标准</w:t>
      </w:r>
    </w:p>
    <w:p w:rsidR="00B7683D" w:rsidRDefault="00B7683D" w:rsidP="00B7683D">
      <w:pPr>
        <w:pStyle w:val="a5"/>
        <w:tabs>
          <w:tab w:val="left" w:pos="6615"/>
        </w:tabs>
        <w:adjustRightInd w:val="0"/>
        <w:snapToGrid w:val="0"/>
        <w:spacing w:line="360" w:lineRule="auto"/>
        <w:ind w:firstLineChars="200" w:firstLine="480"/>
        <w:rPr>
          <w:rFonts w:ascii="仿宋" w:eastAsia="仿宋" w:hAnsi="仿宋" w:cs="Times New Roman" w:hint="eastAsia"/>
          <w:color w:val="000000" w:themeColor="text1"/>
          <w:sz w:val="24"/>
          <w:szCs w:val="24"/>
        </w:rPr>
      </w:pPr>
      <w:r w:rsidRPr="00B7683D">
        <w:rPr>
          <w:rFonts w:ascii="仿宋" w:eastAsia="仿宋" w:hAnsi="仿宋" w:cs="Times New Roman" w:hint="eastAsia"/>
          <w:color w:val="000000" w:themeColor="text1"/>
          <w:sz w:val="24"/>
          <w:szCs w:val="24"/>
        </w:rPr>
        <w:t>GB 42296-2022《电动自行车用充电器安全技术要求》及第1号修改单</w:t>
      </w:r>
    </w:p>
    <w:p w:rsidR="004F5A8E" w:rsidRDefault="00CC67C9" w:rsidP="00B7683D">
      <w:pPr>
        <w:pStyle w:val="a5"/>
        <w:tabs>
          <w:tab w:val="left" w:pos="6615"/>
        </w:tabs>
        <w:adjustRightInd w:val="0"/>
        <w:snapToGrid w:val="0"/>
        <w:spacing w:line="360" w:lineRule="auto"/>
        <w:ind w:firstLineChars="200" w:firstLine="480"/>
        <w:rPr>
          <w:rFonts w:ascii="仿宋" w:eastAsia="仿宋" w:hAnsi="仿宋" w:cs="Times New Roman"/>
          <w:color w:val="000000" w:themeColor="text1"/>
          <w:sz w:val="24"/>
          <w:szCs w:val="24"/>
        </w:rPr>
      </w:pPr>
      <w:r>
        <w:rPr>
          <w:rFonts w:ascii="仿宋" w:eastAsia="仿宋" w:hAnsi="仿宋" w:cs="Times New Roman" w:hint="eastAsia"/>
          <w:color w:val="000000" w:themeColor="text1"/>
          <w:sz w:val="24"/>
          <w:szCs w:val="24"/>
        </w:rPr>
        <w:t>相关的法律、行政法规、部门规章、规范性文件</w:t>
      </w:r>
    </w:p>
    <w:p w:rsidR="004F5A8E" w:rsidRDefault="00CC67C9">
      <w:pPr>
        <w:pStyle w:val="a5"/>
        <w:tabs>
          <w:tab w:val="left" w:pos="6615"/>
        </w:tabs>
        <w:adjustRightInd w:val="0"/>
        <w:snapToGrid w:val="0"/>
        <w:spacing w:line="360" w:lineRule="auto"/>
        <w:ind w:firstLineChars="200" w:firstLine="480"/>
        <w:rPr>
          <w:rFonts w:ascii="仿宋" w:eastAsia="仿宋" w:hAnsi="仿宋"/>
          <w:color w:val="000000" w:themeColor="text1"/>
          <w:sz w:val="24"/>
          <w:szCs w:val="24"/>
        </w:rPr>
      </w:pPr>
      <w:r>
        <w:rPr>
          <w:rFonts w:ascii="仿宋" w:eastAsia="仿宋" w:hAnsi="仿宋" w:cs="Times New Roman" w:hint="eastAsia"/>
          <w:color w:val="000000" w:themeColor="text1"/>
          <w:sz w:val="24"/>
          <w:szCs w:val="24"/>
        </w:rPr>
        <w:t>现行有效的企业标准、团体标准、地方标准及产品明示质量要求</w:t>
      </w:r>
    </w:p>
    <w:p w:rsidR="004F5A8E" w:rsidRDefault="00CC67C9">
      <w:pPr>
        <w:adjustRightInd w:val="0"/>
        <w:snapToGrid w:val="0"/>
        <w:spacing w:line="360" w:lineRule="auto"/>
        <w:ind w:firstLineChars="200" w:firstLine="480"/>
        <w:jc w:val="left"/>
        <w:rPr>
          <w:rFonts w:ascii="仿宋" w:eastAsia="仿宋" w:hAnsi="仿宋"/>
          <w:color w:val="000000"/>
          <w:sz w:val="24"/>
        </w:rPr>
      </w:pPr>
      <w:bookmarkStart w:id="0" w:name="_Hlk82093647"/>
      <w:r>
        <w:rPr>
          <w:rFonts w:ascii="仿宋" w:eastAsia="仿宋" w:hAnsi="仿宋"/>
          <w:color w:val="000000"/>
          <w:sz w:val="24"/>
        </w:rPr>
        <w:t>3.2判定原则</w:t>
      </w:r>
    </w:p>
    <w:p w:rsidR="004F5A8E" w:rsidRDefault="00CC67C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w:t>
      </w:r>
      <w:bookmarkStart w:id="1" w:name="_GoBack"/>
      <w:bookmarkEnd w:id="1"/>
      <w:r>
        <w:rPr>
          <w:rFonts w:ascii="仿宋" w:eastAsia="仿宋" w:hAnsi="仿宋" w:hint="eastAsia"/>
          <w:sz w:val="24"/>
        </w:rPr>
        <w:t>检验项目依据的标准要求时，应按被检产品明示的质量要求判定。</w:t>
      </w:r>
    </w:p>
    <w:p w:rsidR="004F5A8E" w:rsidRDefault="00CC67C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4F5A8E" w:rsidRDefault="00CC67C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4F5A8E" w:rsidRDefault="00CC67C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4F5A8E" w:rsidRDefault="00CC67C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4F5A8E" w:rsidRDefault="00CC67C9">
      <w:pPr>
        <w:adjustRightInd w:val="0"/>
        <w:snapToGrid w:val="0"/>
        <w:spacing w:line="360" w:lineRule="auto"/>
        <w:ind w:firstLineChars="200" w:firstLine="480"/>
        <w:jc w:val="left"/>
        <w:rPr>
          <w:rFonts w:ascii="仿宋" w:eastAsia="仿宋" w:hAnsi="仿宋"/>
          <w:sz w:val="24"/>
        </w:rPr>
      </w:pPr>
      <w:bookmarkStart w:id="2" w:name="_Hlk82163412"/>
      <w:bookmarkEnd w:id="0"/>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4F5A8E" w:rsidRDefault="00CC67C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4F5A8E" w:rsidRDefault="00CC67C9">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4F5A8E" w:rsidRDefault="00CC67C9">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4F5A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39" w:rsidRDefault="00360A39" w:rsidP="00B65F24">
      <w:r>
        <w:separator/>
      </w:r>
    </w:p>
  </w:endnote>
  <w:endnote w:type="continuationSeparator" w:id="0">
    <w:p w:rsidR="00360A39" w:rsidRDefault="00360A39" w:rsidP="00B65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方正公文小标宋">
    <w:altName w:val="Arial Unicode MS"/>
    <w:charset w:val="86"/>
    <w:family w:val="auto"/>
    <w:pitch w:val="default"/>
    <w:sig w:usb0="00000000"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39" w:rsidRDefault="00360A39" w:rsidP="00B65F24">
      <w:r>
        <w:separator/>
      </w:r>
    </w:p>
  </w:footnote>
  <w:footnote w:type="continuationSeparator" w:id="0">
    <w:p w:rsidR="00360A39" w:rsidRDefault="00360A39" w:rsidP="00B65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RmMzM0NDZlYmFhMGYzODIyNTNkYjdmNzNmMjU5YjgifQ=="/>
  </w:docVars>
  <w:rsids>
    <w:rsidRoot w:val="007072C8"/>
    <w:rsid w:val="9EEF95FA"/>
    <w:rsid w:val="AEFB3114"/>
    <w:rsid w:val="C3FB8783"/>
    <w:rsid w:val="EB573387"/>
    <w:rsid w:val="EBFCE611"/>
    <w:rsid w:val="ED9A56C3"/>
    <w:rsid w:val="F57DCA7F"/>
    <w:rsid w:val="FFE5B3F7"/>
    <w:rsid w:val="000A2F5B"/>
    <w:rsid w:val="00152F72"/>
    <w:rsid w:val="00163BF6"/>
    <w:rsid w:val="00165EE4"/>
    <w:rsid w:val="001B33B2"/>
    <w:rsid w:val="001D01B1"/>
    <w:rsid w:val="001F1D3B"/>
    <w:rsid w:val="002018DF"/>
    <w:rsid w:val="002170A4"/>
    <w:rsid w:val="00281636"/>
    <w:rsid w:val="00282337"/>
    <w:rsid w:val="002C4E10"/>
    <w:rsid w:val="00360A39"/>
    <w:rsid w:val="00393194"/>
    <w:rsid w:val="003A66E5"/>
    <w:rsid w:val="003C2212"/>
    <w:rsid w:val="003D4497"/>
    <w:rsid w:val="003D7B8A"/>
    <w:rsid w:val="004139B0"/>
    <w:rsid w:val="00461406"/>
    <w:rsid w:val="0046777F"/>
    <w:rsid w:val="00491368"/>
    <w:rsid w:val="004C55EF"/>
    <w:rsid w:val="004F5A8E"/>
    <w:rsid w:val="004F685A"/>
    <w:rsid w:val="00512115"/>
    <w:rsid w:val="00513DB9"/>
    <w:rsid w:val="005521A2"/>
    <w:rsid w:val="005A7AA2"/>
    <w:rsid w:val="005E7DEF"/>
    <w:rsid w:val="00603A70"/>
    <w:rsid w:val="006223B0"/>
    <w:rsid w:val="006943BC"/>
    <w:rsid w:val="006C23CE"/>
    <w:rsid w:val="00703942"/>
    <w:rsid w:val="007072C8"/>
    <w:rsid w:val="0076248E"/>
    <w:rsid w:val="007726C9"/>
    <w:rsid w:val="007941D6"/>
    <w:rsid w:val="00794C0D"/>
    <w:rsid w:val="007E521A"/>
    <w:rsid w:val="00844F3B"/>
    <w:rsid w:val="008677EE"/>
    <w:rsid w:val="00887993"/>
    <w:rsid w:val="008944AC"/>
    <w:rsid w:val="00931293"/>
    <w:rsid w:val="009C6613"/>
    <w:rsid w:val="00A051D0"/>
    <w:rsid w:val="00A14495"/>
    <w:rsid w:val="00A94C11"/>
    <w:rsid w:val="00B11931"/>
    <w:rsid w:val="00B14DE4"/>
    <w:rsid w:val="00B30C4A"/>
    <w:rsid w:val="00B65F24"/>
    <w:rsid w:val="00B7683D"/>
    <w:rsid w:val="00C27243"/>
    <w:rsid w:val="00CA6059"/>
    <w:rsid w:val="00CB72DB"/>
    <w:rsid w:val="00CC67C9"/>
    <w:rsid w:val="00CE0D74"/>
    <w:rsid w:val="00D312A9"/>
    <w:rsid w:val="00D6590F"/>
    <w:rsid w:val="00E64751"/>
    <w:rsid w:val="00EA6009"/>
    <w:rsid w:val="00F25110"/>
    <w:rsid w:val="00F473CB"/>
    <w:rsid w:val="00F534EF"/>
    <w:rsid w:val="00FB4A09"/>
    <w:rsid w:val="0449689E"/>
    <w:rsid w:val="059348DA"/>
    <w:rsid w:val="09E21360"/>
    <w:rsid w:val="0D8D53DF"/>
    <w:rsid w:val="136C4563"/>
    <w:rsid w:val="1C3A2D85"/>
    <w:rsid w:val="1D545899"/>
    <w:rsid w:val="1D827DF5"/>
    <w:rsid w:val="241658C6"/>
    <w:rsid w:val="3CFE939C"/>
    <w:rsid w:val="433836FB"/>
    <w:rsid w:val="50B43C38"/>
    <w:rsid w:val="5EBF0D67"/>
    <w:rsid w:val="61F536DE"/>
    <w:rsid w:val="633FCEEB"/>
    <w:rsid w:val="63BCAA76"/>
    <w:rsid w:val="645314A2"/>
    <w:rsid w:val="66632315"/>
    <w:rsid w:val="6FEC4F07"/>
    <w:rsid w:val="76BB2FD7"/>
    <w:rsid w:val="76EE65ED"/>
    <w:rsid w:val="7BF2B5DB"/>
    <w:rsid w:val="7EBD2A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Inden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pPr>
      <w:widowControl w:val="0"/>
      <w:jc w:val="both"/>
    </w:pPr>
    <w:rPr>
      <w:rFonts w:ascii="Times New Roman" w:eastAsia="宋体" w:hAnsi="Times New Roman" w:cs="Times New Roman"/>
      <w:kern w:val="2"/>
      <w:sz w:val="21"/>
      <w:szCs w:val="24"/>
    </w:rPr>
  </w:style>
  <w:style w:type="paragraph" w:styleId="3">
    <w:name w:val="heading 3"/>
    <w:basedOn w:val="a"/>
    <w:next w:val="a"/>
    <w:qFormat/>
    <w:pPr>
      <w:keepNext/>
      <w:keepLines/>
      <w:spacing w:line="600" w:lineRule="exact"/>
      <w:outlineLvl w:val="2"/>
    </w:pPr>
    <w:rPr>
      <w:rFonts w:eastAsia="楷体_GB2312"/>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link w:val="Char0"/>
    <w:uiPriority w:val="99"/>
    <w:unhideWhenUsed/>
    <w:qFormat/>
    <w:pPr>
      <w:spacing w:after="120"/>
      <w:ind w:leftChars="200" w:left="420"/>
    </w:pPr>
  </w:style>
  <w:style w:type="paragraph" w:styleId="a5">
    <w:name w:val="Plain Text"/>
    <w:basedOn w:val="a"/>
    <w:link w:val="Char1"/>
    <w:qFormat/>
    <w:rPr>
      <w:rFonts w:ascii="宋体" w:eastAsiaTheme="minorEastAsia" w:hAnsi="Courier New" w:cstheme="minorBidi"/>
      <w:szCs w:val="22"/>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spacing w:beforeAutospacing="1" w:afterAutospacing="1"/>
      <w:jc w:val="left"/>
    </w:pPr>
    <w:rPr>
      <w:kern w:val="0"/>
      <w:sz w:val="24"/>
    </w:rPr>
  </w:style>
  <w:style w:type="paragraph" w:styleId="a9">
    <w:name w:val="annotation subject"/>
    <w:basedOn w:val="a3"/>
    <w:next w:val="a3"/>
    <w:link w:val="Char4"/>
    <w:uiPriority w:val="99"/>
    <w:semiHidden/>
    <w:unhideWhenUsed/>
    <w:qFormat/>
    <w:rPr>
      <w:b/>
      <w:bCs/>
    </w:rPr>
  </w:style>
  <w:style w:type="character" w:styleId="aa">
    <w:name w:val="page number"/>
    <w:basedOn w:val="a0"/>
    <w:qFormat/>
  </w:style>
  <w:style w:type="character" w:styleId="ab">
    <w:name w:val="annotation reference"/>
    <w:basedOn w:val="a0"/>
    <w:uiPriority w:val="99"/>
    <w:semiHidden/>
    <w:unhideWhenUsed/>
    <w:qFormat/>
    <w:rPr>
      <w:sz w:val="21"/>
      <w:szCs w:val="21"/>
    </w:rPr>
  </w:style>
  <w:style w:type="character" w:customStyle="1" w:styleId="Char0">
    <w:name w:val="正文文本缩进 Char"/>
    <w:basedOn w:val="a0"/>
    <w:link w:val="a4"/>
    <w:uiPriority w:val="99"/>
    <w:qFormat/>
    <w:rPr>
      <w:rFonts w:ascii="Times New Roman" w:eastAsia="宋体" w:hAnsi="Times New Roman" w:cs="Times New Roman"/>
      <w:szCs w:val="24"/>
    </w:rPr>
  </w:style>
  <w:style w:type="character" w:customStyle="1" w:styleId="Char1">
    <w:name w:val="纯文本 Char"/>
    <w:basedOn w:val="a0"/>
    <w:link w:val="a5"/>
    <w:qFormat/>
    <w:rPr>
      <w:rFonts w:ascii="宋体" w:hAnsi="Courier New"/>
    </w:rPr>
  </w:style>
  <w:style w:type="character" w:customStyle="1" w:styleId="1">
    <w:name w:val="纯文本 字符1"/>
    <w:basedOn w:val="a0"/>
    <w:uiPriority w:val="99"/>
    <w:semiHidden/>
    <w:qFormat/>
    <w:rPr>
      <w:rFonts w:asciiTheme="minorEastAsia" w:hAnsi="Courier New" w:cs="Courier New"/>
      <w:szCs w:val="24"/>
    </w:rPr>
  </w:style>
  <w:style w:type="character" w:customStyle="1" w:styleId="Char3">
    <w:name w:val="页眉 Char"/>
    <w:basedOn w:val="a0"/>
    <w:link w:val="a7"/>
    <w:uiPriority w:val="99"/>
    <w:qFormat/>
    <w:rPr>
      <w:rFonts w:ascii="Times New Roman" w:eastAsia="宋体" w:hAnsi="Times New Roman" w:cs="Times New Roman"/>
      <w:kern w:val="2"/>
      <w:sz w:val="18"/>
      <w:szCs w:val="18"/>
    </w:rPr>
  </w:style>
  <w:style w:type="character" w:customStyle="1" w:styleId="Char2">
    <w:name w:val="页脚 Char"/>
    <w:basedOn w:val="a0"/>
    <w:link w:val="a6"/>
    <w:uiPriority w:val="99"/>
    <w:qFormat/>
    <w:rPr>
      <w:rFonts w:ascii="Times New Roman" w:eastAsia="宋体" w:hAnsi="Times New Roman" w:cs="Times New Roman"/>
      <w:kern w:val="2"/>
      <w:sz w:val="18"/>
      <w:szCs w:val="18"/>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character" w:customStyle="1" w:styleId="Char">
    <w:name w:val="批注文字 Char"/>
    <w:basedOn w:val="a0"/>
    <w:link w:val="a3"/>
    <w:uiPriority w:val="99"/>
    <w:semiHidden/>
    <w:qFormat/>
    <w:rPr>
      <w:rFonts w:ascii="Times New Roman" w:eastAsia="宋体" w:hAnsi="Times New Roman" w:cs="Times New Roman"/>
      <w:kern w:val="2"/>
      <w:sz w:val="21"/>
      <w:szCs w:val="24"/>
    </w:rPr>
  </w:style>
  <w:style w:type="character" w:customStyle="1" w:styleId="Char4">
    <w:name w:val="批注主题 Char"/>
    <w:basedOn w:val="Char"/>
    <w:link w:val="a9"/>
    <w:uiPriority w:val="99"/>
    <w:semiHidden/>
    <w:qFormat/>
    <w:rPr>
      <w:rFonts w:ascii="Times New Roman" w:eastAsia="宋体" w:hAnsi="Times New Roman" w:cs="Times New Roman"/>
      <w:b/>
      <w:bCs/>
      <w:kern w:val="2"/>
      <w:sz w:val="21"/>
      <w:szCs w:val="24"/>
    </w:rPr>
  </w:style>
  <w:style w:type="paragraph" w:customStyle="1" w:styleId="10">
    <w:name w:val="列出段落1"/>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178</Words>
  <Characters>1018</Characters>
  <Application>Microsoft Office Word</Application>
  <DocSecurity>0</DocSecurity>
  <Lines>8</Lines>
  <Paragraphs>2</Paragraphs>
  <ScaleCrop>false</ScaleCrop>
  <Company>Microsoft</Company>
  <LinksUpToDate>false</LinksUpToDate>
  <CharactersWithSpaces>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范 文佳</dc:creator>
  <cp:lastModifiedBy>陈云华</cp:lastModifiedBy>
  <cp:revision>36</cp:revision>
  <dcterms:created xsi:type="dcterms:W3CDTF">2020-10-01T23:29:00Z</dcterms:created>
  <dcterms:modified xsi:type="dcterms:W3CDTF">2025-02-11T07:42:00Z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4870C5B9A43915FB0CD60F64237F0301</vt:lpwstr>
  </property>
</Properties>
</file>