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56BD4">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年杭州市流通领域（网络）“老人服装</w:t>
      </w:r>
      <w:bookmarkStart w:id="3" w:name="_GoBack"/>
      <w:bookmarkEnd w:id="3"/>
      <w:r>
        <w:rPr>
          <w:rFonts w:hint="eastAsia" w:ascii="方正小标宋_GBK" w:hAnsi="黑体" w:eastAsia="方正小标宋_GBK" w:cs="方正仿宋简体"/>
          <w:b/>
          <w:bCs/>
          <w:color w:val="000000"/>
          <w:sz w:val="36"/>
          <w:szCs w:val="36"/>
          <w:lang w:eastAsia="zh-CN"/>
        </w:rPr>
        <w:t>”</w:t>
      </w:r>
      <w:r>
        <w:rPr>
          <w:rFonts w:hint="eastAsia" w:ascii="方正小标宋_GBK" w:hAnsi="黑体" w:eastAsia="方正小标宋_GBK" w:cs="方正仿宋简体"/>
          <w:b/>
          <w:bCs/>
          <w:color w:val="000000"/>
          <w:sz w:val="36"/>
          <w:szCs w:val="36"/>
        </w:rPr>
        <w:t>产品</w:t>
      </w:r>
    </w:p>
    <w:p w14:paraId="7F8E5B9E">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质量监督抽查实施细则</w:t>
      </w:r>
    </w:p>
    <w:p w14:paraId="47C2A048">
      <w:pPr>
        <w:pStyle w:val="2"/>
        <w:jc w:val="center"/>
        <w:rPr>
          <w:rFonts w:ascii="黑体" w:hAnsi="黑体" w:eastAsia="黑体"/>
          <w:b/>
          <w:bCs/>
          <w:color w:val="000000"/>
          <w:sz w:val="32"/>
          <w:szCs w:val="32"/>
        </w:rPr>
      </w:pPr>
    </w:p>
    <w:p w14:paraId="483D2A95">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3D3209B2">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0320353F">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37AB1037">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每批次抽取样品2件，</w:t>
      </w:r>
      <w:r>
        <w:rPr>
          <w:rFonts w:hint="eastAsia" w:ascii="仿宋" w:hAnsi="仿宋" w:eastAsia="仿宋"/>
          <w:bCs/>
          <w:color w:val="000000"/>
          <w:sz w:val="24"/>
        </w:rPr>
        <w:t>其中</w:t>
      </w:r>
      <w:r>
        <w:rPr>
          <w:rFonts w:hint="eastAsia" w:ascii="仿宋" w:hAnsi="仿宋" w:eastAsia="仿宋"/>
          <w:color w:val="000000"/>
          <w:sz w:val="24"/>
        </w:rPr>
        <w:t>1件作为检验样品，1件作为备用样品。</w:t>
      </w:r>
    </w:p>
    <w:p w14:paraId="2D25354F">
      <w:pPr>
        <w:adjustRightInd w:val="0"/>
        <w:snapToGrid w:val="0"/>
        <w:spacing w:line="360" w:lineRule="auto"/>
        <w:ind w:firstLine="482" w:firstLineChars="200"/>
        <w:jc w:val="left"/>
        <w:rPr>
          <w:rFonts w:ascii="黑体" w:hAnsi="黑体" w:eastAsia="黑体"/>
          <w:b/>
          <w:bCs/>
          <w:color w:val="000000"/>
          <w:sz w:val="24"/>
        </w:rPr>
      </w:pPr>
    </w:p>
    <w:p w14:paraId="44B5BFDC">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32254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27EC12D2">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48E4A8CF">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11DF81DD">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4556F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7503DA7">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304B213F">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6B86B85A">
            <w:pPr>
              <w:jc w:val="center"/>
              <w:rPr>
                <w:rFonts w:ascii="仿宋" w:hAnsi="仿宋" w:eastAsia="仿宋"/>
                <w:color w:val="000000"/>
                <w:sz w:val="24"/>
              </w:rPr>
            </w:pPr>
            <w:r>
              <w:rPr>
                <w:rFonts w:ascii="仿宋" w:hAnsi="仿宋" w:eastAsia="仿宋"/>
                <w:color w:val="000000"/>
                <w:sz w:val="24"/>
              </w:rPr>
              <w:t>GB/T 2912.1-2009</w:t>
            </w:r>
          </w:p>
        </w:tc>
      </w:tr>
      <w:tr w14:paraId="7279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F71586F">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44DD67A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59EECAB4">
            <w:pPr>
              <w:jc w:val="center"/>
              <w:rPr>
                <w:rFonts w:ascii="仿宋" w:hAnsi="仿宋" w:eastAsia="仿宋"/>
                <w:color w:val="000000"/>
                <w:sz w:val="24"/>
              </w:rPr>
            </w:pPr>
            <w:r>
              <w:rPr>
                <w:rFonts w:ascii="仿宋" w:hAnsi="仿宋" w:eastAsia="仿宋"/>
                <w:color w:val="000000"/>
                <w:sz w:val="24"/>
              </w:rPr>
              <w:t>GB/T 7573-2009</w:t>
            </w:r>
          </w:p>
        </w:tc>
      </w:tr>
      <w:tr w14:paraId="3456E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6652B4B">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545F2F8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056197B6">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3DA2A964">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1CE70E8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17592-2024</w:t>
            </w:r>
          </w:p>
        </w:tc>
      </w:tr>
      <w:tr w14:paraId="48EF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5E39AF3">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4E844CB3">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513EA832">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0AFCE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993CF2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4C9350E3">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5C596485">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6B49D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6121CA0">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665886C1">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2C790EE8">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4EAFD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CFC792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7099B087">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69C1F924">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0195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993FCA6">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0F6556D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2C8D04FC">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6CAA46B9">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567FAB34">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6CD9BA3A">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6B05656D">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bl>
    <w:p w14:paraId="01AE29AF">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618D2D8">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2A6F43AF">
      <w:pPr>
        <w:adjustRightInd w:val="0"/>
        <w:snapToGrid w:val="0"/>
        <w:spacing w:line="360" w:lineRule="auto"/>
        <w:ind w:firstLine="482" w:firstLineChars="200"/>
        <w:jc w:val="left"/>
        <w:rPr>
          <w:rFonts w:ascii="黑体" w:hAnsi="黑体" w:eastAsia="黑体"/>
          <w:b/>
          <w:bCs/>
          <w:color w:val="000000"/>
          <w:sz w:val="24"/>
        </w:rPr>
      </w:pPr>
    </w:p>
    <w:p w14:paraId="25B92B37">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22FFB401">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58858DD3">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18401-2010       国家纺织产品基本安全技术规范</w:t>
      </w:r>
    </w:p>
    <w:p w14:paraId="788D04D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179D052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73010-2016     针织工艺衫</w:t>
      </w:r>
    </w:p>
    <w:p w14:paraId="6AD7C02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73020-2019     针织休闲服装</w:t>
      </w:r>
    </w:p>
    <w:p w14:paraId="232B2A7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73028-2017     针织人造革服装</w:t>
      </w:r>
    </w:p>
    <w:p w14:paraId="564DB8D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73032-2017     针织牛仔服装</w:t>
      </w:r>
    </w:p>
    <w:p w14:paraId="196D657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73057-2017     自由裁针织服装</w:t>
      </w:r>
    </w:p>
    <w:p w14:paraId="6C2ED19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73059-2017     双面穿服装</w:t>
      </w:r>
    </w:p>
    <w:p w14:paraId="3F91209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73061-2019     针织茄克衫</w:t>
      </w:r>
    </w:p>
    <w:p w14:paraId="5419562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74007-2019     户外防晒皮肤衣</w:t>
      </w:r>
    </w:p>
    <w:p w14:paraId="2FF608C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FZ/T 81004-2022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连衣裙、裙套</w:t>
      </w:r>
    </w:p>
    <w:p w14:paraId="4194F6B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81004-2012     连衣裙、裙套</w:t>
      </w:r>
    </w:p>
    <w:p w14:paraId="40C544D5">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81006-2017     牛仔服装</w:t>
      </w:r>
    </w:p>
    <w:p w14:paraId="6BB703A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FZ/T 81007-2022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单、夹服装</w:t>
      </w:r>
    </w:p>
    <w:p w14:paraId="0865C39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81007-2012     单、夹服装</w:t>
      </w:r>
    </w:p>
    <w:p w14:paraId="29F8B04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81008-2021     茄克衫</w:t>
      </w:r>
    </w:p>
    <w:p w14:paraId="4427334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81010-2018     风衣</w:t>
      </w:r>
    </w:p>
    <w:p w14:paraId="3787C9D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FZ/T 81018-2014     机织人造革服装 </w:t>
      </w:r>
    </w:p>
    <w:p w14:paraId="18D39D3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81019-2014     灯芯绒服装</w:t>
      </w:r>
    </w:p>
    <w:p w14:paraId="121D13B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22700-2016     水洗整理服装</w:t>
      </w:r>
    </w:p>
    <w:p w14:paraId="702212B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22853-2019     针织运动服</w:t>
      </w:r>
    </w:p>
    <w:p w14:paraId="07C5E99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GB/T 2662-2017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棉服装</w:t>
      </w:r>
    </w:p>
    <w:p w14:paraId="58A3428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GB/T 26384-2011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针织棉服装</w:t>
      </w:r>
    </w:p>
    <w:p w14:paraId="7FA9209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26385-2011     针织拼接服装</w:t>
      </w:r>
    </w:p>
    <w:p w14:paraId="5B3A3EB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1C8A63CA">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1266A487">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35751CD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0864ED50">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6559F196">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079C1DE7">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1445CD6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186D1155">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18045844">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34A3175C">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656C339C">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64AFF"/>
    <w:rsid w:val="000A2F5B"/>
    <w:rsid w:val="000A4091"/>
    <w:rsid w:val="00152F72"/>
    <w:rsid w:val="00165EE4"/>
    <w:rsid w:val="001B33B2"/>
    <w:rsid w:val="001D01B1"/>
    <w:rsid w:val="001F1D3B"/>
    <w:rsid w:val="002018DF"/>
    <w:rsid w:val="002170A4"/>
    <w:rsid w:val="002405F4"/>
    <w:rsid w:val="00255AC5"/>
    <w:rsid w:val="00282337"/>
    <w:rsid w:val="002A6284"/>
    <w:rsid w:val="002C4E10"/>
    <w:rsid w:val="00393194"/>
    <w:rsid w:val="003A66E5"/>
    <w:rsid w:val="003C2212"/>
    <w:rsid w:val="003D4497"/>
    <w:rsid w:val="003D7B8A"/>
    <w:rsid w:val="004139B0"/>
    <w:rsid w:val="0042753B"/>
    <w:rsid w:val="004549F7"/>
    <w:rsid w:val="00461406"/>
    <w:rsid w:val="0046777F"/>
    <w:rsid w:val="00491368"/>
    <w:rsid w:val="004F685A"/>
    <w:rsid w:val="00512115"/>
    <w:rsid w:val="00536C62"/>
    <w:rsid w:val="005521A2"/>
    <w:rsid w:val="005A7AA2"/>
    <w:rsid w:val="005E7DEF"/>
    <w:rsid w:val="00603A70"/>
    <w:rsid w:val="006223B0"/>
    <w:rsid w:val="00661256"/>
    <w:rsid w:val="00684CE9"/>
    <w:rsid w:val="006943BC"/>
    <w:rsid w:val="006A5264"/>
    <w:rsid w:val="006B108F"/>
    <w:rsid w:val="006C23CE"/>
    <w:rsid w:val="00703942"/>
    <w:rsid w:val="007072C8"/>
    <w:rsid w:val="00733C23"/>
    <w:rsid w:val="0076248E"/>
    <w:rsid w:val="007726C9"/>
    <w:rsid w:val="007941D6"/>
    <w:rsid w:val="00794C0D"/>
    <w:rsid w:val="007C75B2"/>
    <w:rsid w:val="007E521A"/>
    <w:rsid w:val="0083146C"/>
    <w:rsid w:val="00844F3B"/>
    <w:rsid w:val="008644CD"/>
    <w:rsid w:val="008677EE"/>
    <w:rsid w:val="00887993"/>
    <w:rsid w:val="008944AC"/>
    <w:rsid w:val="008A7586"/>
    <w:rsid w:val="00921689"/>
    <w:rsid w:val="00931293"/>
    <w:rsid w:val="009A0948"/>
    <w:rsid w:val="009C6613"/>
    <w:rsid w:val="00A051D0"/>
    <w:rsid w:val="00A14495"/>
    <w:rsid w:val="00A94C11"/>
    <w:rsid w:val="00AD006C"/>
    <w:rsid w:val="00B11931"/>
    <w:rsid w:val="00B14DE4"/>
    <w:rsid w:val="00B30C4A"/>
    <w:rsid w:val="00B8417D"/>
    <w:rsid w:val="00BD734E"/>
    <w:rsid w:val="00C27243"/>
    <w:rsid w:val="00C406B4"/>
    <w:rsid w:val="00CA6059"/>
    <w:rsid w:val="00CB72DB"/>
    <w:rsid w:val="00CE0D74"/>
    <w:rsid w:val="00CE3F69"/>
    <w:rsid w:val="00D06A93"/>
    <w:rsid w:val="00D30DC2"/>
    <w:rsid w:val="00D312A9"/>
    <w:rsid w:val="00D520DD"/>
    <w:rsid w:val="00D6590F"/>
    <w:rsid w:val="00D951CB"/>
    <w:rsid w:val="00D955DC"/>
    <w:rsid w:val="00DD6A13"/>
    <w:rsid w:val="00E00898"/>
    <w:rsid w:val="00E4604D"/>
    <w:rsid w:val="00E64751"/>
    <w:rsid w:val="00EA6009"/>
    <w:rsid w:val="00EF2C91"/>
    <w:rsid w:val="00F25110"/>
    <w:rsid w:val="00F534EF"/>
    <w:rsid w:val="00F55408"/>
    <w:rsid w:val="00FB4A09"/>
    <w:rsid w:val="00FE2BD4"/>
    <w:rsid w:val="0449689E"/>
    <w:rsid w:val="059348DA"/>
    <w:rsid w:val="09E21360"/>
    <w:rsid w:val="0D8D53DF"/>
    <w:rsid w:val="136C4563"/>
    <w:rsid w:val="1C3A2D85"/>
    <w:rsid w:val="21F23FD7"/>
    <w:rsid w:val="433836FB"/>
    <w:rsid w:val="50B43C38"/>
    <w:rsid w:val="61F536DE"/>
    <w:rsid w:val="645314A2"/>
    <w:rsid w:val="66632315"/>
    <w:rsid w:val="6FEC4F07"/>
    <w:rsid w:val="76BB2FD7"/>
    <w:rsid w:val="76C370AB"/>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1039</Words>
  <Characters>1480</Characters>
  <Lines>12</Lines>
  <Paragraphs>3</Paragraphs>
  <TotalTime>30</TotalTime>
  <ScaleCrop>false</ScaleCrop>
  <LinksUpToDate>false</LinksUpToDate>
  <CharactersWithSpaces>1644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2022-06-19T08:33:00Z</dcterms:created>
  <dc:creator>范 文佳</dc:creator>
  <cp:lastModifiedBy>王敏</cp:lastModifiedBy>
  <dcterms:modified xsi:type="dcterms:W3CDTF">2025-02-14T02:16:38Z</dcterms:modified>
  <dc:title>2022年杭州市流通领域（网络）“灯具〞产品</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eyJoZGlkIjoiYTc1YTFiOTQ2NmE2MWIyOTc0OWJiMTI2OTIzY2RkODQiLCJ1c2VySWQiOiI0NTUzNDc2MDMifQ==</vt:lpwstr>
  </property>
  <property fmtid="{D5CDD505-2E9C-101B-9397-08002B2CF9AE}" pid="4" name="ICV">
    <vt:lpwstr>3EDDD5772AAD4A3096CFF40B0CD40260_12</vt:lpwstr>
  </property>
</Properties>
</file>