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31C2FD">
      <w:pPr>
        <w:widowControl/>
        <w:jc w:val="center"/>
        <w:rPr>
          <w:rFonts w:ascii="方正小标宋_GBK" w:hAnsi="黑体" w:eastAsia="方正小标宋_GBK" w:cs="方正仿宋简体"/>
          <w:b/>
          <w:bCs/>
          <w:color w:val="000000"/>
          <w:sz w:val="36"/>
          <w:szCs w:val="36"/>
        </w:rPr>
      </w:pPr>
      <w:r>
        <w:rPr>
          <w:rFonts w:hint="eastAsia" w:ascii="方正小标宋_GBK" w:hAnsi="黑体" w:eastAsia="方正小标宋_GBK" w:cs="方正仿宋简体"/>
          <w:b/>
          <w:bCs/>
          <w:color w:val="000000"/>
          <w:sz w:val="36"/>
          <w:szCs w:val="36"/>
        </w:rPr>
        <w:t xml:space="preserve"> 202</w:t>
      </w:r>
      <w:r>
        <w:rPr>
          <w:rFonts w:hint="eastAsia" w:ascii="方正小标宋_GBK" w:hAnsi="黑体" w:eastAsia="方正小标宋_GBK" w:cs="方正仿宋简体"/>
          <w:b/>
          <w:bCs/>
          <w:color w:val="000000"/>
          <w:sz w:val="36"/>
          <w:szCs w:val="36"/>
          <w:lang w:val="en-US" w:eastAsia="zh-CN"/>
        </w:rPr>
        <w:t>5</w:t>
      </w:r>
      <w:r>
        <w:rPr>
          <w:rFonts w:hint="eastAsia" w:ascii="方正小标宋_GBK" w:hAnsi="黑体" w:eastAsia="方正小标宋_GBK" w:cs="方正仿宋简体"/>
          <w:b/>
          <w:bCs/>
          <w:color w:val="000000"/>
          <w:sz w:val="36"/>
          <w:szCs w:val="36"/>
        </w:rPr>
        <w:t>年杭州市流通领域（网络）“</w:t>
      </w:r>
      <w:r>
        <w:rPr>
          <w:rFonts w:hint="eastAsia" w:ascii="方正小标宋_GBK" w:hAnsi="黑体" w:eastAsia="方正小标宋_GBK" w:cs="方正仿宋简体"/>
          <w:b/>
          <w:bCs/>
          <w:color w:val="000000"/>
          <w:sz w:val="36"/>
          <w:szCs w:val="36"/>
          <w:lang w:val="en-US" w:eastAsia="zh-CN"/>
        </w:rPr>
        <w:t>儿童安全座椅</w:t>
      </w:r>
      <w:r>
        <w:rPr>
          <w:rFonts w:hint="eastAsia" w:ascii="方正小标宋_GBK" w:hAnsi="黑体" w:eastAsia="方正小标宋_GBK" w:cs="方正仿宋简体"/>
          <w:b/>
          <w:bCs/>
          <w:color w:val="000000"/>
          <w:sz w:val="36"/>
          <w:szCs w:val="36"/>
        </w:rPr>
        <w:t>”产品质量监督抽查实施细则</w:t>
      </w:r>
    </w:p>
    <w:p w14:paraId="4270E9B5">
      <w:pPr>
        <w:pStyle w:val="2"/>
        <w:jc w:val="center"/>
        <w:rPr>
          <w:rFonts w:ascii="黑体" w:hAnsi="黑体" w:eastAsia="黑体"/>
          <w:b/>
          <w:bCs/>
          <w:color w:val="000000"/>
          <w:sz w:val="32"/>
          <w:szCs w:val="32"/>
        </w:rPr>
      </w:pPr>
    </w:p>
    <w:p w14:paraId="12B8A865">
      <w:pPr>
        <w:adjustRightInd w:val="0"/>
        <w:snapToGrid w:val="0"/>
        <w:spacing w:line="360" w:lineRule="auto"/>
        <w:ind w:firstLine="482" w:firstLineChars="200"/>
        <w:jc w:val="left"/>
        <w:rPr>
          <w:rFonts w:ascii="黑体" w:hAnsi="黑体" w:eastAsia="黑体"/>
          <w:b/>
          <w:bCs/>
          <w:color w:val="000000"/>
          <w:sz w:val="24"/>
        </w:rPr>
      </w:pPr>
      <w:r>
        <w:rPr>
          <w:rFonts w:hint="eastAsia" w:ascii="黑体" w:hAnsi="黑体" w:eastAsia="黑体"/>
          <w:b/>
          <w:bCs/>
          <w:color w:val="000000"/>
          <w:sz w:val="24"/>
        </w:rPr>
        <w:t>一、</w:t>
      </w:r>
      <w:r>
        <w:rPr>
          <w:rFonts w:ascii="黑体" w:hAnsi="黑体" w:eastAsia="黑体"/>
          <w:b/>
          <w:bCs/>
          <w:color w:val="000000"/>
          <w:sz w:val="24"/>
        </w:rPr>
        <w:t>抽样方法</w:t>
      </w:r>
    </w:p>
    <w:p w14:paraId="71BCC44D">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以随机抽样的方式在被抽样生产者、销售者的待销产品中抽取。</w:t>
      </w:r>
    </w:p>
    <w:p w14:paraId="366E6538">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抽样基数满足抽样数量即可。</w:t>
      </w:r>
    </w:p>
    <w:p w14:paraId="07B5C1B8">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每批次产品抽取样品</w:t>
      </w:r>
      <w:r>
        <w:rPr>
          <w:rFonts w:hint="eastAsia" w:ascii="仿宋" w:hAnsi="仿宋" w:eastAsia="仿宋"/>
          <w:color w:val="000000"/>
          <w:sz w:val="24"/>
          <w:lang w:val="en-US" w:eastAsia="zh-CN"/>
        </w:rPr>
        <w:t>2台</w:t>
      </w:r>
      <w:r>
        <w:rPr>
          <w:rFonts w:hint="eastAsia" w:ascii="仿宋" w:hAnsi="仿宋" w:eastAsia="仿宋"/>
          <w:color w:val="000000"/>
          <w:sz w:val="24"/>
        </w:rPr>
        <w:t>，其中</w:t>
      </w:r>
      <w:r>
        <w:rPr>
          <w:rFonts w:hint="eastAsia" w:ascii="仿宋" w:hAnsi="仿宋" w:eastAsia="仿宋"/>
          <w:color w:val="000000"/>
          <w:sz w:val="24"/>
          <w:lang w:val="en-US" w:eastAsia="zh-CN"/>
        </w:rPr>
        <w:t>1台</w:t>
      </w:r>
      <w:r>
        <w:rPr>
          <w:rFonts w:hint="eastAsia" w:ascii="仿宋" w:hAnsi="仿宋" w:eastAsia="仿宋"/>
          <w:color w:val="000000"/>
          <w:sz w:val="24"/>
        </w:rPr>
        <w:t>作为检验样品，</w:t>
      </w:r>
      <w:r>
        <w:rPr>
          <w:rFonts w:hint="eastAsia" w:ascii="仿宋" w:hAnsi="仿宋" w:eastAsia="仿宋"/>
          <w:color w:val="000000"/>
          <w:sz w:val="24"/>
          <w:lang w:val="en-US" w:eastAsia="zh-CN"/>
        </w:rPr>
        <w:t>1台</w:t>
      </w:r>
      <w:r>
        <w:rPr>
          <w:rFonts w:hint="eastAsia" w:ascii="仿宋" w:hAnsi="仿宋" w:eastAsia="仿宋"/>
          <w:color w:val="000000"/>
          <w:sz w:val="24"/>
        </w:rPr>
        <w:t>作为备用样品。</w:t>
      </w:r>
    </w:p>
    <w:p w14:paraId="131C1E9D">
      <w:pPr>
        <w:numPr>
          <w:ilvl w:val="0"/>
          <w:numId w:val="1"/>
        </w:numPr>
        <w:adjustRightInd w:val="0"/>
        <w:snapToGrid w:val="0"/>
        <w:spacing w:line="360" w:lineRule="auto"/>
        <w:ind w:firstLine="482" w:firstLineChars="200"/>
        <w:jc w:val="left"/>
        <w:rPr>
          <w:rFonts w:ascii="黑体" w:hAnsi="黑体" w:eastAsia="黑体"/>
          <w:b/>
          <w:bCs/>
          <w:color w:val="000000"/>
          <w:sz w:val="24"/>
        </w:rPr>
      </w:pPr>
      <w:r>
        <w:rPr>
          <w:rFonts w:ascii="黑体" w:hAnsi="黑体" w:eastAsia="黑体"/>
          <w:b/>
          <w:bCs/>
          <w:color w:val="000000"/>
          <w:sz w:val="24"/>
        </w:rPr>
        <w:t>检验依据</w:t>
      </w:r>
    </w:p>
    <w:tbl>
      <w:tblPr>
        <w:tblStyle w:val="10"/>
        <w:tblW w:w="4934" w:type="pct"/>
        <w:tblInd w:w="1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4"/>
        <w:gridCol w:w="3653"/>
        <w:gridCol w:w="3843"/>
      </w:tblGrid>
      <w:tr w14:paraId="0C09E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543" w:type="pct"/>
            <w:noWrap w:val="0"/>
            <w:vAlign w:val="center"/>
          </w:tcPr>
          <w:p w14:paraId="1F1144B2">
            <w:pPr>
              <w:jc w:val="center"/>
              <w:rPr>
                <w:rFonts w:hint="eastAsia" w:ascii="仿宋" w:hAnsi="仿宋" w:eastAsia="仿宋"/>
                <w:color w:val="000000"/>
                <w:sz w:val="24"/>
              </w:rPr>
            </w:pPr>
            <w:r>
              <w:rPr>
                <w:rFonts w:hint="eastAsia" w:ascii="仿宋" w:hAnsi="仿宋" w:eastAsia="仿宋"/>
                <w:color w:val="000000"/>
                <w:sz w:val="24"/>
              </w:rPr>
              <w:t>序号</w:t>
            </w:r>
          </w:p>
        </w:tc>
        <w:tc>
          <w:tcPr>
            <w:tcW w:w="2171" w:type="pct"/>
            <w:noWrap w:val="0"/>
            <w:vAlign w:val="center"/>
          </w:tcPr>
          <w:p w14:paraId="15348BF5">
            <w:pPr>
              <w:jc w:val="center"/>
              <w:rPr>
                <w:rFonts w:hint="eastAsia" w:ascii="仿宋" w:hAnsi="仿宋" w:eastAsia="仿宋"/>
                <w:color w:val="000000"/>
                <w:sz w:val="24"/>
              </w:rPr>
            </w:pPr>
            <w:r>
              <w:rPr>
                <w:rFonts w:hint="eastAsia" w:ascii="仿宋" w:hAnsi="仿宋" w:eastAsia="仿宋"/>
                <w:color w:val="000000"/>
                <w:sz w:val="24"/>
              </w:rPr>
              <w:t>检验项目</w:t>
            </w:r>
          </w:p>
        </w:tc>
        <w:tc>
          <w:tcPr>
            <w:tcW w:w="2284" w:type="pct"/>
            <w:noWrap w:val="0"/>
            <w:vAlign w:val="center"/>
          </w:tcPr>
          <w:p w14:paraId="539E0340">
            <w:pPr>
              <w:jc w:val="center"/>
              <w:rPr>
                <w:rFonts w:hint="eastAsia" w:ascii="仿宋" w:hAnsi="仿宋" w:eastAsia="仿宋"/>
                <w:color w:val="000000"/>
                <w:sz w:val="24"/>
              </w:rPr>
            </w:pPr>
            <w:r>
              <w:rPr>
                <w:rFonts w:hint="eastAsia" w:ascii="仿宋" w:hAnsi="仿宋" w:eastAsia="仿宋"/>
                <w:color w:val="000000"/>
                <w:sz w:val="24"/>
              </w:rPr>
              <w:t>检验方法</w:t>
            </w:r>
          </w:p>
        </w:tc>
      </w:tr>
      <w:tr w14:paraId="6B497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543" w:type="pct"/>
            <w:noWrap w:val="0"/>
            <w:vAlign w:val="center"/>
          </w:tcPr>
          <w:p w14:paraId="289E19D4">
            <w:pPr>
              <w:jc w:val="center"/>
              <w:rPr>
                <w:rFonts w:hint="eastAsia" w:ascii="仿宋" w:hAnsi="仿宋" w:eastAsia="仿宋"/>
                <w:color w:val="000000"/>
                <w:sz w:val="24"/>
                <w:lang w:val="en-US" w:eastAsia="zh-CN"/>
              </w:rPr>
            </w:pPr>
            <w:r>
              <w:rPr>
                <w:rFonts w:hint="eastAsia" w:ascii="仿宋" w:hAnsi="仿宋" w:eastAsia="仿宋"/>
                <w:color w:val="000000"/>
                <w:sz w:val="24"/>
                <w:lang w:val="en-US" w:eastAsia="zh-CN"/>
              </w:rPr>
              <w:t>1</w:t>
            </w:r>
          </w:p>
        </w:tc>
        <w:tc>
          <w:tcPr>
            <w:tcW w:w="2171" w:type="pct"/>
            <w:shd w:val="clear" w:color="auto" w:fill="auto"/>
            <w:noWrap w:val="0"/>
            <w:vAlign w:val="center"/>
          </w:tcPr>
          <w:p w14:paraId="07EA9E4D">
            <w:pPr>
              <w:jc w:val="center"/>
              <w:rPr>
                <w:rFonts w:hint="eastAsia" w:ascii="仿宋" w:hAnsi="仿宋" w:eastAsia="仿宋" w:cs="Times New Roman"/>
                <w:color w:val="auto"/>
                <w:kern w:val="2"/>
                <w:sz w:val="24"/>
                <w:szCs w:val="24"/>
                <w:lang w:val="en-US" w:eastAsia="zh-CN" w:bidi="ar-SA"/>
              </w:rPr>
            </w:pPr>
            <w:r>
              <w:rPr>
                <w:rFonts w:hint="eastAsia" w:ascii="仿宋" w:hAnsi="仿宋" w:eastAsia="仿宋"/>
                <w:color w:val="auto"/>
                <w:sz w:val="24"/>
              </w:rPr>
              <w:t>翻转</w:t>
            </w:r>
          </w:p>
        </w:tc>
        <w:tc>
          <w:tcPr>
            <w:tcW w:w="2284" w:type="pct"/>
            <w:noWrap w:val="0"/>
            <w:vAlign w:val="center"/>
          </w:tcPr>
          <w:p w14:paraId="3BB5B130">
            <w:pPr>
              <w:jc w:val="center"/>
              <w:rPr>
                <w:rFonts w:hint="eastAsia" w:ascii="仿宋" w:hAnsi="仿宋" w:eastAsia="仿宋"/>
                <w:color w:val="000000"/>
                <w:sz w:val="24"/>
              </w:rPr>
            </w:pPr>
            <w:r>
              <w:rPr>
                <w:rFonts w:hint="eastAsia" w:ascii="仿宋" w:hAnsi="仿宋" w:eastAsia="仿宋"/>
                <w:color w:val="000000"/>
                <w:sz w:val="24"/>
                <w:lang w:val="en-US" w:eastAsia="zh-CN"/>
              </w:rPr>
              <w:t xml:space="preserve">GB </w:t>
            </w:r>
            <w:r>
              <w:rPr>
                <w:rFonts w:hint="eastAsia" w:ascii="仿宋" w:hAnsi="仿宋" w:eastAsia="仿宋"/>
                <w:color w:val="000000"/>
                <w:sz w:val="24"/>
              </w:rPr>
              <w:t>27887―2011</w:t>
            </w:r>
          </w:p>
        </w:tc>
      </w:tr>
      <w:tr w14:paraId="47400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543" w:type="pct"/>
            <w:noWrap w:val="0"/>
            <w:vAlign w:val="center"/>
          </w:tcPr>
          <w:p w14:paraId="78F6FB0B">
            <w:pPr>
              <w:jc w:val="center"/>
              <w:rPr>
                <w:rFonts w:hint="eastAsia" w:ascii="仿宋" w:hAnsi="仿宋" w:eastAsia="仿宋"/>
                <w:color w:val="000000"/>
                <w:sz w:val="24"/>
                <w:lang w:val="en-US" w:eastAsia="zh-CN"/>
              </w:rPr>
            </w:pPr>
            <w:r>
              <w:rPr>
                <w:rFonts w:hint="eastAsia" w:ascii="仿宋" w:hAnsi="仿宋" w:eastAsia="仿宋"/>
                <w:color w:val="000000"/>
                <w:sz w:val="24"/>
              </w:rPr>
              <w:t>2</w:t>
            </w:r>
          </w:p>
        </w:tc>
        <w:tc>
          <w:tcPr>
            <w:tcW w:w="2171" w:type="pct"/>
            <w:shd w:val="clear"/>
            <w:noWrap w:val="0"/>
            <w:vAlign w:val="center"/>
          </w:tcPr>
          <w:p w14:paraId="4EC36A92">
            <w:pPr>
              <w:jc w:val="center"/>
              <w:rPr>
                <w:rFonts w:hint="eastAsia" w:ascii="仿宋" w:hAnsi="仿宋" w:eastAsia="仿宋" w:cs="Times New Roman"/>
                <w:color w:val="auto"/>
                <w:kern w:val="2"/>
                <w:sz w:val="24"/>
                <w:szCs w:val="24"/>
                <w:lang w:val="en-US" w:eastAsia="zh-CN" w:bidi="ar-SA"/>
              </w:rPr>
            </w:pPr>
            <w:r>
              <w:rPr>
                <w:rFonts w:hint="eastAsia" w:ascii="仿宋" w:hAnsi="仿宋" w:eastAsia="仿宋"/>
                <w:color w:val="auto"/>
                <w:sz w:val="24"/>
              </w:rPr>
              <w:t>动态试验</w:t>
            </w:r>
          </w:p>
        </w:tc>
        <w:tc>
          <w:tcPr>
            <w:tcW w:w="2284" w:type="pct"/>
            <w:noWrap w:val="0"/>
            <w:vAlign w:val="center"/>
          </w:tcPr>
          <w:p w14:paraId="195A8E9D">
            <w:pPr>
              <w:jc w:val="center"/>
              <w:rPr>
                <w:rFonts w:hint="eastAsia" w:ascii="仿宋" w:hAnsi="仿宋" w:eastAsia="仿宋"/>
                <w:color w:val="000000"/>
                <w:sz w:val="24"/>
              </w:rPr>
            </w:pPr>
            <w:r>
              <w:rPr>
                <w:rFonts w:hint="eastAsia" w:ascii="仿宋" w:hAnsi="仿宋" w:eastAsia="仿宋"/>
                <w:color w:val="000000"/>
                <w:sz w:val="24"/>
                <w:lang w:val="en-US" w:eastAsia="zh-CN"/>
              </w:rPr>
              <w:t xml:space="preserve">GB </w:t>
            </w:r>
            <w:r>
              <w:rPr>
                <w:rFonts w:hint="eastAsia" w:ascii="仿宋" w:hAnsi="仿宋" w:eastAsia="仿宋"/>
                <w:color w:val="000000"/>
                <w:sz w:val="24"/>
              </w:rPr>
              <w:t>27887―2011</w:t>
            </w:r>
          </w:p>
        </w:tc>
      </w:tr>
      <w:tr w14:paraId="6EA90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543" w:type="pct"/>
            <w:noWrap w:val="0"/>
            <w:vAlign w:val="center"/>
          </w:tcPr>
          <w:p w14:paraId="31E9EF7C">
            <w:pPr>
              <w:jc w:val="center"/>
              <w:rPr>
                <w:rFonts w:hint="eastAsia" w:ascii="仿宋" w:hAnsi="仿宋" w:eastAsia="仿宋"/>
                <w:color w:val="000000"/>
                <w:sz w:val="24"/>
                <w:lang w:val="en-US" w:eastAsia="zh-CN"/>
              </w:rPr>
            </w:pPr>
            <w:r>
              <w:rPr>
                <w:rFonts w:hint="eastAsia" w:ascii="仿宋" w:hAnsi="仿宋" w:eastAsia="仿宋"/>
                <w:color w:val="000000"/>
                <w:sz w:val="24"/>
              </w:rPr>
              <w:t>3</w:t>
            </w:r>
          </w:p>
        </w:tc>
        <w:tc>
          <w:tcPr>
            <w:tcW w:w="2171" w:type="pct"/>
            <w:shd w:val="clear"/>
            <w:noWrap w:val="0"/>
            <w:vAlign w:val="center"/>
          </w:tcPr>
          <w:p w14:paraId="2D1C50CB">
            <w:pPr>
              <w:jc w:val="center"/>
              <w:rPr>
                <w:rFonts w:hint="eastAsia" w:ascii="仿宋" w:hAnsi="仿宋" w:eastAsia="仿宋" w:cs="Times New Roman"/>
                <w:color w:val="auto"/>
                <w:kern w:val="2"/>
                <w:sz w:val="24"/>
                <w:szCs w:val="24"/>
                <w:lang w:val="en-US" w:eastAsia="zh-CN" w:bidi="ar-SA"/>
              </w:rPr>
            </w:pPr>
            <w:r>
              <w:rPr>
                <w:rFonts w:hint="eastAsia" w:ascii="仿宋" w:hAnsi="仿宋" w:eastAsia="仿宋"/>
                <w:color w:val="auto"/>
                <w:sz w:val="24"/>
              </w:rPr>
              <w:t>加载后带扣开启试验</w:t>
            </w:r>
          </w:p>
        </w:tc>
        <w:tc>
          <w:tcPr>
            <w:tcW w:w="2284" w:type="pct"/>
            <w:noWrap w:val="0"/>
            <w:vAlign w:val="center"/>
          </w:tcPr>
          <w:p w14:paraId="41A5BA28">
            <w:pPr>
              <w:jc w:val="center"/>
              <w:rPr>
                <w:rFonts w:hint="eastAsia" w:ascii="仿宋" w:hAnsi="仿宋" w:eastAsia="仿宋"/>
                <w:color w:val="000000"/>
                <w:sz w:val="24"/>
              </w:rPr>
            </w:pPr>
            <w:r>
              <w:rPr>
                <w:rFonts w:hint="eastAsia" w:ascii="仿宋" w:hAnsi="仿宋" w:eastAsia="仿宋"/>
                <w:color w:val="000000"/>
                <w:sz w:val="24"/>
                <w:lang w:val="en-US" w:eastAsia="zh-CN"/>
              </w:rPr>
              <w:t xml:space="preserve">GB </w:t>
            </w:r>
            <w:r>
              <w:rPr>
                <w:rFonts w:hint="eastAsia" w:ascii="仿宋" w:hAnsi="仿宋" w:eastAsia="仿宋"/>
                <w:color w:val="000000"/>
                <w:sz w:val="24"/>
              </w:rPr>
              <w:t>27887―2011</w:t>
            </w:r>
          </w:p>
        </w:tc>
      </w:tr>
      <w:tr w14:paraId="5FA59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43" w:type="pct"/>
            <w:noWrap w:val="0"/>
            <w:vAlign w:val="center"/>
          </w:tcPr>
          <w:p w14:paraId="6E2662D3">
            <w:pPr>
              <w:jc w:val="center"/>
              <w:rPr>
                <w:rFonts w:hint="eastAsia" w:ascii="仿宋" w:hAnsi="仿宋" w:eastAsia="仿宋"/>
                <w:color w:val="000000"/>
                <w:sz w:val="24"/>
                <w:lang w:val="en-US" w:eastAsia="zh-CN"/>
              </w:rPr>
            </w:pPr>
            <w:r>
              <w:rPr>
                <w:rFonts w:hint="eastAsia" w:ascii="仿宋" w:hAnsi="仿宋" w:eastAsia="仿宋"/>
                <w:color w:val="000000"/>
                <w:sz w:val="24"/>
              </w:rPr>
              <w:t>4</w:t>
            </w:r>
          </w:p>
        </w:tc>
        <w:tc>
          <w:tcPr>
            <w:tcW w:w="2171" w:type="pct"/>
            <w:shd w:val="clear"/>
            <w:noWrap w:val="0"/>
            <w:vAlign w:val="center"/>
          </w:tcPr>
          <w:p w14:paraId="7BA9F7FA">
            <w:pPr>
              <w:jc w:val="center"/>
              <w:rPr>
                <w:rFonts w:hint="eastAsia" w:ascii="仿宋" w:hAnsi="仿宋" w:eastAsia="仿宋" w:cs="Times New Roman"/>
                <w:color w:val="auto"/>
                <w:kern w:val="2"/>
                <w:sz w:val="24"/>
                <w:szCs w:val="24"/>
                <w:lang w:val="en-US" w:eastAsia="zh-CN" w:bidi="ar-SA"/>
              </w:rPr>
            </w:pPr>
            <w:r>
              <w:rPr>
                <w:rFonts w:hint="eastAsia" w:ascii="仿宋" w:hAnsi="仿宋" w:eastAsia="仿宋"/>
                <w:color w:val="auto"/>
                <w:sz w:val="24"/>
              </w:rPr>
              <w:t>吸能性</w:t>
            </w:r>
            <w:bookmarkStart w:id="3" w:name="_GoBack"/>
            <w:bookmarkEnd w:id="3"/>
          </w:p>
        </w:tc>
        <w:tc>
          <w:tcPr>
            <w:tcW w:w="2284" w:type="pct"/>
            <w:noWrap w:val="0"/>
            <w:vAlign w:val="center"/>
          </w:tcPr>
          <w:p w14:paraId="2230D39A">
            <w:pPr>
              <w:jc w:val="center"/>
              <w:rPr>
                <w:rFonts w:hint="eastAsia" w:ascii="仿宋" w:hAnsi="仿宋" w:eastAsia="仿宋"/>
                <w:color w:val="000000"/>
                <w:sz w:val="24"/>
              </w:rPr>
            </w:pPr>
            <w:r>
              <w:rPr>
                <w:rFonts w:hint="eastAsia" w:ascii="仿宋" w:hAnsi="仿宋" w:eastAsia="仿宋"/>
                <w:color w:val="000000"/>
                <w:sz w:val="24"/>
                <w:lang w:val="en-US" w:eastAsia="zh-CN"/>
              </w:rPr>
              <w:t xml:space="preserve">GB </w:t>
            </w:r>
            <w:r>
              <w:rPr>
                <w:rFonts w:hint="eastAsia" w:ascii="仿宋" w:hAnsi="仿宋" w:eastAsia="仿宋"/>
                <w:color w:val="000000"/>
                <w:sz w:val="24"/>
              </w:rPr>
              <w:t>27887―2011</w:t>
            </w:r>
          </w:p>
        </w:tc>
      </w:tr>
    </w:tbl>
    <w:p w14:paraId="3B7CC584">
      <w:pPr>
        <w:adjustRightInd w:val="0"/>
        <w:snapToGrid w:val="0"/>
        <w:spacing w:before="156" w:beforeLines="50" w:line="360" w:lineRule="auto"/>
        <w:ind w:firstLine="480" w:firstLineChars="200"/>
        <w:jc w:val="left"/>
        <w:rPr>
          <w:rFonts w:ascii="仿宋" w:hAnsi="仿宋" w:eastAsia="仿宋"/>
          <w:color w:val="000000"/>
          <w:sz w:val="24"/>
        </w:rPr>
      </w:pPr>
      <w:r>
        <w:rPr>
          <w:rFonts w:hint="eastAsia" w:ascii="仿宋" w:hAnsi="仿宋" w:eastAsia="仿宋"/>
          <w:color w:val="000000"/>
          <w:sz w:val="24"/>
        </w:rPr>
        <w:t>执行企业标准、团体标准、地方标准的产品，检验项目参照上述内容执行。</w:t>
      </w:r>
    </w:p>
    <w:p w14:paraId="024E131C">
      <w:pPr>
        <w:adjustRightInd w:val="0"/>
        <w:snapToGrid w:val="0"/>
        <w:spacing w:line="360" w:lineRule="auto"/>
        <w:ind w:firstLine="480" w:firstLineChars="200"/>
        <w:jc w:val="left"/>
        <w:rPr>
          <w:color w:val="000000"/>
        </w:rPr>
      </w:pPr>
      <w:r>
        <w:rPr>
          <w:rFonts w:ascii="仿宋" w:hAnsi="仿宋" w:eastAsia="仿宋"/>
          <w:color w:val="000000"/>
          <w:sz w:val="24"/>
        </w:rPr>
        <w:t>凡是注日期的文件，其随后所有的修改单（不包括勘误的内容）或修订版不适用于本细则。凡是不注日期的文件，其最新版本适用于本细则。</w:t>
      </w:r>
    </w:p>
    <w:p w14:paraId="6DB452CE">
      <w:pPr>
        <w:adjustRightInd w:val="0"/>
        <w:snapToGrid w:val="0"/>
        <w:spacing w:line="360" w:lineRule="auto"/>
        <w:ind w:firstLine="482" w:firstLineChars="200"/>
        <w:jc w:val="left"/>
        <w:rPr>
          <w:rFonts w:ascii="黑体" w:hAnsi="黑体" w:eastAsia="黑体"/>
          <w:b/>
          <w:bCs/>
          <w:color w:val="000000"/>
          <w:sz w:val="24"/>
        </w:rPr>
      </w:pPr>
      <w:r>
        <w:rPr>
          <w:rFonts w:hint="eastAsia" w:ascii="黑体" w:hAnsi="黑体" w:eastAsia="黑体"/>
          <w:b/>
          <w:bCs/>
          <w:color w:val="000000"/>
          <w:sz w:val="24"/>
        </w:rPr>
        <w:t>三、</w:t>
      </w:r>
      <w:r>
        <w:rPr>
          <w:rFonts w:ascii="黑体" w:hAnsi="黑体" w:eastAsia="黑体"/>
          <w:b/>
          <w:bCs/>
          <w:color w:val="000000"/>
          <w:sz w:val="24"/>
        </w:rPr>
        <w:t>判定规则</w:t>
      </w:r>
    </w:p>
    <w:p w14:paraId="0305AB49">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3.1依据标准</w:t>
      </w:r>
    </w:p>
    <w:p w14:paraId="29C05A9C">
      <w:pPr>
        <w:pStyle w:val="4"/>
        <w:tabs>
          <w:tab w:val="left" w:pos="6615"/>
        </w:tabs>
        <w:adjustRightInd w:val="0"/>
        <w:snapToGrid w:val="0"/>
        <w:spacing w:line="360" w:lineRule="auto"/>
        <w:ind w:firstLine="480" w:firstLineChars="200"/>
        <w:rPr>
          <w:rFonts w:hint="eastAsia" w:ascii="仿宋" w:hAnsi="仿宋" w:eastAsia="仿宋" w:cs="Times New Roman"/>
          <w:color w:val="000000"/>
          <w:sz w:val="24"/>
          <w:szCs w:val="24"/>
        </w:rPr>
      </w:pPr>
      <w:r>
        <w:rPr>
          <w:rFonts w:hint="eastAsia" w:ascii="仿宋" w:hAnsi="仿宋" w:eastAsia="仿宋" w:cs="Times New Roman"/>
          <w:color w:val="000000"/>
          <w:sz w:val="24"/>
          <w:szCs w:val="24"/>
        </w:rPr>
        <w:t>GB 27887―2011 《机动车儿童乘员用约束系统》</w:t>
      </w:r>
    </w:p>
    <w:p w14:paraId="2E4BCE32">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相关的法律、行政法规、部门规章、规范性文件</w:t>
      </w:r>
    </w:p>
    <w:p w14:paraId="6EC199ED">
      <w:pPr>
        <w:pStyle w:val="4"/>
        <w:tabs>
          <w:tab w:val="left" w:pos="6615"/>
        </w:tabs>
        <w:adjustRightInd w:val="0"/>
        <w:snapToGrid w:val="0"/>
        <w:spacing w:line="360" w:lineRule="auto"/>
        <w:ind w:firstLine="480" w:firstLineChars="200"/>
        <w:rPr>
          <w:rFonts w:ascii="仿宋" w:hAnsi="仿宋" w:eastAsia="仿宋"/>
          <w:color w:val="000000"/>
          <w:sz w:val="24"/>
          <w:szCs w:val="24"/>
        </w:rPr>
      </w:pPr>
      <w:r>
        <w:rPr>
          <w:rFonts w:hint="eastAsia" w:ascii="仿宋" w:hAnsi="仿宋" w:eastAsia="仿宋" w:cs="Times New Roman"/>
          <w:color w:val="000000"/>
          <w:sz w:val="24"/>
          <w:szCs w:val="24"/>
        </w:rPr>
        <w:t>现行有效的企业标准、团体标准、地方标准及产品明示质量要求</w:t>
      </w:r>
    </w:p>
    <w:p w14:paraId="100521A0">
      <w:pPr>
        <w:adjustRightInd w:val="0"/>
        <w:snapToGrid w:val="0"/>
        <w:spacing w:line="360" w:lineRule="auto"/>
        <w:ind w:firstLine="480" w:firstLineChars="200"/>
        <w:jc w:val="left"/>
        <w:rPr>
          <w:rFonts w:ascii="仿宋" w:hAnsi="仿宋" w:eastAsia="仿宋"/>
          <w:color w:val="000000"/>
          <w:sz w:val="24"/>
        </w:rPr>
      </w:pPr>
      <w:bookmarkStart w:id="0" w:name="_Hlk82093647"/>
      <w:r>
        <w:rPr>
          <w:rFonts w:ascii="仿宋" w:hAnsi="仿宋" w:eastAsia="仿宋"/>
          <w:color w:val="000000"/>
          <w:sz w:val="24"/>
        </w:rPr>
        <w:t>3.2判定原则</w:t>
      </w:r>
    </w:p>
    <w:p w14:paraId="708DDF66">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若被检产品明示的质量要求高于本细则中检验项目依据的标准要求时，应按被检产品明示的质量要求判定。</w:t>
      </w:r>
    </w:p>
    <w:p w14:paraId="675142CA">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若被检产品明示的质量要求低于本细则中检验项目依据的强制性标准要求时，应按照强制性标准要求判定。</w:t>
      </w:r>
    </w:p>
    <w:p w14:paraId="2EF44A32">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若被检产品明示的质量要求低于或包含本细则中检验项目依据的推荐性标准要求时，应以被检产品明示的质量要求判定。</w:t>
      </w:r>
    </w:p>
    <w:p w14:paraId="606F20A6">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若被检产品明示的质量要求缺少本细则中检验项目依据的强制性标准要求时，应按照强制性标准要求判定。</w:t>
      </w:r>
    </w:p>
    <w:p w14:paraId="4F51D979">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若被检产品明示的质量要求缺少本细则中检验项目依据的推荐性标准要求时，该项目不参与判定。</w:t>
      </w:r>
    </w:p>
    <w:bookmarkEnd w:id="0"/>
    <w:p w14:paraId="587AA755">
      <w:pPr>
        <w:adjustRightInd w:val="0"/>
        <w:snapToGrid w:val="0"/>
        <w:spacing w:line="360" w:lineRule="auto"/>
        <w:ind w:firstLine="480" w:firstLineChars="200"/>
        <w:jc w:val="left"/>
        <w:rPr>
          <w:rFonts w:ascii="仿宋" w:hAnsi="仿宋" w:eastAsia="仿宋"/>
          <w:sz w:val="24"/>
        </w:rPr>
      </w:pPr>
      <w:bookmarkStart w:id="1" w:name="_Hlk82163412"/>
      <w:r>
        <w:rPr>
          <w:rFonts w:hint="eastAsia" w:ascii="仿宋" w:hAnsi="仿宋" w:eastAsia="仿宋"/>
          <w:sz w:val="24"/>
        </w:rPr>
        <w:t>3.3</w:t>
      </w:r>
      <w:bookmarkEnd w:id="1"/>
      <w:bookmarkStart w:id="2" w:name="_Hlk82164659"/>
      <w:r>
        <w:rPr>
          <w:rFonts w:hint="eastAsia" w:ascii="仿宋" w:hAnsi="仿宋" w:eastAsia="仿宋"/>
          <w:sz w:val="24"/>
        </w:rPr>
        <w:t>判定结论</w:t>
      </w:r>
    </w:p>
    <w:bookmarkEnd w:id="2"/>
    <w:p w14:paraId="7623ADF8">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①产品符合执行标准要求，且推荐性项目的检验结果符合国家、行业、地方标准中推荐性条款要求的，检验结论为“经检验，所检项目检验结果符合本次监督抽查要求。”；</w:t>
      </w:r>
    </w:p>
    <w:p w14:paraId="3ECE09DF">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②产品不符合执行标准要求的，检验结论为“经检验，</w:t>
      </w:r>
      <w:r>
        <w:rPr>
          <w:rFonts w:ascii="仿宋" w:hAnsi="仿宋" w:eastAsia="仿宋"/>
          <w:sz w:val="24"/>
        </w:rPr>
        <w:t>***</w:t>
      </w:r>
      <w:r>
        <w:rPr>
          <w:rFonts w:hint="eastAsia" w:ascii="仿宋" w:hAnsi="仿宋" w:eastAsia="仿宋"/>
          <w:sz w:val="24"/>
        </w:rPr>
        <w:t>项目检验结果不符合本次监督抽查要求中的</w:t>
      </w:r>
      <w:r>
        <w:rPr>
          <w:rFonts w:ascii="仿宋" w:hAnsi="仿宋" w:eastAsia="仿宋"/>
          <w:sz w:val="24"/>
        </w:rPr>
        <w:t>***</w:t>
      </w:r>
      <w:r>
        <w:rPr>
          <w:rFonts w:hint="eastAsia" w:ascii="仿宋" w:hAnsi="仿宋" w:eastAsia="仿宋"/>
          <w:sz w:val="24"/>
        </w:rPr>
        <w:t>标准要求，判定为不合格。”；</w:t>
      </w:r>
      <w:r>
        <w:rPr>
          <w:rFonts w:ascii="仿宋" w:hAnsi="仿宋" w:eastAsia="仿宋"/>
          <w:sz w:val="24"/>
        </w:rPr>
        <w:t xml:space="preserve"> </w:t>
      </w:r>
    </w:p>
    <w:p w14:paraId="55231186">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sz w:val="24"/>
        </w:rPr>
        <w:t>③产品符合企业标准要求，但推荐性项目的检验结果出现一个或一个以上低于国家、行业、地方标准中推荐性条款要求的，检验结论为“经检验，**项目检验结果符合企业标准要求，不符合国家、行业、地方标准要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F667855-3DB7-496E-9CCD-3913B1E6636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panose1 w:val="02000000000000000000"/>
    <w:charset w:val="86"/>
    <w:family w:val="auto"/>
    <w:pitch w:val="default"/>
    <w:sig w:usb0="A00002BF" w:usb1="38CF7CFA" w:usb2="00082016" w:usb3="00000000" w:csb0="00040001" w:csb1="00000000"/>
    <w:embedRegular r:id="rId2" w:fontKey="{D57CC893-4D54-4329-A0C3-4DCBE85B18AC}"/>
  </w:font>
  <w:font w:name="方正仿宋简体">
    <w:altName w:val="微软雅黑"/>
    <w:panose1 w:val="00000000000000000000"/>
    <w:charset w:val="86"/>
    <w:family w:val="auto"/>
    <w:pitch w:val="default"/>
    <w:sig w:usb0="00000000" w:usb1="00000000" w:usb2="00000010" w:usb3="00000000" w:csb0="00040000" w:csb1="00000000"/>
    <w:embedRegular r:id="rId3" w:fontKey="{FEC9C816-4F20-4E1D-9D08-1BEEF065F7D8}"/>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embedRegular r:id="rId4" w:fontKey="{2C5995FF-B74E-480A-982C-4FFE313A21F6}"/>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DF6723"/>
    <w:multiLevelType w:val="singleLevel"/>
    <w:tmpl w:val="E9DF6723"/>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4YTY2NzNjYzhhMDBjYjhiZDFjNDRhZjk5ZjcyM2MifQ=="/>
  </w:docVars>
  <w:rsids>
    <w:rsidRoot w:val="007072C8"/>
    <w:rsid w:val="00064AFF"/>
    <w:rsid w:val="00081EB4"/>
    <w:rsid w:val="000A2F5B"/>
    <w:rsid w:val="00104ACE"/>
    <w:rsid w:val="00152F72"/>
    <w:rsid w:val="001572DB"/>
    <w:rsid w:val="00165EE4"/>
    <w:rsid w:val="001B33B2"/>
    <w:rsid w:val="001C5F22"/>
    <w:rsid w:val="001D01B1"/>
    <w:rsid w:val="001F1D3B"/>
    <w:rsid w:val="002018DF"/>
    <w:rsid w:val="002170A4"/>
    <w:rsid w:val="00282337"/>
    <w:rsid w:val="00295DB2"/>
    <w:rsid w:val="002C4E10"/>
    <w:rsid w:val="00393194"/>
    <w:rsid w:val="003A66E5"/>
    <w:rsid w:val="003B1E9F"/>
    <w:rsid w:val="003C2212"/>
    <w:rsid w:val="003D4497"/>
    <w:rsid w:val="003D7B8A"/>
    <w:rsid w:val="004139B0"/>
    <w:rsid w:val="004554A7"/>
    <w:rsid w:val="00460502"/>
    <w:rsid w:val="00461406"/>
    <w:rsid w:val="0046777F"/>
    <w:rsid w:val="00491368"/>
    <w:rsid w:val="004E44C2"/>
    <w:rsid w:val="004F685A"/>
    <w:rsid w:val="00512115"/>
    <w:rsid w:val="00516560"/>
    <w:rsid w:val="00533BD1"/>
    <w:rsid w:val="00546D12"/>
    <w:rsid w:val="005521A2"/>
    <w:rsid w:val="005A7AA2"/>
    <w:rsid w:val="005D5F5F"/>
    <w:rsid w:val="005E7DEF"/>
    <w:rsid w:val="00603A70"/>
    <w:rsid w:val="006223B0"/>
    <w:rsid w:val="00643203"/>
    <w:rsid w:val="00661256"/>
    <w:rsid w:val="00681EFA"/>
    <w:rsid w:val="00685BA7"/>
    <w:rsid w:val="006943BC"/>
    <w:rsid w:val="006B108F"/>
    <w:rsid w:val="006B2CC1"/>
    <w:rsid w:val="006C23CE"/>
    <w:rsid w:val="00703942"/>
    <w:rsid w:val="007072C8"/>
    <w:rsid w:val="00733C23"/>
    <w:rsid w:val="0076248E"/>
    <w:rsid w:val="007726C9"/>
    <w:rsid w:val="007941D6"/>
    <w:rsid w:val="00794C0D"/>
    <w:rsid w:val="007B3A5F"/>
    <w:rsid w:val="007E521A"/>
    <w:rsid w:val="00813E24"/>
    <w:rsid w:val="00844F3B"/>
    <w:rsid w:val="008677EE"/>
    <w:rsid w:val="00887993"/>
    <w:rsid w:val="0089350C"/>
    <w:rsid w:val="008944AC"/>
    <w:rsid w:val="00931293"/>
    <w:rsid w:val="009C6613"/>
    <w:rsid w:val="00A051D0"/>
    <w:rsid w:val="00A14495"/>
    <w:rsid w:val="00A94C11"/>
    <w:rsid w:val="00AE53DC"/>
    <w:rsid w:val="00B11931"/>
    <w:rsid w:val="00B14DE4"/>
    <w:rsid w:val="00B224E5"/>
    <w:rsid w:val="00B30C4A"/>
    <w:rsid w:val="00C13C7C"/>
    <w:rsid w:val="00C27243"/>
    <w:rsid w:val="00CA6059"/>
    <w:rsid w:val="00CB72DB"/>
    <w:rsid w:val="00CE0D74"/>
    <w:rsid w:val="00D312A9"/>
    <w:rsid w:val="00D5637C"/>
    <w:rsid w:val="00D5748F"/>
    <w:rsid w:val="00D6590F"/>
    <w:rsid w:val="00E06620"/>
    <w:rsid w:val="00E4604D"/>
    <w:rsid w:val="00E64751"/>
    <w:rsid w:val="00EA6009"/>
    <w:rsid w:val="00EF2C91"/>
    <w:rsid w:val="00F25110"/>
    <w:rsid w:val="00F534EF"/>
    <w:rsid w:val="00FB4A09"/>
    <w:rsid w:val="019E4B5C"/>
    <w:rsid w:val="0449689E"/>
    <w:rsid w:val="059348DA"/>
    <w:rsid w:val="09E21360"/>
    <w:rsid w:val="0D8D53DF"/>
    <w:rsid w:val="136C4563"/>
    <w:rsid w:val="14F415D6"/>
    <w:rsid w:val="1C3A2D85"/>
    <w:rsid w:val="21F23FD7"/>
    <w:rsid w:val="34CF0F75"/>
    <w:rsid w:val="368135ED"/>
    <w:rsid w:val="394D4D58"/>
    <w:rsid w:val="3B1A3DE0"/>
    <w:rsid w:val="4068666C"/>
    <w:rsid w:val="416A296C"/>
    <w:rsid w:val="433836FB"/>
    <w:rsid w:val="4EE90D99"/>
    <w:rsid w:val="50B43C38"/>
    <w:rsid w:val="545D5AF4"/>
    <w:rsid w:val="558A46C7"/>
    <w:rsid w:val="582B3616"/>
    <w:rsid w:val="61F536DE"/>
    <w:rsid w:val="645314A2"/>
    <w:rsid w:val="66632315"/>
    <w:rsid w:val="6BF07711"/>
    <w:rsid w:val="6FEC4F07"/>
    <w:rsid w:val="70682126"/>
    <w:rsid w:val="734D6DDC"/>
    <w:rsid w:val="76BB2FD7"/>
    <w:rsid w:val="7EBD2AC8"/>
    <w:rsid w:val="7F256EBB"/>
    <w:rsid w:val="BB7D36C1"/>
    <w:rsid w:val="C3FB878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6"/>
    <w:unhideWhenUsed/>
    <w:qFormat/>
    <w:uiPriority w:val="99"/>
    <w:pPr>
      <w:spacing w:after="120"/>
      <w:ind w:left="420" w:leftChars="200"/>
    </w:pPr>
  </w:style>
  <w:style w:type="paragraph" w:styleId="3">
    <w:name w:val="annotation text"/>
    <w:basedOn w:val="1"/>
    <w:link w:val="21"/>
    <w:unhideWhenUsed/>
    <w:qFormat/>
    <w:uiPriority w:val="99"/>
    <w:pPr>
      <w:jc w:val="left"/>
    </w:pPr>
  </w:style>
  <w:style w:type="paragraph" w:styleId="4">
    <w:name w:val="Plain Text"/>
    <w:basedOn w:val="1"/>
    <w:link w:val="17"/>
    <w:qFormat/>
    <w:uiPriority w:val="0"/>
    <w:rPr>
      <w:rFonts w:ascii="宋体" w:hAnsi="Courier New" w:eastAsia="等线" w:cs="黑体"/>
      <w:szCs w:val="22"/>
    </w:rPr>
  </w:style>
  <w:style w:type="paragraph" w:styleId="5">
    <w:name w:val="Balloon Text"/>
    <w:basedOn w:val="1"/>
    <w:link w:val="23"/>
    <w:unhideWhenUsed/>
    <w:qFormat/>
    <w:uiPriority w:val="99"/>
    <w:rPr>
      <w:sz w:val="18"/>
      <w:szCs w:val="18"/>
    </w:rPr>
  </w:style>
  <w:style w:type="paragraph" w:styleId="6">
    <w:name w:val="footer"/>
    <w:basedOn w:val="1"/>
    <w:link w:val="20"/>
    <w:unhideWhenUsed/>
    <w:qFormat/>
    <w:uiPriority w:val="99"/>
    <w:pPr>
      <w:tabs>
        <w:tab w:val="center" w:pos="4153"/>
        <w:tab w:val="right" w:pos="8306"/>
      </w:tabs>
      <w:snapToGrid w:val="0"/>
      <w:jc w:val="left"/>
    </w:pPr>
    <w:rPr>
      <w:sz w:val="18"/>
      <w:szCs w:val="18"/>
    </w:rPr>
  </w:style>
  <w:style w:type="paragraph" w:styleId="7">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spacing w:beforeAutospacing="1" w:afterAutospacing="1"/>
      <w:jc w:val="left"/>
    </w:pPr>
    <w:rPr>
      <w:kern w:val="0"/>
      <w:sz w:val="24"/>
    </w:rPr>
  </w:style>
  <w:style w:type="paragraph" w:styleId="9">
    <w:name w:val="annotation subject"/>
    <w:basedOn w:val="3"/>
    <w:next w:val="3"/>
    <w:link w:val="22"/>
    <w:unhideWhenUsed/>
    <w:qFormat/>
    <w:uiPriority w:val="99"/>
    <w:rPr>
      <w:b/>
      <w:bCs/>
    </w:rPr>
  </w:style>
  <w:style w:type="character" w:styleId="12">
    <w:name w:val="page number"/>
    <w:basedOn w:val="11"/>
    <w:qFormat/>
    <w:uiPriority w:val="0"/>
  </w:style>
  <w:style w:type="character" w:styleId="13">
    <w:name w:val="annotation reference"/>
    <w:basedOn w:val="11"/>
    <w:unhideWhenUsed/>
    <w:qFormat/>
    <w:uiPriority w:val="99"/>
    <w:rPr>
      <w:sz w:val="21"/>
      <w:szCs w:val="21"/>
    </w:rPr>
  </w:style>
  <w:style w:type="paragraph" w:customStyle="1" w:styleId="14">
    <w:name w:val="Table Paragraph"/>
    <w:basedOn w:val="1"/>
    <w:qFormat/>
    <w:uiPriority w:val="1"/>
    <w:pPr>
      <w:autoSpaceDE w:val="0"/>
      <w:autoSpaceDN w:val="0"/>
      <w:jc w:val="left"/>
    </w:pPr>
    <w:rPr>
      <w:rFonts w:ascii="宋体" w:hAnsi="宋体" w:cs="宋体"/>
      <w:kern w:val="0"/>
      <w:sz w:val="22"/>
      <w:szCs w:val="22"/>
      <w:lang w:val="zh-CN" w:bidi="zh-CN"/>
    </w:rPr>
  </w:style>
  <w:style w:type="paragraph" w:customStyle="1" w:styleId="15">
    <w:name w:val="列出段落1"/>
    <w:basedOn w:val="1"/>
    <w:qFormat/>
    <w:uiPriority w:val="99"/>
    <w:pPr>
      <w:ind w:firstLine="420" w:firstLineChars="200"/>
    </w:pPr>
  </w:style>
  <w:style w:type="character" w:customStyle="1" w:styleId="16">
    <w:name w:val="正文文本缩进 字符"/>
    <w:basedOn w:val="11"/>
    <w:link w:val="2"/>
    <w:qFormat/>
    <w:uiPriority w:val="99"/>
    <w:rPr>
      <w:rFonts w:ascii="Times New Roman" w:hAnsi="Times New Roman" w:eastAsia="宋体" w:cs="Times New Roman"/>
      <w:szCs w:val="24"/>
    </w:rPr>
  </w:style>
  <w:style w:type="character" w:customStyle="1" w:styleId="17">
    <w:name w:val="纯文本 字符2"/>
    <w:basedOn w:val="11"/>
    <w:link w:val="4"/>
    <w:qFormat/>
    <w:uiPriority w:val="0"/>
    <w:rPr>
      <w:rFonts w:ascii="宋体" w:hAnsi="Courier New"/>
    </w:rPr>
  </w:style>
  <w:style w:type="character" w:customStyle="1" w:styleId="18">
    <w:name w:val="纯文本 字符1"/>
    <w:basedOn w:val="11"/>
    <w:semiHidden/>
    <w:qFormat/>
    <w:uiPriority w:val="99"/>
    <w:rPr>
      <w:rFonts w:ascii="等线" w:hAnsi="Courier New" w:cs="Courier New"/>
      <w:szCs w:val="24"/>
    </w:rPr>
  </w:style>
  <w:style w:type="character" w:customStyle="1" w:styleId="19">
    <w:name w:val="页眉 字符"/>
    <w:basedOn w:val="11"/>
    <w:link w:val="7"/>
    <w:qFormat/>
    <w:uiPriority w:val="99"/>
    <w:rPr>
      <w:rFonts w:ascii="Times New Roman" w:hAnsi="Times New Roman" w:eastAsia="宋体" w:cs="Times New Roman"/>
      <w:kern w:val="2"/>
      <w:sz w:val="18"/>
      <w:szCs w:val="18"/>
    </w:rPr>
  </w:style>
  <w:style w:type="character" w:customStyle="1" w:styleId="20">
    <w:name w:val="页脚 字符"/>
    <w:basedOn w:val="11"/>
    <w:link w:val="6"/>
    <w:qFormat/>
    <w:uiPriority w:val="99"/>
    <w:rPr>
      <w:rFonts w:ascii="Times New Roman" w:hAnsi="Times New Roman" w:eastAsia="宋体" w:cs="Times New Roman"/>
      <w:kern w:val="2"/>
      <w:sz w:val="18"/>
      <w:szCs w:val="18"/>
    </w:rPr>
  </w:style>
  <w:style w:type="character" w:customStyle="1" w:styleId="21">
    <w:name w:val="批注文字 字符"/>
    <w:basedOn w:val="11"/>
    <w:link w:val="3"/>
    <w:semiHidden/>
    <w:qFormat/>
    <w:uiPriority w:val="99"/>
    <w:rPr>
      <w:rFonts w:ascii="Times New Roman" w:hAnsi="Times New Roman" w:eastAsia="宋体" w:cs="Times New Roman"/>
      <w:kern w:val="2"/>
      <w:sz w:val="21"/>
      <w:szCs w:val="24"/>
    </w:rPr>
  </w:style>
  <w:style w:type="character" w:customStyle="1" w:styleId="22">
    <w:name w:val="批注主题 字符"/>
    <w:basedOn w:val="21"/>
    <w:link w:val="9"/>
    <w:semiHidden/>
    <w:qFormat/>
    <w:uiPriority w:val="99"/>
    <w:rPr>
      <w:rFonts w:ascii="Times New Roman" w:hAnsi="Times New Roman" w:eastAsia="宋体" w:cs="Times New Roman"/>
      <w:b/>
      <w:bCs/>
      <w:kern w:val="2"/>
      <w:sz w:val="21"/>
      <w:szCs w:val="24"/>
    </w:rPr>
  </w:style>
  <w:style w:type="character" w:customStyle="1" w:styleId="23">
    <w:name w:val="批注框文本 字符"/>
    <w:basedOn w:val="11"/>
    <w:link w:val="5"/>
    <w:qFormat/>
    <w:uiPriority w:val="99"/>
    <w:rPr>
      <w:kern w:val="2"/>
      <w:sz w:val="18"/>
      <w:szCs w:val="18"/>
    </w:rPr>
  </w:style>
  <w:style w:type="character" w:customStyle="1" w:styleId="24">
    <w:name w:val="纯文本 字符"/>
    <w:qFormat/>
    <w:uiPriority w:val="0"/>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816</Words>
  <Characters>870</Characters>
  <Lines>11</Lines>
  <Paragraphs>3</Paragraphs>
  <TotalTime>0</TotalTime>
  <ScaleCrop>false</ScaleCrop>
  <LinksUpToDate>false</LinksUpToDate>
  <CharactersWithSpaces>878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2022-06-19T16:36:00Z</dcterms:created>
  <dc:creator>范 文佳</dc:creator>
  <cp:lastModifiedBy>方丽lily</cp:lastModifiedBy>
  <dcterms:modified xsi:type="dcterms:W3CDTF">2025-02-13T08:54:02Z</dcterms:modified>
  <dc:title>2022年杭州市流通领域（网络）“灯具〞产品</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73EFD3F072D24CF9A6B3F8203B3F51D6</vt:lpwstr>
  </property>
  <property fmtid="{D5CDD505-2E9C-101B-9397-08002B2CF9AE}" pid="4" name="KSOTemplateDocerSaveRecord">
    <vt:lpwstr>eyJoZGlkIjoiMGI4YTY2NzNjYzhhMDBjYjhiZDFjNDRhZjk5ZjcyM2MiLCJ1c2VySWQiOiIzODAzNzc3MjUifQ==</vt:lpwstr>
  </property>
</Properties>
</file>