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D4F3B">
      <w:pPr>
        <w:widowControl/>
        <w:jc w:val="center"/>
        <w:rPr>
          <w:rFonts w:ascii="方正小标宋_GBK" w:hAnsi="黑体" w:eastAsia="方正小标宋_GBK" w:cs="方正仿宋简体"/>
          <w:b/>
          <w:bCs/>
          <w:color w:val="000000"/>
          <w:sz w:val="36"/>
          <w:szCs w:val="36"/>
        </w:rPr>
      </w:pPr>
      <w:r>
        <w:rPr>
          <w:rFonts w:hint="eastAsia" w:ascii="方正小标宋_GBK" w:hAnsi="黑体" w:eastAsia="方正小标宋_GBK" w:cs="方正仿宋简体"/>
          <w:b/>
          <w:bCs/>
          <w:color w:val="000000"/>
          <w:sz w:val="36"/>
          <w:szCs w:val="36"/>
        </w:rPr>
        <w:t xml:space="preserve"> 202</w:t>
      </w:r>
      <w:r>
        <w:rPr>
          <w:rFonts w:ascii="方正小标宋_GBK" w:hAnsi="黑体" w:eastAsia="方正小标宋_GBK" w:cs="方正仿宋简体"/>
          <w:b/>
          <w:bCs/>
          <w:color w:val="000000"/>
          <w:sz w:val="36"/>
          <w:szCs w:val="36"/>
        </w:rPr>
        <w:t>5</w:t>
      </w:r>
      <w:r>
        <w:rPr>
          <w:rFonts w:hint="eastAsia" w:ascii="方正小标宋_GBK" w:hAnsi="黑体" w:eastAsia="方正小标宋_GBK" w:cs="方正仿宋简体"/>
          <w:b/>
          <w:bCs/>
          <w:color w:val="000000"/>
          <w:sz w:val="36"/>
          <w:szCs w:val="36"/>
        </w:rPr>
        <w:t>年杭州市流通领域（网络）“女士内衣</w:t>
      </w:r>
      <w:bookmarkStart w:id="3" w:name="_GoBack"/>
      <w:bookmarkEnd w:id="3"/>
      <w:r>
        <w:rPr>
          <w:rFonts w:hint="eastAsia" w:ascii="方正小标宋_GBK" w:hAnsi="黑体" w:eastAsia="方正小标宋_GBK" w:cs="方正仿宋简体"/>
          <w:b/>
          <w:bCs/>
          <w:color w:val="000000"/>
          <w:sz w:val="36"/>
          <w:szCs w:val="36"/>
          <w:lang w:eastAsia="zh-CN"/>
        </w:rPr>
        <w:t>”</w:t>
      </w:r>
      <w:r>
        <w:rPr>
          <w:rFonts w:hint="eastAsia" w:ascii="方正小标宋_GBK" w:hAnsi="黑体" w:eastAsia="方正小标宋_GBK" w:cs="方正仿宋简体"/>
          <w:b/>
          <w:bCs/>
          <w:color w:val="000000"/>
          <w:sz w:val="36"/>
          <w:szCs w:val="36"/>
        </w:rPr>
        <w:t>产品</w:t>
      </w:r>
    </w:p>
    <w:p w14:paraId="72E5EEBB">
      <w:pPr>
        <w:widowControl/>
        <w:jc w:val="center"/>
        <w:rPr>
          <w:rFonts w:ascii="方正小标宋_GBK" w:hAnsi="黑体" w:eastAsia="方正小标宋_GBK" w:cs="方正仿宋简体"/>
          <w:b/>
          <w:bCs/>
          <w:color w:val="000000"/>
          <w:sz w:val="36"/>
          <w:szCs w:val="36"/>
        </w:rPr>
      </w:pPr>
      <w:r>
        <w:rPr>
          <w:rFonts w:hint="eastAsia" w:ascii="方正小标宋_GBK" w:hAnsi="黑体" w:eastAsia="方正小标宋_GBK" w:cs="方正仿宋简体"/>
          <w:b/>
          <w:bCs/>
          <w:color w:val="000000"/>
          <w:sz w:val="36"/>
          <w:szCs w:val="36"/>
        </w:rPr>
        <w:t>质量监督抽查实施细则</w:t>
      </w:r>
    </w:p>
    <w:p w14:paraId="1A0C54C3">
      <w:pPr>
        <w:pStyle w:val="2"/>
        <w:jc w:val="center"/>
        <w:rPr>
          <w:rFonts w:ascii="黑体" w:hAnsi="黑体" w:eastAsia="黑体"/>
          <w:b/>
          <w:bCs/>
          <w:color w:val="000000"/>
          <w:sz w:val="32"/>
          <w:szCs w:val="32"/>
        </w:rPr>
      </w:pPr>
    </w:p>
    <w:p w14:paraId="325053E1">
      <w:pPr>
        <w:adjustRightInd w:val="0"/>
        <w:snapToGrid w:val="0"/>
        <w:spacing w:line="360" w:lineRule="auto"/>
        <w:ind w:firstLine="482" w:firstLineChars="200"/>
        <w:jc w:val="left"/>
        <w:rPr>
          <w:rFonts w:ascii="黑体" w:hAnsi="黑体" w:eastAsia="黑体"/>
          <w:b/>
          <w:bCs/>
          <w:color w:val="000000"/>
          <w:sz w:val="24"/>
        </w:rPr>
      </w:pPr>
      <w:r>
        <w:rPr>
          <w:rFonts w:hint="eastAsia" w:ascii="黑体" w:hAnsi="黑体" w:eastAsia="黑体"/>
          <w:b/>
          <w:bCs/>
          <w:color w:val="000000"/>
          <w:sz w:val="24"/>
        </w:rPr>
        <w:t>一、</w:t>
      </w:r>
      <w:r>
        <w:rPr>
          <w:rFonts w:ascii="黑体" w:hAnsi="黑体" w:eastAsia="黑体"/>
          <w:b/>
          <w:bCs/>
          <w:color w:val="000000"/>
          <w:sz w:val="24"/>
        </w:rPr>
        <w:t>抽样方法</w:t>
      </w:r>
    </w:p>
    <w:p w14:paraId="6EEF12E0">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以随机抽样的方式在被抽样生产者、销售者的待销产品中抽取。</w:t>
      </w:r>
    </w:p>
    <w:p w14:paraId="48211406">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抽样基数满足抽样数量即可。</w:t>
      </w:r>
    </w:p>
    <w:p w14:paraId="2BD30530">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文胸每批次抽取8件，其中6件为检样，另2件为备样，针织塑身内衣（调整型）、腹带产品抽取4件，其中3件为检样，另1件为备样，其余产品抽取2件，其中1件为检样，另1件为备样。</w:t>
      </w:r>
    </w:p>
    <w:p w14:paraId="77160042">
      <w:pPr>
        <w:adjustRightInd w:val="0"/>
        <w:snapToGrid w:val="0"/>
        <w:spacing w:line="360" w:lineRule="auto"/>
        <w:ind w:firstLine="482" w:firstLineChars="200"/>
        <w:jc w:val="left"/>
        <w:rPr>
          <w:rFonts w:ascii="黑体" w:hAnsi="黑体" w:eastAsia="黑体"/>
          <w:b/>
          <w:bCs/>
          <w:color w:val="000000"/>
          <w:sz w:val="24"/>
        </w:rPr>
      </w:pPr>
    </w:p>
    <w:p w14:paraId="22107829">
      <w:pPr>
        <w:adjustRightInd w:val="0"/>
        <w:snapToGrid w:val="0"/>
        <w:spacing w:line="360" w:lineRule="auto"/>
        <w:ind w:firstLine="482" w:firstLineChars="200"/>
        <w:jc w:val="left"/>
        <w:rPr>
          <w:rFonts w:ascii="黑体" w:hAnsi="黑体" w:eastAsia="黑体"/>
          <w:b/>
          <w:bCs/>
          <w:color w:val="000000"/>
          <w:sz w:val="24"/>
        </w:rPr>
      </w:pPr>
      <w:r>
        <w:rPr>
          <w:rFonts w:hint="eastAsia" w:ascii="黑体" w:hAnsi="黑体" w:eastAsia="黑体"/>
          <w:b/>
          <w:bCs/>
          <w:color w:val="000000"/>
          <w:sz w:val="24"/>
        </w:rPr>
        <w:t>二、</w:t>
      </w:r>
      <w:r>
        <w:rPr>
          <w:rFonts w:ascii="黑体" w:hAnsi="黑体" w:eastAsia="黑体"/>
          <w:b/>
          <w:bCs/>
          <w:color w:val="000000"/>
          <w:sz w:val="24"/>
        </w:rPr>
        <w:t>检验依据</w:t>
      </w:r>
    </w:p>
    <w:tbl>
      <w:tblPr>
        <w:tblStyle w:val="10"/>
        <w:tblW w:w="83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3982"/>
        <w:gridCol w:w="3548"/>
      </w:tblGrid>
      <w:tr w14:paraId="6E5AE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jc w:val="center"/>
        </w:trPr>
        <w:tc>
          <w:tcPr>
            <w:tcW w:w="814" w:type="dxa"/>
            <w:vAlign w:val="center"/>
          </w:tcPr>
          <w:p w14:paraId="79E15B82">
            <w:pPr>
              <w:adjustRightInd w:val="0"/>
              <w:snapToGrid w:val="0"/>
              <w:spacing w:line="300" w:lineRule="exact"/>
              <w:jc w:val="center"/>
              <w:rPr>
                <w:rFonts w:ascii="仿宋" w:hAnsi="仿宋" w:eastAsia="仿宋"/>
                <w:bCs/>
                <w:color w:val="000000"/>
                <w:sz w:val="24"/>
              </w:rPr>
            </w:pPr>
            <w:r>
              <w:rPr>
                <w:rFonts w:ascii="仿宋" w:hAnsi="仿宋" w:eastAsia="仿宋"/>
                <w:bCs/>
                <w:color w:val="000000"/>
                <w:sz w:val="24"/>
              </w:rPr>
              <w:t>序号</w:t>
            </w:r>
          </w:p>
        </w:tc>
        <w:tc>
          <w:tcPr>
            <w:tcW w:w="3982" w:type="dxa"/>
            <w:vAlign w:val="center"/>
          </w:tcPr>
          <w:p w14:paraId="4F824285">
            <w:pPr>
              <w:adjustRightInd w:val="0"/>
              <w:snapToGrid w:val="0"/>
              <w:spacing w:line="300" w:lineRule="exact"/>
              <w:jc w:val="center"/>
              <w:rPr>
                <w:rFonts w:ascii="仿宋" w:hAnsi="仿宋" w:eastAsia="仿宋"/>
                <w:bCs/>
                <w:color w:val="000000"/>
                <w:sz w:val="24"/>
              </w:rPr>
            </w:pPr>
            <w:r>
              <w:rPr>
                <w:rFonts w:ascii="仿宋" w:hAnsi="仿宋" w:eastAsia="仿宋"/>
                <w:bCs/>
                <w:color w:val="000000"/>
                <w:sz w:val="24"/>
              </w:rPr>
              <w:t>检验项目</w:t>
            </w:r>
          </w:p>
        </w:tc>
        <w:tc>
          <w:tcPr>
            <w:tcW w:w="3548" w:type="dxa"/>
            <w:vAlign w:val="center"/>
          </w:tcPr>
          <w:p w14:paraId="20FAA800">
            <w:pPr>
              <w:adjustRightInd w:val="0"/>
              <w:snapToGrid w:val="0"/>
              <w:spacing w:line="300" w:lineRule="exact"/>
              <w:jc w:val="center"/>
              <w:rPr>
                <w:rFonts w:ascii="仿宋" w:hAnsi="仿宋" w:eastAsia="仿宋"/>
                <w:bCs/>
                <w:color w:val="000000"/>
                <w:sz w:val="24"/>
              </w:rPr>
            </w:pPr>
            <w:r>
              <w:rPr>
                <w:rFonts w:ascii="仿宋" w:hAnsi="仿宋" w:eastAsia="仿宋"/>
                <w:bCs/>
                <w:color w:val="000000"/>
                <w:sz w:val="24"/>
              </w:rPr>
              <w:t>检测方法</w:t>
            </w:r>
          </w:p>
        </w:tc>
      </w:tr>
      <w:tr w14:paraId="650CD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03AE45E9">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1</w:t>
            </w:r>
          </w:p>
        </w:tc>
        <w:tc>
          <w:tcPr>
            <w:tcW w:w="3982" w:type="dxa"/>
            <w:vAlign w:val="center"/>
          </w:tcPr>
          <w:p w14:paraId="3446C015">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甲醛含量</w:t>
            </w:r>
          </w:p>
        </w:tc>
        <w:tc>
          <w:tcPr>
            <w:tcW w:w="3548" w:type="dxa"/>
            <w:vAlign w:val="center"/>
          </w:tcPr>
          <w:p w14:paraId="433FE9B4">
            <w:pPr>
              <w:jc w:val="center"/>
              <w:rPr>
                <w:rFonts w:ascii="仿宋" w:hAnsi="仿宋" w:eastAsia="仿宋"/>
                <w:color w:val="000000"/>
                <w:sz w:val="24"/>
              </w:rPr>
            </w:pPr>
            <w:r>
              <w:rPr>
                <w:rFonts w:ascii="仿宋" w:hAnsi="仿宋" w:eastAsia="仿宋"/>
                <w:color w:val="000000"/>
                <w:sz w:val="24"/>
              </w:rPr>
              <w:t>GB/T 2912.1-2009</w:t>
            </w:r>
          </w:p>
        </w:tc>
      </w:tr>
      <w:tr w14:paraId="31632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1DF0E062">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2</w:t>
            </w:r>
          </w:p>
        </w:tc>
        <w:tc>
          <w:tcPr>
            <w:tcW w:w="3982" w:type="dxa"/>
            <w:vAlign w:val="center"/>
          </w:tcPr>
          <w:p w14:paraId="09ACC120">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pH值</w:t>
            </w:r>
          </w:p>
        </w:tc>
        <w:tc>
          <w:tcPr>
            <w:tcW w:w="3548" w:type="dxa"/>
            <w:vAlign w:val="center"/>
          </w:tcPr>
          <w:p w14:paraId="3224F8A6">
            <w:pPr>
              <w:jc w:val="center"/>
              <w:rPr>
                <w:rFonts w:ascii="仿宋" w:hAnsi="仿宋" w:eastAsia="仿宋"/>
                <w:color w:val="000000"/>
                <w:sz w:val="24"/>
              </w:rPr>
            </w:pPr>
            <w:r>
              <w:rPr>
                <w:rFonts w:ascii="仿宋" w:hAnsi="仿宋" w:eastAsia="仿宋"/>
                <w:color w:val="000000"/>
                <w:sz w:val="24"/>
              </w:rPr>
              <w:t>GB/T 7573-2009</w:t>
            </w:r>
          </w:p>
        </w:tc>
      </w:tr>
      <w:tr w14:paraId="24D4D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11A0651D">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3</w:t>
            </w:r>
          </w:p>
        </w:tc>
        <w:tc>
          <w:tcPr>
            <w:tcW w:w="3982" w:type="dxa"/>
            <w:vAlign w:val="center"/>
          </w:tcPr>
          <w:p w14:paraId="1B3FA339">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可分解致癌芳香胺染料</w:t>
            </w:r>
          </w:p>
        </w:tc>
        <w:tc>
          <w:tcPr>
            <w:tcW w:w="3548" w:type="dxa"/>
            <w:vAlign w:val="center"/>
          </w:tcPr>
          <w:p w14:paraId="43FD0C79">
            <w:pPr>
              <w:adjustRightInd w:val="0"/>
              <w:snapToGrid w:val="0"/>
              <w:jc w:val="center"/>
              <w:rPr>
                <w:rFonts w:ascii="仿宋" w:hAnsi="仿宋" w:eastAsia="仿宋"/>
                <w:color w:val="000000"/>
                <w:sz w:val="24"/>
              </w:rPr>
            </w:pPr>
            <w:r>
              <w:rPr>
                <w:rFonts w:ascii="仿宋" w:hAnsi="仿宋" w:eastAsia="仿宋"/>
                <w:color w:val="000000"/>
                <w:sz w:val="24"/>
              </w:rPr>
              <w:t>GB/T 17592-2011</w:t>
            </w:r>
          </w:p>
          <w:p w14:paraId="7881516E">
            <w:pPr>
              <w:pStyle w:val="4"/>
              <w:adjustRightInd w:val="0"/>
              <w:snapToGrid w:val="0"/>
              <w:jc w:val="center"/>
              <w:rPr>
                <w:rFonts w:ascii="仿宋" w:hAnsi="仿宋" w:eastAsia="仿宋" w:cs="Times New Roman"/>
                <w:color w:val="000000"/>
                <w:sz w:val="24"/>
                <w:szCs w:val="24"/>
              </w:rPr>
            </w:pPr>
            <w:r>
              <w:rPr>
                <w:rFonts w:ascii="仿宋" w:hAnsi="仿宋" w:eastAsia="仿宋" w:cs="Times New Roman"/>
                <w:color w:val="000000"/>
                <w:sz w:val="24"/>
                <w:szCs w:val="24"/>
              </w:rPr>
              <w:t>GB/T 23344-2009</w:t>
            </w:r>
          </w:p>
          <w:p w14:paraId="378417B4">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GB/T 17592-2024</w:t>
            </w:r>
          </w:p>
        </w:tc>
      </w:tr>
      <w:tr w14:paraId="3DAA1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6B314B1F">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4</w:t>
            </w:r>
          </w:p>
        </w:tc>
        <w:tc>
          <w:tcPr>
            <w:tcW w:w="3982" w:type="dxa"/>
            <w:vAlign w:val="center"/>
          </w:tcPr>
          <w:p w14:paraId="316E6FB1">
            <w:pPr>
              <w:adjustRightInd w:val="0"/>
              <w:snapToGrid w:val="0"/>
              <w:jc w:val="center"/>
              <w:rPr>
                <w:rFonts w:ascii="仿宋" w:hAnsi="仿宋" w:eastAsia="仿宋"/>
                <w:color w:val="000000"/>
                <w:sz w:val="24"/>
              </w:rPr>
            </w:pPr>
            <w:r>
              <w:rPr>
                <w:rFonts w:hint="eastAsia" w:ascii="仿宋" w:hAnsi="仿宋" w:eastAsia="仿宋"/>
                <w:color w:val="000000"/>
                <w:sz w:val="24"/>
              </w:rPr>
              <w:t>耐水色牢度</w:t>
            </w:r>
          </w:p>
        </w:tc>
        <w:tc>
          <w:tcPr>
            <w:tcW w:w="3548" w:type="dxa"/>
            <w:vAlign w:val="center"/>
          </w:tcPr>
          <w:p w14:paraId="2D7293BA">
            <w:pPr>
              <w:adjustRightInd w:val="0"/>
              <w:snapToGrid w:val="0"/>
              <w:jc w:val="center"/>
              <w:rPr>
                <w:rFonts w:ascii="仿宋" w:hAnsi="仿宋" w:eastAsia="仿宋"/>
                <w:color w:val="000000"/>
                <w:sz w:val="24"/>
              </w:rPr>
            </w:pPr>
            <w:r>
              <w:rPr>
                <w:rFonts w:ascii="仿宋" w:hAnsi="仿宋" w:eastAsia="仿宋"/>
                <w:color w:val="000000"/>
                <w:sz w:val="24"/>
              </w:rPr>
              <w:t>GB/T 5713-2013</w:t>
            </w:r>
          </w:p>
        </w:tc>
      </w:tr>
      <w:tr w14:paraId="434D3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78994EAE">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5</w:t>
            </w:r>
          </w:p>
        </w:tc>
        <w:tc>
          <w:tcPr>
            <w:tcW w:w="3982" w:type="dxa"/>
            <w:vAlign w:val="center"/>
          </w:tcPr>
          <w:p w14:paraId="0B645827">
            <w:pPr>
              <w:adjustRightInd w:val="0"/>
              <w:snapToGrid w:val="0"/>
              <w:jc w:val="center"/>
              <w:rPr>
                <w:rFonts w:ascii="仿宋" w:hAnsi="仿宋" w:eastAsia="仿宋"/>
                <w:color w:val="000000"/>
                <w:sz w:val="24"/>
              </w:rPr>
            </w:pPr>
            <w:r>
              <w:rPr>
                <w:rFonts w:hint="eastAsia" w:ascii="仿宋" w:hAnsi="仿宋" w:eastAsia="仿宋"/>
                <w:color w:val="000000"/>
                <w:sz w:val="24"/>
              </w:rPr>
              <w:t>耐酸汗渍色牢度</w:t>
            </w:r>
          </w:p>
        </w:tc>
        <w:tc>
          <w:tcPr>
            <w:tcW w:w="3548" w:type="dxa"/>
            <w:vAlign w:val="center"/>
          </w:tcPr>
          <w:p w14:paraId="3CEBA0E4">
            <w:pPr>
              <w:adjustRightInd w:val="0"/>
              <w:snapToGrid w:val="0"/>
              <w:jc w:val="center"/>
              <w:rPr>
                <w:rFonts w:ascii="仿宋" w:hAnsi="仿宋" w:eastAsia="仿宋"/>
                <w:color w:val="000000"/>
                <w:sz w:val="24"/>
              </w:rPr>
            </w:pPr>
            <w:r>
              <w:rPr>
                <w:rFonts w:ascii="仿宋" w:hAnsi="仿宋" w:eastAsia="仿宋"/>
                <w:color w:val="000000"/>
                <w:sz w:val="24"/>
              </w:rPr>
              <w:t>GB/T 3922-2013</w:t>
            </w:r>
          </w:p>
        </w:tc>
      </w:tr>
      <w:tr w14:paraId="217AC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191AC45E">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6</w:t>
            </w:r>
          </w:p>
        </w:tc>
        <w:tc>
          <w:tcPr>
            <w:tcW w:w="3982" w:type="dxa"/>
            <w:vAlign w:val="center"/>
          </w:tcPr>
          <w:p w14:paraId="5ADF4DC2">
            <w:pPr>
              <w:adjustRightInd w:val="0"/>
              <w:snapToGrid w:val="0"/>
              <w:jc w:val="center"/>
              <w:rPr>
                <w:rFonts w:ascii="仿宋" w:hAnsi="仿宋" w:eastAsia="仿宋"/>
                <w:color w:val="000000"/>
                <w:sz w:val="24"/>
              </w:rPr>
            </w:pPr>
            <w:r>
              <w:rPr>
                <w:rFonts w:hint="eastAsia" w:ascii="仿宋" w:hAnsi="仿宋" w:eastAsia="仿宋"/>
                <w:color w:val="000000"/>
                <w:sz w:val="24"/>
              </w:rPr>
              <w:t>耐碱汗渍色牢度</w:t>
            </w:r>
          </w:p>
        </w:tc>
        <w:tc>
          <w:tcPr>
            <w:tcW w:w="3548" w:type="dxa"/>
            <w:vAlign w:val="center"/>
          </w:tcPr>
          <w:p w14:paraId="5FE9FD5F">
            <w:pPr>
              <w:adjustRightInd w:val="0"/>
              <w:snapToGrid w:val="0"/>
              <w:jc w:val="center"/>
              <w:rPr>
                <w:rFonts w:ascii="仿宋" w:hAnsi="仿宋" w:eastAsia="仿宋"/>
                <w:color w:val="000000"/>
                <w:sz w:val="24"/>
              </w:rPr>
            </w:pPr>
            <w:r>
              <w:rPr>
                <w:rFonts w:ascii="仿宋" w:hAnsi="仿宋" w:eastAsia="仿宋"/>
                <w:color w:val="000000"/>
                <w:sz w:val="24"/>
              </w:rPr>
              <w:t>GB/T 3922-2013</w:t>
            </w:r>
          </w:p>
        </w:tc>
      </w:tr>
      <w:tr w14:paraId="520B0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4A48F9FD">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7</w:t>
            </w:r>
          </w:p>
        </w:tc>
        <w:tc>
          <w:tcPr>
            <w:tcW w:w="3982" w:type="dxa"/>
            <w:vAlign w:val="center"/>
          </w:tcPr>
          <w:p w14:paraId="31E5ED82">
            <w:pPr>
              <w:adjustRightInd w:val="0"/>
              <w:snapToGrid w:val="0"/>
              <w:jc w:val="center"/>
              <w:rPr>
                <w:rFonts w:ascii="仿宋" w:hAnsi="仿宋" w:eastAsia="仿宋"/>
                <w:color w:val="000000"/>
                <w:sz w:val="24"/>
              </w:rPr>
            </w:pPr>
            <w:r>
              <w:rPr>
                <w:rFonts w:hint="eastAsia" w:ascii="仿宋" w:hAnsi="仿宋" w:eastAsia="仿宋"/>
                <w:color w:val="000000"/>
                <w:sz w:val="24"/>
              </w:rPr>
              <w:t>耐干摩擦色牢度</w:t>
            </w:r>
          </w:p>
        </w:tc>
        <w:tc>
          <w:tcPr>
            <w:tcW w:w="3548" w:type="dxa"/>
            <w:vAlign w:val="center"/>
          </w:tcPr>
          <w:p w14:paraId="72CC122E">
            <w:pPr>
              <w:adjustRightInd w:val="0"/>
              <w:snapToGrid w:val="0"/>
              <w:jc w:val="center"/>
              <w:rPr>
                <w:rFonts w:ascii="仿宋" w:hAnsi="仿宋" w:eastAsia="仿宋"/>
                <w:color w:val="000000"/>
                <w:sz w:val="24"/>
              </w:rPr>
            </w:pPr>
            <w:r>
              <w:rPr>
                <w:rFonts w:ascii="仿宋" w:hAnsi="仿宋" w:eastAsia="仿宋"/>
                <w:color w:val="000000"/>
                <w:sz w:val="24"/>
              </w:rPr>
              <w:t>GB/T 392</w:t>
            </w:r>
            <w:r>
              <w:rPr>
                <w:rFonts w:hint="eastAsia" w:ascii="仿宋" w:hAnsi="仿宋" w:eastAsia="仿宋"/>
                <w:color w:val="000000"/>
                <w:sz w:val="24"/>
              </w:rPr>
              <w:t>0</w:t>
            </w:r>
            <w:r>
              <w:rPr>
                <w:rFonts w:ascii="仿宋" w:hAnsi="仿宋" w:eastAsia="仿宋"/>
                <w:color w:val="000000"/>
                <w:sz w:val="24"/>
              </w:rPr>
              <w:t>-20</w:t>
            </w:r>
            <w:r>
              <w:rPr>
                <w:rFonts w:hint="eastAsia" w:ascii="仿宋" w:hAnsi="仿宋" w:eastAsia="仿宋"/>
                <w:color w:val="000000"/>
                <w:sz w:val="24"/>
              </w:rPr>
              <w:t>08</w:t>
            </w:r>
          </w:p>
        </w:tc>
      </w:tr>
      <w:tr w14:paraId="77140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731ECE98">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8</w:t>
            </w:r>
          </w:p>
        </w:tc>
        <w:tc>
          <w:tcPr>
            <w:tcW w:w="3982" w:type="dxa"/>
            <w:vAlign w:val="center"/>
          </w:tcPr>
          <w:p w14:paraId="7489849A">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纤维含量</w:t>
            </w:r>
          </w:p>
        </w:tc>
        <w:tc>
          <w:tcPr>
            <w:tcW w:w="3548" w:type="dxa"/>
            <w:vAlign w:val="center"/>
          </w:tcPr>
          <w:p w14:paraId="6E027EE9">
            <w:pPr>
              <w:adjustRightInd w:val="0"/>
              <w:snapToGrid w:val="0"/>
              <w:jc w:val="center"/>
              <w:rPr>
                <w:rFonts w:ascii="仿宋" w:hAnsi="仿宋" w:eastAsia="仿宋"/>
                <w:color w:val="000000"/>
                <w:sz w:val="24"/>
              </w:rPr>
            </w:pPr>
            <w:r>
              <w:rPr>
                <w:rFonts w:hint="eastAsia" w:ascii="仿宋" w:hAnsi="仿宋" w:eastAsia="仿宋"/>
                <w:color w:val="000000"/>
                <w:sz w:val="24"/>
              </w:rPr>
              <w:t>FZ/T 01057（所有部分）</w:t>
            </w:r>
          </w:p>
          <w:p w14:paraId="27168452">
            <w:pPr>
              <w:adjustRightInd w:val="0"/>
              <w:snapToGrid w:val="0"/>
              <w:jc w:val="center"/>
              <w:rPr>
                <w:rFonts w:ascii="仿宋" w:hAnsi="仿宋" w:eastAsia="仿宋"/>
                <w:color w:val="000000"/>
                <w:sz w:val="24"/>
              </w:rPr>
            </w:pPr>
            <w:r>
              <w:rPr>
                <w:rFonts w:hint="eastAsia" w:ascii="仿宋" w:hAnsi="仿宋" w:eastAsia="仿宋"/>
                <w:color w:val="000000"/>
                <w:sz w:val="24"/>
              </w:rPr>
              <w:t>GB/T 2910（所有部分）</w:t>
            </w:r>
          </w:p>
          <w:p w14:paraId="3BFE0B7E">
            <w:pPr>
              <w:adjustRightInd w:val="0"/>
              <w:snapToGrid w:val="0"/>
              <w:jc w:val="center"/>
              <w:rPr>
                <w:rFonts w:ascii="仿宋" w:hAnsi="仿宋" w:eastAsia="仿宋"/>
                <w:color w:val="000000"/>
                <w:sz w:val="24"/>
              </w:rPr>
            </w:pPr>
            <w:r>
              <w:rPr>
                <w:rFonts w:hint="eastAsia" w:ascii="仿宋" w:hAnsi="仿宋" w:eastAsia="仿宋"/>
                <w:color w:val="000000"/>
                <w:sz w:val="24"/>
              </w:rPr>
              <w:t>GB/T 38015-2019</w:t>
            </w:r>
          </w:p>
          <w:p w14:paraId="2D7112AE">
            <w:pPr>
              <w:adjustRightInd w:val="0"/>
              <w:snapToGrid w:val="0"/>
              <w:jc w:val="center"/>
              <w:rPr>
                <w:rFonts w:ascii="仿宋" w:hAnsi="仿宋" w:eastAsia="仿宋"/>
                <w:color w:val="000000"/>
                <w:sz w:val="24"/>
              </w:rPr>
            </w:pPr>
            <w:r>
              <w:rPr>
                <w:rFonts w:hint="eastAsia" w:ascii="仿宋" w:hAnsi="仿宋" w:eastAsia="仿宋"/>
                <w:color w:val="000000"/>
                <w:sz w:val="24"/>
              </w:rPr>
              <w:t>FZ/T 01101-2008</w:t>
            </w:r>
          </w:p>
          <w:p w14:paraId="51679914">
            <w:pPr>
              <w:adjustRightInd w:val="0"/>
              <w:snapToGrid w:val="0"/>
              <w:jc w:val="center"/>
              <w:rPr>
                <w:rFonts w:ascii="仿宋" w:hAnsi="仿宋" w:eastAsia="仿宋"/>
                <w:color w:val="000000"/>
                <w:sz w:val="24"/>
              </w:rPr>
            </w:pPr>
            <w:r>
              <w:rPr>
                <w:rFonts w:hint="eastAsia" w:ascii="仿宋" w:hAnsi="仿宋" w:eastAsia="仿宋"/>
                <w:color w:val="000000"/>
                <w:sz w:val="24"/>
              </w:rPr>
              <w:t>FZ/T 01112-2012等</w:t>
            </w:r>
          </w:p>
        </w:tc>
      </w:tr>
    </w:tbl>
    <w:p w14:paraId="46D0D38E">
      <w:pPr>
        <w:adjustRightInd w:val="0"/>
        <w:snapToGrid w:val="0"/>
        <w:spacing w:before="156" w:beforeLines="50" w:line="360" w:lineRule="auto"/>
        <w:ind w:firstLine="480" w:firstLineChars="200"/>
        <w:jc w:val="left"/>
        <w:rPr>
          <w:rFonts w:ascii="仿宋" w:hAnsi="仿宋" w:eastAsia="仿宋"/>
          <w:color w:val="000000"/>
          <w:sz w:val="24"/>
        </w:rPr>
      </w:pPr>
      <w:r>
        <w:rPr>
          <w:rFonts w:hint="eastAsia" w:ascii="仿宋" w:hAnsi="仿宋" w:eastAsia="仿宋"/>
          <w:color w:val="000000"/>
          <w:sz w:val="24"/>
        </w:rPr>
        <w:t>执行企业标准、团体标准、地方标准的产品，检验项目参照上述内容执行。</w:t>
      </w:r>
    </w:p>
    <w:p w14:paraId="512BECB9">
      <w:pPr>
        <w:adjustRightInd w:val="0"/>
        <w:snapToGrid w:val="0"/>
        <w:spacing w:line="360" w:lineRule="auto"/>
        <w:ind w:firstLine="480" w:firstLineChars="200"/>
        <w:jc w:val="left"/>
        <w:rPr>
          <w:color w:val="000000"/>
        </w:rPr>
      </w:pPr>
      <w:r>
        <w:rPr>
          <w:rFonts w:ascii="仿宋" w:hAnsi="仿宋" w:eastAsia="仿宋"/>
          <w:color w:val="000000"/>
          <w:sz w:val="24"/>
        </w:rPr>
        <w:t>凡是注日期的文件，其随后所有的修改单（不包括勘误的内容）或修订版不适用于本细则。凡是不注日期的文件，其最新版本适用于本细则。</w:t>
      </w:r>
    </w:p>
    <w:p w14:paraId="2BA67684">
      <w:pPr>
        <w:adjustRightInd w:val="0"/>
        <w:snapToGrid w:val="0"/>
        <w:spacing w:line="360" w:lineRule="auto"/>
        <w:ind w:firstLine="482" w:firstLineChars="200"/>
        <w:jc w:val="left"/>
        <w:rPr>
          <w:rFonts w:ascii="黑体" w:hAnsi="黑体" w:eastAsia="黑体"/>
          <w:b/>
          <w:bCs/>
          <w:color w:val="000000"/>
          <w:sz w:val="24"/>
        </w:rPr>
      </w:pPr>
    </w:p>
    <w:p w14:paraId="3B19965D">
      <w:pPr>
        <w:adjustRightInd w:val="0"/>
        <w:snapToGrid w:val="0"/>
        <w:spacing w:line="360" w:lineRule="auto"/>
        <w:ind w:firstLine="482" w:firstLineChars="200"/>
        <w:jc w:val="left"/>
        <w:rPr>
          <w:rFonts w:ascii="黑体" w:hAnsi="黑体" w:eastAsia="黑体"/>
          <w:b/>
          <w:bCs/>
          <w:color w:val="000000"/>
          <w:sz w:val="24"/>
        </w:rPr>
      </w:pPr>
      <w:r>
        <w:rPr>
          <w:rFonts w:hint="eastAsia" w:ascii="黑体" w:hAnsi="黑体" w:eastAsia="黑体"/>
          <w:b/>
          <w:bCs/>
          <w:color w:val="000000"/>
          <w:sz w:val="24"/>
        </w:rPr>
        <w:t>三、</w:t>
      </w:r>
      <w:r>
        <w:rPr>
          <w:rFonts w:ascii="黑体" w:hAnsi="黑体" w:eastAsia="黑体"/>
          <w:b/>
          <w:bCs/>
          <w:color w:val="000000"/>
          <w:sz w:val="24"/>
        </w:rPr>
        <w:t>判定规则</w:t>
      </w:r>
    </w:p>
    <w:p w14:paraId="64FD39DF">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3.1依据标准</w:t>
      </w:r>
    </w:p>
    <w:p w14:paraId="06230767">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GB 18401-2010       国家纺织产品基本安全技术规范</w:t>
      </w:r>
    </w:p>
    <w:p w14:paraId="2B945F93">
      <w:pPr>
        <w:pStyle w:val="4"/>
        <w:tabs>
          <w:tab w:val="left" w:pos="6615"/>
        </w:tabs>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GB/T 29862-2013     纺织品 纤维含量的标识</w:t>
      </w:r>
    </w:p>
    <w:p w14:paraId="5FB068EA">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GB/T 5296.4-2012    消费品使用说明 第4部分：纺织品和服装</w:t>
      </w:r>
    </w:p>
    <w:p w14:paraId="5ADDDEEF">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73011-2013     针织腹带</w:t>
      </w:r>
    </w:p>
    <w:p w14:paraId="72C95315">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73012-2017     文胸</w:t>
      </w:r>
    </w:p>
    <w:p w14:paraId="4C15CCCE">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73019.1-2017   针织塑身内衣  弹力型</w:t>
      </w:r>
    </w:p>
    <w:p w14:paraId="7238B4A1">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73019.2-2020   针织塑身内衣 调整型</w:t>
      </w:r>
    </w:p>
    <w:p w14:paraId="417FF611">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73046-2020     一体成型文胸</w:t>
      </w:r>
    </w:p>
    <w:p w14:paraId="7A3BE04E">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74002-2014     运动文胸</w:t>
      </w:r>
    </w:p>
    <w:p w14:paraId="5F491C7E">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81020-2014     机织文胸</w:t>
      </w:r>
    </w:p>
    <w:p w14:paraId="305BCB18">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 xml:space="preserve">GB/T 8878-2023 </w:t>
      </w:r>
      <w:r>
        <w:rPr>
          <w:rFonts w:ascii="仿宋" w:hAnsi="仿宋" w:eastAsia="仿宋" w:cs="Times New Roman"/>
          <w:color w:val="000000"/>
          <w:sz w:val="24"/>
          <w:szCs w:val="24"/>
        </w:rPr>
        <w:t xml:space="preserve">     </w:t>
      </w:r>
      <w:r>
        <w:rPr>
          <w:rFonts w:hint="eastAsia" w:ascii="仿宋" w:hAnsi="仿宋" w:eastAsia="仿宋" w:cs="Times New Roman"/>
          <w:color w:val="000000"/>
          <w:sz w:val="24"/>
          <w:szCs w:val="24"/>
        </w:rPr>
        <w:t xml:space="preserve">针织内衣 </w:t>
      </w:r>
    </w:p>
    <w:p w14:paraId="4D948B27">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GB/T 8878-2014      棉针织内衣</w:t>
      </w:r>
    </w:p>
    <w:p w14:paraId="3F36E40B">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相关的法律、行政法规、部门规章、规范性文件</w:t>
      </w:r>
    </w:p>
    <w:p w14:paraId="2A71949A">
      <w:pPr>
        <w:pStyle w:val="4"/>
        <w:tabs>
          <w:tab w:val="left" w:pos="6615"/>
        </w:tabs>
        <w:adjustRightInd w:val="0"/>
        <w:snapToGrid w:val="0"/>
        <w:spacing w:line="360" w:lineRule="auto"/>
        <w:ind w:firstLine="480" w:firstLineChars="200"/>
        <w:rPr>
          <w:rFonts w:ascii="仿宋" w:hAnsi="仿宋" w:eastAsia="仿宋"/>
          <w:color w:val="000000"/>
          <w:sz w:val="24"/>
          <w:szCs w:val="24"/>
        </w:rPr>
      </w:pPr>
      <w:r>
        <w:rPr>
          <w:rFonts w:hint="eastAsia" w:ascii="仿宋" w:hAnsi="仿宋" w:eastAsia="仿宋" w:cs="Times New Roman"/>
          <w:color w:val="000000"/>
          <w:sz w:val="24"/>
          <w:szCs w:val="24"/>
        </w:rPr>
        <w:t>现行有效的企业标准、团体标准、地方标准及产品明示质量要求</w:t>
      </w:r>
    </w:p>
    <w:p w14:paraId="5D5281F6">
      <w:pPr>
        <w:adjustRightInd w:val="0"/>
        <w:snapToGrid w:val="0"/>
        <w:spacing w:line="360" w:lineRule="auto"/>
        <w:ind w:firstLine="480" w:firstLineChars="200"/>
        <w:jc w:val="left"/>
        <w:rPr>
          <w:rFonts w:ascii="仿宋" w:hAnsi="仿宋" w:eastAsia="仿宋"/>
          <w:color w:val="000000"/>
          <w:sz w:val="24"/>
        </w:rPr>
      </w:pPr>
      <w:bookmarkStart w:id="0" w:name="_Hlk82093647"/>
      <w:r>
        <w:rPr>
          <w:rFonts w:ascii="仿宋" w:hAnsi="仿宋" w:eastAsia="仿宋"/>
          <w:color w:val="000000"/>
          <w:sz w:val="24"/>
        </w:rPr>
        <w:t>3.2判定原则</w:t>
      </w:r>
    </w:p>
    <w:p w14:paraId="1ED97036">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若被检产品明示的质量要求高于本细则中检验项目依据的标准要求时，应按被检产品明示的质量要求判定。</w:t>
      </w:r>
    </w:p>
    <w:p w14:paraId="5592BA7B">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若被检产品明示的质量要求低于本细则中检验项目依据的强制性标准要求时，应按照强制性标准要求判定。</w:t>
      </w:r>
    </w:p>
    <w:p w14:paraId="5D893E2A">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若被检产品明示的质量要求低于或包含本细则中检验项目依据的推荐性标准要求时，应以被检产品明示的质量要求判定。</w:t>
      </w:r>
    </w:p>
    <w:p w14:paraId="34E17417">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若被检产品明示的质量要求缺少本细则中检验项目依据的强制性标准要求时，应按照强制性标准要求判定。</w:t>
      </w:r>
    </w:p>
    <w:p w14:paraId="17D71BA8">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若被检产品明示的质量要求缺少本细则中检验项目依据的推荐性标准要求时，该项目不参与判定。</w:t>
      </w:r>
    </w:p>
    <w:bookmarkEnd w:id="0"/>
    <w:p w14:paraId="4F1409D5">
      <w:pPr>
        <w:adjustRightInd w:val="0"/>
        <w:snapToGrid w:val="0"/>
        <w:spacing w:line="360" w:lineRule="auto"/>
        <w:ind w:firstLine="480" w:firstLineChars="200"/>
        <w:jc w:val="left"/>
        <w:rPr>
          <w:rFonts w:ascii="仿宋" w:hAnsi="仿宋" w:eastAsia="仿宋"/>
          <w:sz w:val="24"/>
        </w:rPr>
      </w:pPr>
      <w:bookmarkStart w:id="1" w:name="_Hlk82163412"/>
      <w:r>
        <w:rPr>
          <w:rFonts w:hint="eastAsia" w:ascii="仿宋" w:hAnsi="仿宋" w:eastAsia="仿宋"/>
          <w:sz w:val="24"/>
        </w:rPr>
        <w:t>3.3</w:t>
      </w:r>
      <w:bookmarkEnd w:id="1"/>
      <w:bookmarkStart w:id="2" w:name="_Hlk82164659"/>
      <w:r>
        <w:rPr>
          <w:rFonts w:hint="eastAsia" w:ascii="仿宋" w:hAnsi="仿宋" w:eastAsia="仿宋"/>
          <w:sz w:val="24"/>
        </w:rPr>
        <w:t>判定结论</w:t>
      </w:r>
    </w:p>
    <w:bookmarkEnd w:id="2"/>
    <w:p w14:paraId="6C06F7A7">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①产品符合执行标准要求，且推荐性项目的检验结果符合国家、行业、地方标准中推荐性条款要求的，检验结论为“经检验，所检项目检验结果符合本次监督抽查要求。”；</w:t>
      </w:r>
    </w:p>
    <w:p w14:paraId="2693BF58">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②产品不符合执行标准要求的，检验结论为“经检验，</w:t>
      </w:r>
      <w:r>
        <w:rPr>
          <w:rFonts w:ascii="仿宋" w:hAnsi="仿宋" w:eastAsia="仿宋"/>
          <w:sz w:val="24"/>
        </w:rPr>
        <w:t>***</w:t>
      </w:r>
      <w:r>
        <w:rPr>
          <w:rFonts w:hint="eastAsia" w:ascii="仿宋" w:hAnsi="仿宋" w:eastAsia="仿宋"/>
          <w:sz w:val="24"/>
        </w:rPr>
        <w:t>项目检验结果不符合本次监督抽查要求中的</w:t>
      </w:r>
      <w:r>
        <w:rPr>
          <w:rFonts w:ascii="仿宋" w:hAnsi="仿宋" w:eastAsia="仿宋"/>
          <w:sz w:val="24"/>
        </w:rPr>
        <w:t>***</w:t>
      </w:r>
      <w:r>
        <w:rPr>
          <w:rFonts w:hint="eastAsia" w:ascii="仿宋" w:hAnsi="仿宋" w:eastAsia="仿宋"/>
          <w:sz w:val="24"/>
        </w:rPr>
        <w:t>标准要求，判定为不合格。”；</w:t>
      </w:r>
      <w:r>
        <w:rPr>
          <w:rFonts w:ascii="仿宋" w:hAnsi="仿宋" w:eastAsia="仿宋"/>
          <w:sz w:val="24"/>
        </w:rPr>
        <w:t xml:space="preserve"> </w:t>
      </w:r>
    </w:p>
    <w:p w14:paraId="5E2885F3">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sz w:val="24"/>
        </w:rPr>
        <w:t>③产品符合企业标准要求，但推荐性项目的检验结果出现一个或一个以上低于国家、行业、地方标准中推荐性条款要求的，检验结论为“经检验，**项目检验结果符合企业标准要求，不符合国家、行业、地方标准要求”。</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auto"/>
    <w:pitch w:val="default"/>
    <w:sig w:usb0="00000001" w:usb1="080E0000" w:usb2="00000000" w:usb3="00000000" w:csb0="00040000" w:csb1="00000000"/>
  </w:font>
  <w:font w:name="方正仿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2C8"/>
    <w:rsid w:val="00036D3E"/>
    <w:rsid w:val="00053360"/>
    <w:rsid w:val="00064AFF"/>
    <w:rsid w:val="000A2F5B"/>
    <w:rsid w:val="001345AD"/>
    <w:rsid w:val="00137418"/>
    <w:rsid w:val="00152F72"/>
    <w:rsid w:val="00155DE2"/>
    <w:rsid w:val="00165EE4"/>
    <w:rsid w:val="001B33B2"/>
    <w:rsid w:val="001D01B1"/>
    <w:rsid w:val="001D3D0F"/>
    <w:rsid w:val="001F1D3B"/>
    <w:rsid w:val="002018DF"/>
    <w:rsid w:val="002170A4"/>
    <w:rsid w:val="00282337"/>
    <w:rsid w:val="002C1A0D"/>
    <w:rsid w:val="002C4E10"/>
    <w:rsid w:val="002D02F1"/>
    <w:rsid w:val="00393194"/>
    <w:rsid w:val="003A66E5"/>
    <w:rsid w:val="003C2212"/>
    <w:rsid w:val="003D4497"/>
    <w:rsid w:val="003D7B8A"/>
    <w:rsid w:val="004139B0"/>
    <w:rsid w:val="00461406"/>
    <w:rsid w:val="0046777F"/>
    <w:rsid w:val="00475974"/>
    <w:rsid w:val="00491368"/>
    <w:rsid w:val="004F685A"/>
    <w:rsid w:val="00512115"/>
    <w:rsid w:val="005521A2"/>
    <w:rsid w:val="005A7AA2"/>
    <w:rsid w:val="005E7DEF"/>
    <w:rsid w:val="00603A70"/>
    <w:rsid w:val="006223B0"/>
    <w:rsid w:val="00661256"/>
    <w:rsid w:val="006943BC"/>
    <w:rsid w:val="006B108F"/>
    <w:rsid w:val="006C23CE"/>
    <w:rsid w:val="006D6793"/>
    <w:rsid w:val="006F6FE7"/>
    <w:rsid w:val="00703942"/>
    <w:rsid w:val="007072C8"/>
    <w:rsid w:val="00733C23"/>
    <w:rsid w:val="00753DA1"/>
    <w:rsid w:val="0076248E"/>
    <w:rsid w:val="007726C9"/>
    <w:rsid w:val="007941D6"/>
    <w:rsid w:val="00794C0D"/>
    <w:rsid w:val="007E521A"/>
    <w:rsid w:val="00844F3B"/>
    <w:rsid w:val="00857A67"/>
    <w:rsid w:val="00863265"/>
    <w:rsid w:val="008677EE"/>
    <w:rsid w:val="00887993"/>
    <w:rsid w:val="008944AC"/>
    <w:rsid w:val="008E054A"/>
    <w:rsid w:val="00931293"/>
    <w:rsid w:val="009C6613"/>
    <w:rsid w:val="00A051D0"/>
    <w:rsid w:val="00A14495"/>
    <w:rsid w:val="00A94C11"/>
    <w:rsid w:val="00B11931"/>
    <w:rsid w:val="00B14DE4"/>
    <w:rsid w:val="00B30C4A"/>
    <w:rsid w:val="00B9688B"/>
    <w:rsid w:val="00C27243"/>
    <w:rsid w:val="00C61625"/>
    <w:rsid w:val="00CA6059"/>
    <w:rsid w:val="00CB72DB"/>
    <w:rsid w:val="00CC4B3E"/>
    <w:rsid w:val="00CE0D74"/>
    <w:rsid w:val="00D312A9"/>
    <w:rsid w:val="00D61A00"/>
    <w:rsid w:val="00D6590F"/>
    <w:rsid w:val="00E4604D"/>
    <w:rsid w:val="00E51A61"/>
    <w:rsid w:val="00E640F3"/>
    <w:rsid w:val="00E64751"/>
    <w:rsid w:val="00EA3A29"/>
    <w:rsid w:val="00EA6009"/>
    <w:rsid w:val="00EF2C91"/>
    <w:rsid w:val="00F13444"/>
    <w:rsid w:val="00F25110"/>
    <w:rsid w:val="00F534EF"/>
    <w:rsid w:val="00F93BE9"/>
    <w:rsid w:val="00FB4A09"/>
    <w:rsid w:val="0449689E"/>
    <w:rsid w:val="059348DA"/>
    <w:rsid w:val="09E21360"/>
    <w:rsid w:val="0C572C60"/>
    <w:rsid w:val="0D8D53DF"/>
    <w:rsid w:val="136C4563"/>
    <w:rsid w:val="1C3A2D85"/>
    <w:rsid w:val="21F23FD7"/>
    <w:rsid w:val="2DBC0C85"/>
    <w:rsid w:val="433836FB"/>
    <w:rsid w:val="4CE86970"/>
    <w:rsid w:val="50B43C38"/>
    <w:rsid w:val="61F536DE"/>
    <w:rsid w:val="645314A2"/>
    <w:rsid w:val="66632315"/>
    <w:rsid w:val="6B7D649E"/>
    <w:rsid w:val="6FEC4F07"/>
    <w:rsid w:val="76BB2FD7"/>
    <w:rsid w:val="7EBD2AC8"/>
    <w:rsid w:val="C3FB878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6"/>
    <w:unhideWhenUsed/>
    <w:qFormat/>
    <w:uiPriority w:val="99"/>
    <w:pPr>
      <w:spacing w:after="120"/>
      <w:ind w:left="420" w:leftChars="200"/>
    </w:pPr>
  </w:style>
  <w:style w:type="paragraph" w:styleId="3">
    <w:name w:val="annotation text"/>
    <w:basedOn w:val="1"/>
    <w:link w:val="21"/>
    <w:unhideWhenUsed/>
    <w:qFormat/>
    <w:uiPriority w:val="99"/>
    <w:pPr>
      <w:jc w:val="left"/>
    </w:pPr>
  </w:style>
  <w:style w:type="paragraph" w:styleId="4">
    <w:name w:val="Plain Text"/>
    <w:basedOn w:val="1"/>
    <w:link w:val="17"/>
    <w:qFormat/>
    <w:uiPriority w:val="0"/>
    <w:rPr>
      <w:rFonts w:ascii="宋体" w:hAnsi="Courier New" w:eastAsia="等线" w:cs="黑体"/>
      <w:szCs w:val="22"/>
    </w:rPr>
  </w:style>
  <w:style w:type="paragraph" w:styleId="5">
    <w:name w:val="Balloon Text"/>
    <w:basedOn w:val="1"/>
    <w:link w:val="23"/>
    <w:unhideWhenUsed/>
    <w:qFormat/>
    <w:uiPriority w:val="99"/>
    <w:rPr>
      <w:sz w:val="18"/>
      <w:szCs w:val="18"/>
    </w:rPr>
  </w:style>
  <w:style w:type="paragraph" w:styleId="6">
    <w:name w:val="footer"/>
    <w:basedOn w:val="1"/>
    <w:link w:val="20"/>
    <w:unhideWhenUsed/>
    <w:qFormat/>
    <w:uiPriority w:val="99"/>
    <w:pPr>
      <w:tabs>
        <w:tab w:val="center" w:pos="4153"/>
        <w:tab w:val="right" w:pos="8306"/>
      </w:tabs>
      <w:snapToGrid w:val="0"/>
      <w:jc w:val="left"/>
    </w:pPr>
    <w:rPr>
      <w:sz w:val="18"/>
      <w:szCs w:val="18"/>
    </w:rPr>
  </w:style>
  <w:style w:type="paragraph" w:styleId="7">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spacing w:beforeAutospacing="1" w:afterAutospacing="1"/>
      <w:jc w:val="left"/>
    </w:pPr>
    <w:rPr>
      <w:kern w:val="0"/>
      <w:sz w:val="24"/>
    </w:rPr>
  </w:style>
  <w:style w:type="paragraph" w:styleId="9">
    <w:name w:val="annotation subject"/>
    <w:basedOn w:val="3"/>
    <w:next w:val="3"/>
    <w:link w:val="22"/>
    <w:unhideWhenUsed/>
    <w:qFormat/>
    <w:uiPriority w:val="99"/>
    <w:rPr>
      <w:b/>
      <w:bCs/>
    </w:rPr>
  </w:style>
  <w:style w:type="character" w:styleId="12">
    <w:name w:val="page number"/>
    <w:basedOn w:val="11"/>
    <w:qFormat/>
    <w:uiPriority w:val="0"/>
  </w:style>
  <w:style w:type="character" w:styleId="13">
    <w:name w:val="annotation reference"/>
    <w:basedOn w:val="11"/>
    <w:unhideWhenUsed/>
    <w:qFormat/>
    <w:uiPriority w:val="99"/>
    <w:rPr>
      <w:sz w:val="21"/>
      <w:szCs w:val="21"/>
    </w:rPr>
  </w:style>
  <w:style w:type="paragraph" w:customStyle="1" w:styleId="14">
    <w:name w:val="Table Paragraph"/>
    <w:basedOn w:val="1"/>
    <w:qFormat/>
    <w:uiPriority w:val="1"/>
    <w:pPr>
      <w:autoSpaceDE w:val="0"/>
      <w:autoSpaceDN w:val="0"/>
      <w:jc w:val="left"/>
    </w:pPr>
    <w:rPr>
      <w:rFonts w:ascii="宋体" w:hAnsi="宋体" w:cs="宋体"/>
      <w:kern w:val="0"/>
      <w:sz w:val="22"/>
      <w:szCs w:val="22"/>
      <w:lang w:val="zh-CN" w:bidi="zh-CN"/>
    </w:rPr>
  </w:style>
  <w:style w:type="paragraph" w:customStyle="1" w:styleId="15">
    <w:name w:val="列出段落1"/>
    <w:basedOn w:val="1"/>
    <w:qFormat/>
    <w:uiPriority w:val="99"/>
    <w:pPr>
      <w:ind w:firstLine="420" w:firstLineChars="200"/>
    </w:pPr>
  </w:style>
  <w:style w:type="character" w:customStyle="1" w:styleId="16">
    <w:name w:val="正文文本缩进 字符"/>
    <w:basedOn w:val="11"/>
    <w:link w:val="2"/>
    <w:qFormat/>
    <w:uiPriority w:val="99"/>
    <w:rPr>
      <w:rFonts w:ascii="Times New Roman" w:hAnsi="Times New Roman" w:eastAsia="宋体" w:cs="Times New Roman"/>
      <w:szCs w:val="24"/>
    </w:rPr>
  </w:style>
  <w:style w:type="character" w:customStyle="1" w:styleId="17">
    <w:name w:val="纯文本 字符"/>
    <w:basedOn w:val="11"/>
    <w:link w:val="4"/>
    <w:qFormat/>
    <w:uiPriority w:val="0"/>
    <w:rPr>
      <w:rFonts w:ascii="宋体" w:hAnsi="Courier New"/>
    </w:rPr>
  </w:style>
  <w:style w:type="character" w:customStyle="1" w:styleId="18">
    <w:name w:val="纯文本 字符1"/>
    <w:basedOn w:val="11"/>
    <w:semiHidden/>
    <w:qFormat/>
    <w:uiPriority w:val="99"/>
    <w:rPr>
      <w:rFonts w:ascii="等线" w:hAnsi="Courier New" w:cs="Courier New"/>
      <w:szCs w:val="24"/>
    </w:rPr>
  </w:style>
  <w:style w:type="character" w:customStyle="1" w:styleId="19">
    <w:name w:val="页眉 字符"/>
    <w:basedOn w:val="11"/>
    <w:link w:val="7"/>
    <w:qFormat/>
    <w:uiPriority w:val="99"/>
    <w:rPr>
      <w:rFonts w:ascii="Times New Roman" w:hAnsi="Times New Roman" w:eastAsia="宋体" w:cs="Times New Roman"/>
      <w:kern w:val="2"/>
      <w:sz w:val="18"/>
      <w:szCs w:val="18"/>
    </w:rPr>
  </w:style>
  <w:style w:type="character" w:customStyle="1" w:styleId="20">
    <w:name w:val="页脚 字符"/>
    <w:basedOn w:val="11"/>
    <w:link w:val="6"/>
    <w:qFormat/>
    <w:uiPriority w:val="99"/>
    <w:rPr>
      <w:rFonts w:ascii="Times New Roman" w:hAnsi="Times New Roman" w:eastAsia="宋体" w:cs="Times New Roman"/>
      <w:kern w:val="2"/>
      <w:sz w:val="18"/>
      <w:szCs w:val="18"/>
    </w:rPr>
  </w:style>
  <w:style w:type="character" w:customStyle="1" w:styleId="21">
    <w:name w:val="批注文字 字符"/>
    <w:basedOn w:val="11"/>
    <w:link w:val="3"/>
    <w:semiHidden/>
    <w:qFormat/>
    <w:uiPriority w:val="99"/>
    <w:rPr>
      <w:rFonts w:ascii="Times New Roman" w:hAnsi="Times New Roman" w:eastAsia="宋体" w:cs="Times New Roman"/>
      <w:kern w:val="2"/>
      <w:sz w:val="21"/>
      <w:szCs w:val="24"/>
    </w:rPr>
  </w:style>
  <w:style w:type="character" w:customStyle="1" w:styleId="22">
    <w:name w:val="批注主题 字符"/>
    <w:basedOn w:val="21"/>
    <w:link w:val="9"/>
    <w:semiHidden/>
    <w:qFormat/>
    <w:uiPriority w:val="99"/>
    <w:rPr>
      <w:rFonts w:ascii="Times New Roman" w:hAnsi="Times New Roman" w:eastAsia="宋体" w:cs="Times New Roman"/>
      <w:b/>
      <w:bCs/>
      <w:kern w:val="2"/>
      <w:sz w:val="21"/>
      <w:szCs w:val="24"/>
    </w:rPr>
  </w:style>
  <w:style w:type="character" w:customStyle="1" w:styleId="23">
    <w:name w:val="批注框文本 字符"/>
    <w:basedOn w:val="11"/>
    <w:link w:val="5"/>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1019</Words>
  <Characters>1320</Characters>
  <Lines>10</Lines>
  <Paragraphs>3</Paragraphs>
  <TotalTime>18</TotalTime>
  <ScaleCrop>false</ScaleCrop>
  <LinksUpToDate>false</LinksUpToDate>
  <CharactersWithSpaces>1412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2022-06-19T08:24:00Z</dcterms:created>
  <dc:creator>范 文佳</dc:creator>
  <cp:lastModifiedBy>王敏</cp:lastModifiedBy>
  <dcterms:modified xsi:type="dcterms:W3CDTF">2025-02-14T02:18:40Z</dcterms:modified>
  <dc:title>2022年杭州市流通领域（网络）“灯具〞产品</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F6BD4D09ABA544D3A386952E367D2E74</vt:lpwstr>
  </property>
  <property fmtid="{D5CDD505-2E9C-101B-9397-08002B2CF9AE}" pid="4" name="KSOTemplateDocerSaveRecord">
    <vt:lpwstr>eyJoZGlkIjoiYTc1YTFiOTQ2NmE2MWIyOTc0OWJiMTI2OTIzY2RkODQiLCJ1c2VySWQiOiI0NTUzNDc2MDMifQ==</vt:lpwstr>
  </property>
</Properties>
</file>