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方正小标宋简体" w:eastAsia="方正小标宋简体" w:cs="宋体"/>
          <w:sz w:val="44"/>
          <w:szCs w:val="52"/>
          <w:lang w:val="en"/>
        </w:rPr>
      </w:pPr>
      <w:r>
        <w:rPr>
          <w:rFonts w:hint="eastAsia" w:ascii="Times New Roman" w:hAnsi="Times New Roman" w:eastAsia="黑体" w:cs="黑体"/>
          <w:sz w:val="32"/>
          <w:szCs w:val="32"/>
          <w:lang w:val="en-US" w:eastAsia="zh-Hans"/>
        </w:rPr>
        <w:t>附件</w:t>
      </w:r>
      <w:r>
        <w:rPr>
          <w:rFonts w:hint="default" w:ascii="Times New Roman" w:hAnsi="Times New Roman" w:eastAsia="黑体" w:cs="黑体"/>
          <w:sz w:val="32"/>
          <w:szCs w:val="32"/>
          <w:lang w:val="en" w:eastAsia="zh-CN"/>
        </w:rPr>
        <w:t>7</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sz w:val="32"/>
          <w:szCs w:val="32"/>
        </w:rPr>
      </w:pPr>
      <w:r>
        <w:rPr>
          <w:rFonts w:hint="eastAsia" w:ascii="方正小标宋简体" w:eastAsia="方正小标宋简体" w:cs="宋体"/>
          <w:sz w:val="44"/>
          <w:szCs w:val="52"/>
        </w:rPr>
        <w:t>202</w:t>
      </w:r>
      <w:r>
        <w:rPr>
          <w:rFonts w:hint="eastAsia" w:ascii="方正小标宋简体" w:eastAsia="方正小标宋简体" w:cs="宋体"/>
          <w:sz w:val="44"/>
          <w:szCs w:val="52"/>
          <w:lang w:val="en-US" w:eastAsia="zh-CN"/>
        </w:rPr>
        <w:t>5</w:t>
      </w:r>
      <w:r>
        <w:rPr>
          <w:rFonts w:hint="eastAsia" w:ascii="方正小标宋简体" w:eastAsia="方正小标宋简体" w:cs="宋体"/>
          <w:sz w:val="44"/>
          <w:szCs w:val="52"/>
        </w:rPr>
        <w:t>年朝阳区</w:t>
      </w:r>
      <w:r>
        <w:rPr>
          <w:rFonts w:hint="eastAsia" w:ascii="方正小标宋简体" w:eastAsia="方正小标宋简体"/>
          <w:w w:val="95"/>
          <w:sz w:val="44"/>
          <w:szCs w:val="48"/>
        </w:rPr>
        <w:t>专利转化</w:t>
      </w:r>
      <w:r>
        <w:rPr>
          <w:rFonts w:hint="eastAsia" w:ascii="方正小标宋简体" w:eastAsia="方正小标宋简体" w:cs="宋体"/>
          <w:sz w:val="44"/>
          <w:szCs w:val="52"/>
        </w:rPr>
        <w:t>项目申报指南</w:t>
      </w:r>
    </w:p>
    <w:p>
      <w:pPr>
        <w:pStyle w:val="2"/>
        <w:keepNext w:val="0"/>
        <w:keepLines w:val="0"/>
        <w:pageBreakBefore w:val="0"/>
        <w:widowControl w:val="0"/>
        <w:kinsoku/>
        <w:wordWrap/>
        <w:overflowPunct/>
        <w:topLinePunct w:val="0"/>
        <w:autoSpaceDE/>
        <w:autoSpaceDN/>
        <w:bidi w:val="0"/>
        <w:adjustRightInd/>
        <w:snapToGrid/>
        <w:spacing w:after="0" w:line="560" w:lineRule="exact"/>
        <w:ind w:left="0" w:leftChars="0" w:firstLine="0" w:firstLineChars="0"/>
        <w:textAlignment w:val="auto"/>
        <w:rPr>
          <w:rFonts w:hint="default"/>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贯彻落实《专利转化运用专项行动方案（2023—2025年）》，大力推动专利产业化，加快创新成果向现实生产力转化，激发各类主体创新活力和转化动力，切实将专利制度优势转化为创新发展的强大动能，推动朝阳区经济高质量发展，根据《朝阳区知识产权资助办法（2023年修订）》，我局拟开展</w:t>
      </w:r>
      <w:r>
        <w:rPr>
          <w:rFonts w:hint="eastAsia" w:ascii="Times New Roman" w:hAnsi="Times New Roman" w:eastAsia="仿宋_GB2312" w:cs="Times New Roman"/>
          <w:sz w:val="32"/>
          <w:szCs w:val="32"/>
          <w:lang w:val="en-US" w:eastAsia="zh-CN"/>
        </w:rPr>
        <w:t>2025年</w:t>
      </w:r>
      <w:r>
        <w:rPr>
          <w:rFonts w:hint="default" w:ascii="Times New Roman" w:hAnsi="Times New Roman" w:eastAsia="仿宋_GB2312" w:cs="Times New Roman"/>
          <w:sz w:val="32"/>
          <w:szCs w:val="32"/>
        </w:rPr>
        <w:t>北京市朝阳区专利转化项目申报工作，现将有关事项通知如下：</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申报主体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申报主体应为在北京市朝阳区注册的企业、高校、科研院所，可与产业链上下游企业、产学研合作单位联合申报。申报主体应是转化项目的专利权人，如转化项目专利涉及多个专利权人，申报主体需征得未参评专利权人同意并提供相关证明材料。优先考虑获得过中国专利奖、北京市发明专利奖的</w:t>
      </w:r>
      <w:r>
        <w:rPr>
          <w:rFonts w:hint="eastAsia" w:ascii="Times New Roman" w:hAnsi="Times New Roman" w:eastAsia="仿宋_GB2312" w:cs="Times New Roman"/>
          <w:sz w:val="32"/>
          <w:szCs w:val="32"/>
          <w:lang w:eastAsia="zh-CN"/>
        </w:rPr>
        <w:t>主体。</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申报条件</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2" w:firstLineChars="200"/>
        <w:textAlignment w:val="auto"/>
        <w:rPr>
          <w:rFonts w:ascii="Times New Roman" w:hAnsi="Times New Roman" w:eastAsia="仿宋_GB2312" w:cs="仿宋_GB2312"/>
          <w:sz w:val="32"/>
          <w:szCs w:val="32"/>
        </w:rPr>
      </w:pPr>
      <w:r>
        <w:rPr>
          <w:rFonts w:hint="eastAsia" w:ascii="Times New Roman" w:hAnsi="Times New Roman" w:eastAsia="楷体_GB2312" w:cs="楷体_GB2312"/>
          <w:b/>
          <w:bCs/>
          <w:sz w:val="32"/>
          <w:szCs w:val="32"/>
        </w:rPr>
        <w:t>（一）申报主体应满足以下条件：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1.在朝阳区注册；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2.具有良好的研发基础和研发能力，在相关技术领域研发水平处于行业领先地位；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3.具有良好的知识产权工作基础，建立了较为完善的知识产权管理制度和知识产权转移转化机制，拥有良好的专利储备</w:t>
      </w:r>
      <w:r>
        <w:rPr>
          <w:rFonts w:hint="default" w:ascii="Times New Roman" w:hAnsi="Times New Roman" w:eastAsia="仿宋_GB2312" w:cs="Times New Roman"/>
          <w:sz w:val="32"/>
          <w:szCs w:val="32"/>
          <w:highlight w:val="none"/>
        </w:rPr>
        <w:t>，有效发明专利数量不少于</w:t>
      </w:r>
      <w:r>
        <w:rPr>
          <w:rFonts w:hint="eastAsia" w:ascii="Times New Roman" w:hAnsi="Times New Roman" w:eastAsia="仿宋_GB2312" w:cs="Times New Roman"/>
          <w:sz w:val="32"/>
          <w:szCs w:val="32"/>
          <w:highlight w:val="none"/>
          <w:lang w:val="en-US" w:eastAsia="zh-CN"/>
        </w:rPr>
        <w:t>1</w:t>
      </w:r>
      <w:r>
        <w:rPr>
          <w:rFonts w:hint="default" w:ascii="Times New Roman" w:hAnsi="Times New Roman" w:eastAsia="仿宋_GB2312" w:cs="Times New Roman"/>
          <w:sz w:val="32"/>
          <w:szCs w:val="32"/>
          <w:highlight w:val="none"/>
        </w:rPr>
        <w:t>00件；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4.申报主体信用水平良好，近</w:t>
      </w:r>
      <w:r>
        <w:rPr>
          <w:rFonts w:hint="eastAsia" w:ascii="Times New Roman" w:hAnsi="Times New Roman" w:eastAsia="仿宋_GB2312" w:cs="Times New Roman"/>
          <w:sz w:val="32"/>
          <w:szCs w:val="32"/>
          <w:lang w:eastAsia="zh-CN"/>
        </w:rPr>
        <w:t>三</w:t>
      </w:r>
      <w:bookmarkStart w:id="0" w:name="_GoBack"/>
      <w:bookmarkEnd w:id="0"/>
      <w:r>
        <w:rPr>
          <w:rFonts w:hint="default" w:ascii="Times New Roman" w:hAnsi="Times New Roman" w:eastAsia="仿宋_GB2312" w:cs="Times New Roman"/>
          <w:sz w:val="32"/>
          <w:szCs w:val="32"/>
        </w:rPr>
        <w:t>年没有因侵犯知识产权受到行政处罚或经司法裁判承担侵权责任，无其他严重违法失信行为，以“信用中国”网站记录为准</w:t>
      </w:r>
      <w:r>
        <w:rPr>
          <w:rFonts w:hint="eastAsia" w:ascii="Times New Roman" w:hAnsi="Times New Roman" w:eastAsia="仿宋_GB2312" w:cs="Times New Roman"/>
          <w:sz w:val="32"/>
          <w:szCs w:val="32"/>
          <w:highlight w:val="none"/>
          <w:lang w:eastAsia="zh-CN"/>
        </w:rPr>
        <w:t>。</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2" w:firstLineChars="200"/>
        <w:textAlignment w:val="auto"/>
        <w:rPr>
          <w:rFonts w:ascii="Times New Roman" w:hAnsi="Times New Roman" w:eastAsia="楷体_GB2312" w:cs="楷体_GB2312"/>
          <w:b/>
          <w:bCs/>
          <w:sz w:val="32"/>
          <w:szCs w:val="32"/>
        </w:rPr>
      </w:pPr>
      <w:r>
        <w:rPr>
          <w:rFonts w:hint="eastAsia" w:ascii="Times New Roman" w:hAnsi="Times New Roman" w:eastAsia="楷体_GB2312" w:cs="楷体_GB2312"/>
          <w:b/>
          <w:bCs/>
          <w:sz w:val="32"/>
          <w:szCs w:val="32"/>
        </w:rPr>
        <w:t>（二）合作单位应满足以下条件：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1.在朝阳区注册；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2.合作企业应具备一定的知识产权工作基础，能为专利转化运用提供必要支撑，能够有效引导申报主体在科研活动中精准对接市场需求，匹配政策、服务、资本等优质资源，推动实现快速转化；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3.合作高等院校、科研院所应能与申报主体合作开展技术研发并提供研发所需智力及其他配套资源，能够与申报主体形成资源互补，高效推进专利转化运用;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4.合作单位信用水平良好，近五年没有因侵犯知识产权受到行政处罚或经司法裁判承担侵权责任，无其他严重违法失信行为，以“信用中国”网站记录为</w:t>
      </w:r>
      <w:r>
        <w:rPr>
          <w:rFonts w:hint="default" w:ascii="Times New Roman" w:hAnsi="Times New Roman" w:eastAsia="仿宋_GB2312" w:cs="Times New Roman"/>
          <w:sz w:val="32"/>
          <w:szCs w:val="32"/>
          <w:highlight w:val="none"/>
        </w:rPr>
        <w:t>准。</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2" w:firstLineChars="200"/>
        <w:textAlignment w:val="auto"/>
        <w:rPr>
          <w:rFonts w:ascii="Times New Roman" w:hAnsi="Times New Roman" w:eastAsia="楷体_GB2312" w:cs="楷体_GB2312"/>
          <w:b/>
          <w:bCs/>
          <w:sz w:val="32"/>
          <w:szCs w:val="32"/>
        </w:rPr>
      </w:pPr>
      <w:r>
        <w:rPr>
          <w:rFonts w:hint="eastAsia" w:ascii="Times New Roman" w:hAnsi="Times New Roman" w:eastAsia="楷体_GB2312" w:cs="楷体_GB2312"/>
          <w:b/>
          <w:bCs/>
          <w:sz w:val="32"/>
          <w:szCs w:val="32"/>
        </w:rPr>
        <w:t>（三）有下列情形之一的，不得参评：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1.转化专利存在专利权属纠纷、发明（权利）人或者设计人纠纷的；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2.转化专利存在专利权无效宣告请求程序未终结情况的；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3.转化专利已获得过政府财政专利资助的；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Calibri" w:hAnsi="Calibri" w:eastAsia="宋体" w:cs="Times New Roman"/>
          <w:kern w:val="2"/>
          <w:sz w:val="21"/>
          <w:szCs w:val="24"/>
          <w:lang w:val="en-US" w:eastAsia="zh-CN" w:bidi="ar-SA"/>
        </w:rPr>
      </w:pPr>
      <w:r>
        <w:rPr>
          <w:rFonts w:hint="default" w:ascii="Times New Roman" w:hAnsi="Times New Roman" w:eastAsia="仿宋_GB2312" w:cs="Times New Roman"/>
          <w:sz w:val="32"/>
          <w:szCs w:val="32"/>
        </w:rPr>
        <w:t>4.转化专利涉及法律、行政法规规定的其他不适合申报的情形。</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工作任务</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2" w:firstLineChars="200"/>
        <w:textAlignment w:val="auto"/>
        <w:rPr>
          <w:rFonts w:ascii="Times New Roman" w:hAnsi="Times New Roman" w:eastAsia="楷体_GB2312" w:cs="楷体_GB2312"/>
          <w:b/>
          <w:bCs/>
          <w:sz w:val="32"/>
          <w:szCs w:val="32"/>
        </w:rPr>
      </w:pPr>
      <w:r>
        <w:rPr>
          <w:rFonts w:hint="eastAsia" w:ascii="Times New Roman" w:hAnsi="Times New Roman" w:eastAsia="楷体_GB2312" w:cs="楷体_GB2312"/>
          <w:b/>
          <w:bCs/>
          <w:sz w:val="32"/>
          <w:szCs w:val="32"/>
        </w:rPr>
        <w:t>（一）存量专利盘点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建立以市场为导向的存量专利评价筛选、供需对接、推广应用、跟踪反馈全过程管理机制。综合考虑专利技术成熟度、应用前景、产业化前景等因素，完成存量专利评估，筛选出市场需求潜力较大、经济价值较高的专利，分层构建专利转化资源库。</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2" w:firstLineChars="200"/>
        <w:textAlignment w:val="auto"/>
        <w:rPr>
          <w:rFonts w:ascii="Times New Roman" w:hAnsi="Times New Roman" w:eastAsia="楷体_GB2312" w:cs="楷体_GB2312"/>
          <w:b/>
          <w:bCs/>
          <w:sz w:val="32"/>
          <w:szCs w:val="32"/>
        </w:rPr>
      </w:pPr>
      <w:r>
        <w:rPr>
          <w:rFonts w:hint="eastAsia" w:ascii="Times New Roman" w:hAnsi="Times New Roman" w:eastAsia="楷体_GB2312" w:cs="楷体_GB2312"/>
          <w:b/>
          <w:bCs/>
          <w:sz w:val="32"/>
          <w:szCs w:val="32"/>
        </w:rPr>
        <w:t>（二）实施专利转化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针对高价值存量专利，匹配政策、服务、资本等优质资源，推动实现快速转化运用，取得显著的经济效益和社会效益。</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绩效目标</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ascii="Times New Roman" w:hAnsi="Times New Roman" w:eastAsia="仿宋" w:cs="仿宋_GB2312"/>
          <w:sz w:val="32"/>
          <w:szCs w:val="32"/>
        </w:rPr>
      </w:pPr>
      <w:r>
        <w:rPr>
          <w:rFonts w:hint="eastAsia" w:ascii="Times New Roman" w:hAnsi="Times New Roman" w:eastAsia="楷体_GB2312" w:cs="楷体_GB2312"/>
          <w:b/>
          <w:bCs/>
          <w:sz w:val="32"/>
          <w:szCs w:val="32"/>
        </w:rPr>
        <w:t>（一）完成存量专利盘点：</w:t>
      </w:r>
      <w:r>
        <w:rPr>
          <w:rFonts w:hint="default" w:ascii="Times New Roman" w:hAnsi="Times New Roman" w:eastAsia="仿宋_GB2312" w:cs="Times New Roman"/>
          <w:sz w:val="32"/>
          <w:szCs w:val="32"/>
        </w:rPr>
        <w:t>形成《专利分级分类列表》，标明待重点转化运用的高价值专利，有条件的单位可提供该重点专利的转化议价参考信息；</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ascii="Times New Roman" w:hAnsi="Times New Roman" w:eastAsia="仿宋" w:cs="仿宋_GB2312"/>
          <w:sz w:val="32"/>
          <w:szCs w:val="32"/>
        </w:rPr>
      </w:pPr>
      <w:r>
        <w:rPr>
          <w:rFonts w:hint="eastAsia" w:ascii="Times New Roman" w:hAnsi="Times New Roman" w:eastAsia="楷体_GB2312" w:cs="楷体_GB2312"/>
          <w:b/>
          <w:bCs/>
          <w:sz w:val="32"/>
          <w:szCs w:val="32"/>
        </w:rPr>
        <w:t>（二）完成专利转化项目：</w:t>
      </w:r>
      <w:r>
        <w:rPr>
          <w:rFonts w:hint="default" w:ascii="Times New Roman" w:hAnsi="Times New Roman" w:eastAsia="仿宋_GB2312" w:cs="Times New Roman"/>
          <w:sz w:val="32"/>
          <w:szCs w:val="32"/>
          <w:highlight w:val="none"/>
        </w:rPr>
        <w:t>完成至少1项专利转化项目，每</w:t>
      </w:r>
      <w:r>
        <w:rPr>
          <w:rFonts w:hint="default" w:ascii="Times New Roman" w:hAnsi="Times New Roman" w:eastAsia="仿宋_GB2312" w:cs="Times New Roman"/>
          <w:sz w:val="32"/>
          <w:szCs w:val="32"/>
        </w:rPr>
        <w:t>个项目可为1项或相互之间有技术相关性的多项专利，但1个项目中核心专利不超过3项，且均为已授权且有效的中国发明专利，不含国防专利、保密专利；</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ascii="Times New Roman" w:hAnsi="Times New Roman" w:eastAsia="仿宋" w:cs="仿宋_GB2312"/>
          <w:sz w:val="32"/>
          <w:szCs w:val="32"/>
        </w:rPr>
      </w:pPr>
      <w:r>
        <w:rPr>
          <w:rFonts w:hint="eastAsia" w:ascii="Times New Roman" w:hAnsi="Times New Roman" w:eastAsia="楷体_GB2312" w:cs="楷体_GB2312"/>
          <w:b/>
          <w:bCs/>
          <w:sz w:val="32"/>
          <w:szCs w:val="32"/>
        </w:rPr>
        <w:t>（三）取得专利转化效益：</w:t>
      </w:r>
      <w:r>
        <w:rPr>
          <w:rFonts w:hint="default" w:ascii="Times New Roman" w:hAnsi="Times New Roman" w:eastAsia="仿宋_GB2312" w:cs="Times New Roman"/>
          <w:sz w:val="32"/>
          <w:szCs w:val="32"/>
        </w:rPr>
        <w:t>完成的专利转化项目取得显著的经济效益和社会效益。</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ascii="Times New Roman" w:hAnsi="Times New Roman" w:eastAsia="黑体" w:cs="黑体"/>
          <w:sz w:val="32"/>
          <w:szCs w:val="32"/>
        </w:rPr>
      </w:pPr>
      <w:r>
        <w:rPr>
          <w:rFonts w:hint="eastAsia" w:ascii="Times New Roman" w:hAnsi="Times New Roman" w:eastAsia="黑体" w:cs="黑体"/>
          <w:sz w:val="32"/>
          <w:szCs w:val="32"/>
        </w:rPr>
        <w:t>项目实施期限及经费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拟经专家或第三方评审择优设立1项，执行期不超过</w:t>
      </w:r>
      <w:r>
        <w:rPr>
          <w:rFonts w:hint="eastAsia" w:ascii="Times New Roman" w:hAnsi="Times New Roman" w:eastAsia="仿宋_GB2312" w:cs="Times New Roman"/>
          <w:sz w:val="32"/>
          <w:szCs w:val="32"/>
          <w:lang w:val="en-US" w:eastAsia="zh-CN"/>
        </w:rPr>
        <w:t>8个月</w:t>
      </w:r>
      <w:r>
        <w:rPr>
          <w:rFonts w:hint="default" w:ascii="Times New Roman" w:hAnsi="Times New Roman" w:eastAsia="仿宋_GB2312" w:cs="Times New Roman"/>
          <w:sz w:val="32"/>
          <w:szCs w:val="32"/>
        </w:rPr>
        <w:t>，给予不超过100万元的资助。在签订项目协议后支付资助首款，项目通过评审验收后支付资助尾款。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项目承担单位加强项目经费管理，实行独立核算、专款专用，并严格执行项目预算，确保资金规范合理使用。项目经费须接受北京市朝阳区市场监督管理局和审计部门的监督检查。</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申报材料</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346"/>
        <w:textAlignment w:val="auto"/>
        <w:rPr>
          <w:rFonts w:ascii="Times New Roman" w:hAnsi="Times New Roman" w:eastAsia="楷体_GB2312" w:cs="楷体_GB2312"/>
          <w:b/>
          <w:bCs/>
          <w:sz w:val="32"/>
          <w:szCs w:val="32"/>
        </w:rPr>
      </w:pPr>
      <w:r>
        <w:rPr>
          <w:rFonts w:hint="eastAsia" w:ascii="Times New Roman" w:hAnsi="Times New Roman" w:eastAsia="楷体_GB2312" w:cs="楷体_GB2312"/>
          <w:b/>
          <w:bCs/>
          <w:sz w:val="32"/>
          <w:szCs w:val="32"/>
        </w:rPr>
        <w:t>（一）《</w:t>
      </w:r>
      <w:r>
        <w:rPr>
          <w:rFonts w:hint="eastAsia" w:ascii="Times New Roman" w:hAnsi="Times New Roman" w:eastAsia="楷体_GB2312" w:cs="楷体_GB2312"/>
          <w:b/>
          <w:bCs/>
          <w:sz w:val="32"/>
          <w:szCs w:val="32"/>
          <w:lang w:val="en-US" w:eastAsia="zh-CN"/>
        </w:rPr>
        <w:t>2025年</w:t>
      </w:r>
      <w:r>
        <w:rPr>
          <w:rFonts w:hint="eastAsia" w:ascii="Times New Roman" w:hAnsi="Times New Roman" w:eastAsia="楷体_GB2312" w:cs="楷体_GB2312"/>
          <w:b/>
          <w:bCs/>
          <w:sz w:val="32"/>
          <w:szCs w:val="32"/>
        </w:rPr>
        <w:t>朝阳区专利转化项目申报书》（附件</w:t>
      </w:r>
      <w:r>
        <w:rPr>
          <w:rFonts w:hint="eastAsia" w:ascii="Times New Roman" w:hAnsi="Times New Roman" w:eastAsia="楷体_GB2312" w:cs="楷体_GB2312"/>
          <w:b/>
          <w:bCs/>
          <w:sz w:val="32"/>
          <w:szCs w:val="32"/>
          <w:lang w:val="en-US" w:eastAsia="zh-CN"/>
        </w:rPr>
        <w:t>7-</w:t>
      </w:r>
      <w:r>
        <w:rPr>
          <w:rFonts w:hint="eastAsia" w:ascii="Times New Roman" w:hAnsi="Times New Roman" w:eastAsia="楷体_GB2312" w:cs="楷体_GB2312"/>
          <w:b/>
          <w:bCs/>
          <w:sz w:val="32"/>
          <w:szCs w:val="32"/>
        </w:rPr>
        <w:t>1）。</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346"/>
        <w:textAlignment w:val="auto"/>
        <w:rPr>
          <w:rFonts w:ascii="Times New Roman" w:hAnsi="Times New Roman" w:eastAsia="楷体_GB2312" w:cs="楷体_GB2312"/>
          <w:b/>
          <w:bCs/>
          <w:sz w:val="32"/>
          <w:szCs w:val="32"/>
        </w:rPr>
      </w:pPr>
      <w:r>
        <w:rPr>
          <w:rFonts w:hint="eastAsia" w:ascii="Times New Roman" w:hAnsi="Times New Roman" w:eastAsia="楷体_GB2312" w:cs="楷体_GB2312"/>
          <w:b/>
          <w:bCs/>
          <w:sz w:val="32"/>
          <w:szCs w:val="32"/>
        </w:rPr>
        <w:t>（二）《项目申报单位诚信承诺书》（附件</w:t>
      </w:r>
      <w:r>
        <w:rPr>
          <w:rFonts w:hint="eastAsia" w:ascii="Times New Roman" w:hAnsi="Times New Roman" w:eastAsia="楷体_GB2312" w:cs="楷体_GB2312"/>
          <w:b/>
          <w:bCs/>
          <w:sz w:val="32"/>
          <w:szCs w:val="32"/>
          <w:lang w:val="en-US" w:eastAsia="zh-CN"/>
        </w:rPr>
        <w:t>7-</w:t>
      </w:r>
      <w:r>
        <w:rPr>
          <w:rFonts w:hint="eastAsia" w:ascii="Times New Roman" w:hAnsi="Times New Roman" w:eastAsia="楷体_GB2312" w:cs="楷体_GB2312"/>
          <w:b/>
          <w:bCs/>
          <w:sz w:val="32"/>
          <w:szCs w:val="32"/>
        </w:rPr>
        <w:t>2）。</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346"/>
        <w:textAlignment w:val="auto"/>
        <w:rPr>
          <w:rFonts w:ascii="Times New Roman" w:hAnsi="Times New Roman" w:eastAsia="楷体_GB2312" w:cs="楷体_GB2312"/>
          <w:b/>
          <w:bCs/>
          <w:sz w:val="32"/>
          <w:szCs w:val="32"/>
        </w:rPr>
      </w:pPr>
      <w:r>
        <w:rPr>
          <w:rFonts w:hint="eastAsia" w:ascii="Times New Roman" w:hAnsi="Times New Roman" w:eastAsia="楷体_GB2312" w:cs="楷体_GB2312"/>
          <w:b/>
          <w:bCs/>
          <w:sz w:val="32"/>
          <w:szCs w:val="32"/>
        </w:rPr>
        <w:t>（三）相关证明材料：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1.申报主体和合作单位独立法人资格证明（营业执照或事业单位法人证书）复印件；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申报主体和合作单位基本情况证明材料（高校、科研院所提供相关资质、知识产权情况；企业提供企业规模、资质、经营业绩、高价值专利情况、专利规模及增速、申报发明专利组合情况及专利产品盈利情况等资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3.申报主体在申报领域的专利清单，专利清单至少应包括序号、专利申请号、专利申请日、专利授权日、专利权人（或专利申请人）、专利类型、法律状态（申请或授权）、专利名称等信息；（模板见附件</w:t>
      </w:r>
      <w:r>
        <w:rPr>
          <w:rFonts w:hint="eastAsia" w:ascii="Times New Roman" w:hAnsi="Times New Roman" w:eastAsia="仿宋_GB2312" w:cs="Times New Roman"/>
          <w:sz w:val="32"/>
          <w:szCs w:val="32"/>
          <w:lang w:val="en-US" w:eastAsia="zh-CN"/>
        </w:rPr>
        <w:t>7-</w:t>
      </w:r>
      <w:r>
        <w:rPr>
          <w:rFonts w:hint="default" w:ascii="Times New Roman" w:hAnsi="Times New Roman" w:eastAsia="仿宋_GB2312" w:cs="Times New Roman"/>
          <w:sz w:val="32"/>
          <w:szCs w:val="32"/>
        </w:rPr>
        <w:t>3）</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4.其他证明符合申报条件、具有申报优势的证明材料。</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ascii="黑体" w:hAnsi="黑体" w:eastAsia="黑体" w:cs="黑体"/>
          <w:sz w:val="32"/>
          <w:szCs w:val="32"/>
        </w:rPr>
      </w:pPr>
      <w:r>
        <w:rPr>
          <w:rFonts w:hint="eastAsia" w:ascii="黑体" w:hAnsi="黑体" w:eastAsia="黑体" w:cs="黑体"/>
          <w:sz w:val="32"/>
          <w:szCs w:val="32"/>
        </w:rPr>
        <w:t>申报时间和方式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（一）申报截止日期为：202</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年</w:t>
      </w:r>
      <w:r>
        <w:rPr>
          <w:rFonts w:hint="eastAsia" w:ascii="Times New Roman" w:hAnsi="Times New Roman" w:eastAsia="仿宋_GB2312" w:cs="Times New Roman"/>
          <w:sz w:val="32"/>
          <w:szCs w:val="32"/>
          <w:lang w:val="en-US" w:eastAsia="zh-CN"/>
        </w:rPr>
        <w:t>2月28日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（二）申报方式：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按照上述对提交材料的要求按顺序排列，对全部资料标明页码并制作目录，加盖公章，装订成册，报送或邮寄至北京市朝阳区霄云路霄云里1号北京市朝阳区市场监督管理局5020室（知识产权科收）。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申报材料电子件发送至邮箱cyzscqgzzb@bjchy.gov.cn，邮件标题为：202</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年朝阳区专利转化项目+单位名称。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（三）联系电话：010-51069578、010-51069565</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w:t>
      </w:r>
      <w:r>
        <w:rPr>
          <w:rFonts w:hint="eastAsia" w:ascii="Times New Roman" w:hAnsi="Times New Roman" w:eastAsia="仿宋_GB2312" w:cs="Times New Roman"/>
          <w:sz w:val="32"/>
          <w:szCs w:val="32"/>
          <w:lang w:val="en-US" w:eastAsia="zh-CN"/>
        </w:rPr>
        <w:t>7-</w:t>
      </w:r>
      <w:r>
        <w:rPr>
          <w:rFonts w:hint="default" w:ascii="Times New Roman" w:hAnsi="Times New Roman" w:eastAsia="仿宋_GB2312" w:cs="Times New Roman"/>
          <w:sz w:val="32"/>
          <w:szCs w:val="32"/>
        </w:rPr>
        <w:t>1：202</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年朝阳区专利转化项目申报书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w:t>
      </w:r>
      <w:r>
        <w:rPr>
          <w:rFonts w:hint="eastAsia" w:ascii="Times New Roman" w:hAnsi="Times New Roman" w:eastAsia="仿宋_GB2312" w:cs="Times New Roman"/>
          <w:sz w:val="32"/>
          <w:szCs w:val="32"/>
          <w:lang w:val="en-US" w:eastAsia="zh-CN"/>
        </w:rPr>
        <w:t>7-</w:t>
      </w:r>
      <w:r>
        <w:rPr>
          <w:rFonts w:hint="default" w:ascii="Times New Roman" w:hAnsi="Times New Roman" w:eastAsia="仿宋_GB2312" w:cs="Times New Roman"/>
          <w:sz w:val="32"/>
          <w:szCs w:val="32"/>
        </w:rPr>
        <w:t>2：项目申报单位诚信承诺书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w:t>
      </w:r>
      <w:r>
        <w:rPr>
          <w:rFonts w:hint="eastAsia" w:ascii="Times New Roman" w:hAnsi="Times New Roman" w:eastAsia="仿宋_GB2312" w:cs="Times New Roman"/>
          <w:sz w:val="32"/>
          <w:szCs w:val="32"/>
          <w:lang w:val="en-US" w:eastAsia="zh-CN"/>
        </w:rPr>
        <w:t>7-</w:t>
      </w:r>
      <w:r>
        <w:rPr>
          <w:rFonts w:hint="default" w:ascii="Times New Roman" w:hAnsi="Times New Roman" w:eastAsia="仿宋_GB2312" w:cs="Times New Roman"/>
          <w:sz w:val="32"/>
          <w:szCs w:val="32"/>
        </w:rPr>
        <w:t>3：申报领域专利清单（模版）</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北京市朝阳区市场监督管理局</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202</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年</w:t>
      </w:r>
      <w:r>
        <w:rPr>
          <w:rFonts w:hint="eastAsia" w:ascii="Times New Roman" w:hAnsi="Times New Roman" w:eastAsia="仿宋_GB2312" w:cs="Times New Roman"/>
          <w:sz w:val="32"/>
          <w:szCs w:val="32"/>
          <w:highlight w:val="none"/>
          <w:lang w:val="en-US" w:eastAsia="zh-CN"/>
        </w:rPr>
        <w:t>2月13日</w:t>
      </w:r>
    </w:p>
    <w:sectPr>
      <w:footerReference r:id="rId3" w:type="default"/>
      <w:pgSz w:w="11906" w:h="16838"/>
      <w:pgMar w:top="1134" w:right="1474" w:bottom="935" w:left="147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Heiti SC Light">
    <w:altName w:val="CESI仿宋-GB13000"/>
    <w:panose1 w:val="02000000000000000000"/>
    <w:charset w:val="50"/>
    <w:family w:val="auto"/>
    <w:pitch w:val="default"/>
    <w:sig w:usb0="00000000" w:usb1="00000000" w:usb2="00000010" w:usb3="00000000" w:csb0="003E0000" w:csb1="00000000"/>
  </w:font>
  <w:font w:name="等线">
    <w:altName w:val="华文中宋"/>
    <w:panose1 w:val="00000000000000000000"/>
    <w:charset w:val="86"/>
    <w:family w:val="auto"/>
    <w:pitch w:val="default"/>
    <w:sig w:usb0="00000000" w:usb1="00000000"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 w:name="CESI仿宋-GB13000">
    <w:panose1 w:val="02000500000000000000"/>
    <w:charset w:val="86"/>
    <w:family w:val="auto"/>
    <w:pitch w:val="default"/>
    <w:sig w:usb0="800002BF" w:usb1="18CF7CF8"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0"/>
              <wp:wrapNone/>
              <wp:docPr id="1" name="文本框 1025"/>
              <wp:cNvGraphicFramePr/>
              <a:graphic xmlns:a="http://schemas.openxmlformats.org/drawingml/2006/main">
                <a:graphicData uri="http://schemas.microsoft.com/office/word/2010/wordprocessingShape">
                  <wps:wsp>
                    <wps:cNvSpPr txBox="true"/>
                    <wps:spPr>
                      <a:xfrm>
                        <a:off x="0" y="0"/>
                        <a:ext cx="58420" cy="139700"/>
                      </a:xfrm>
                      <a:prstGeom prst="rect">
                        <a:avLst/>
                      </a:prstGeom>
                      <a:noFill/>
                      <a:ln>
                        <a:noFill/>
                      </a:ln>
                    </wps:spPr>
                    <wps:txbx>
                      <w:txbxContent>
                        <w:p>
                          <w:pPr>
                            <w:snapToGrid w:val="0"/>
                            <w:rPr>
                              <w:rFonts w:hint="default" w:ascii="Times New Roman" w:hAnsi="Times New Roman" w:cs="Times New Roman"/>
                              <w:sz w:val="21"/>
                              <w:szCs w:val="32"/>
                            </w:rPr>
                          </w:pPr>
                          <w:r>
                            <w:rPr>
                              <w:rFonts w:hint="default" w:ascii="Times New Roman" w:hAnsi="Times New Roman" w:cs="Times New Roman"/>
                              <w:sz w:val="21"/>
                              <w:szCs w:val="32"/>
                            </w:rPr>
                            <w:fldChar w:fldCharType="begin"/>
                          </w:r>
                          <w:r>
                            <w:rPr>
                              <w:rFonts w:hint="default" w:ascii="Times New Roman" w:hAnsi="Times New Roman" w:cs="Times New Roman"/>
                              <w:sz w:val="21"/>
                              <w:szCs w:val="32"/>
                            </w:rPr>
                            <w:instrText xml:space="preserve"> PAGE  \* MERGEFORMAT </w:instrText>
                          </w:r>
                          <w:r>
                            <w:rPr>
                              <w:rFonts w:hint="default" w:ascii="Times New Roman" w:hAnsi="Times New Roman" w:cs="Times New Roman"/>
                              <w:sz w:val="21"/>
                              <w:szCs w:val="32"/>
                            </w:rPr>
                            <w:fldChar w:fldCharType="separate"/>
                          </w:r>
                          <w:r>
                            <w:rPr>
                              <w:rFonts w:hint="default" w:ascii="Times New Roman" w:hAnsi="Times New Roman" w:cs="Times New Roman"/>
                              <w:sz w:val="21"/>
                              <w:szCs w:val="32"/>
                            </w:rPr>
                            <w:t>5</w:t>
                          </w:r>
                          <w:r>
                            <w:rPr>
                              <w:rFonts w:hint="default" w:ascii="Times New Roman" w:hAnsi="Times New Roman" w:cs="Times New Roman"/>
                              <w:sz w:val="21"/>
                              <w:szCs w:val="32"/>
                            </w:rPr>
                            <w:fldChar w:fldCharType="end"/>
                          </w:r>
                        </w:p>
                      </w:txbxContent>
                    </wps:txbx>
                    <wps:bodyPr wrap="none" lIns="0" tIns="0" rIns="0" bIns="0">
                      <a:spAutoFit/>
                    </wps:bodyPr>
                  </wps:wsp>
                </a:graphicData>
              </a:graphic>
            </wp:anchor>
          </w:drawing>
        </mc:Choice>
        <mc:Fallback>
          <w:pict>
            <v:shape id="文本框 1025"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WAAAAZHJzL1BLAQIU&#10;ABQAAAAIAIdO4kDLW7l30AAAAAIBAAAPAAAAAAAAAAEAIAAAADgAAABkcnMvZG93bnJldi54bWxQ&#10;SwECFAAUAAAACACHTuJA55/S3rABAABCAwAADgAAAAAAAAABACAAAAA1AQAAZHJzL2Uyb0RvYy54&#10;bWxQSwUGAAAAAAYABgBZAQAAVwUAAAAA&#10;">
              <v:fill on="f" focussize="0,0"/>
              <v:stroke on="f"/>
              <v:imagedata o:title=""/>
              <o:lock v:ext="edit" aspectratio="f"/>
              <v:textbox inset="0mm,0mm,0mm,0mm" style="mso-fit-shape-to-text:t;">
                <w:txbxContent>
                  <w:p>
                    <w:pPr>
                      <w:snapToGrid w:val="0"/>
                      <w:rPr>
                        <w:rFonts w:hint="default" w:ascii="Times New Roman" w:hAnsi="Times New Roman" w:cs="Times New Roman"/>
                        <w:sz w:val="21"/>
                        <w:szCs w:val="32"/>
                      </w:rPr>
                    </w:pPr>
                    <w:r>
                      <w:rPr>
                        <w:rFonts w:hint="default" w:ascii="Times New Roman" w:hAnsi="Times New Roman" w:cs="Times New Roman"/>
                        <w:sz w:val="21"/>
                        <w:szCs w:val="32"/>
                      </w:rPr>
                      <w:fldChar w:fldCharType="begin"/>
                    </w:r>
                    <w:r>
                      <w:rPr>
                        <w:rFonts w:hint="default" w:ascii="Times New Roman" w:hAnsi="Times New Roman" w:cs="Times New Roman"/>
                        <w:sz w:val="21"/>
                        <w:szCs w:val="32"/>
                      </w:rPr>
                      <w:instrText xml:space="preserve"> PAGE  \* MERGEFORMAT </w:instrText>
                    </w:r>
                    <w:r>
                      <w:rPr>
                        <w:rFonts w:hint="default" w:ascii="Times New Roman" w:hAnsi="Times New Roman" w:cs="Times New Roman"/>
                        <w:sz w:val="21"/>
                        <w:szCs w:val="32"/>
                      </w:rPr>
                      <w:fldChar w:fldCharType="separate"/>
                    </w:r>
                    <w:r>
                      <w:rPr>
                        <w:rFonts w:hint="default" w:ascii="Times New Roman" w:hAnsi="Times New Roman" w:cs="Times New Roman"/>
                        <w:sz w:val="21"/>
                        <w:szCs w:val="32"/>
                      </w:rPr>
                      <w:t>5</w:t>
                    </w:r>
                    <w:r>
                      <w:rPr>
                        <w:rFonts w:hint="default" w:ascii="Times New Roman" w:hAnsi="Times New Roman" w:cs="Times New Roman"/>
                        <w:sz w:val="21"/>
                        <w:szCs w:val="32"/>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BF642A"/>
    <w:multiLevelType w:val="singleLevel"/>
    <w:tmpl w:val="8CBF642A"/>
    <w:lvl w:ilvl="0" w:tentative="0">
      <w:start w:val="1"/>
      <w:numFmt w:val="chineseCounting"/>
      <w:suff w:val="nothing"/>
      <w:lvlText w:val="%1、"/>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NmZjVmNTg3OTIxODYxMjU3Y2VjNzM0OWU4ZmM5NzYifQ=="/>
  </w:docVars>
  <w:rsids>
    <w:rsidRoot w:val="471615B2"/>
    <w:rsid w:val="00116F62"/>
    <w:rsid w:val="002801DE"/>
    <w:rsid w:val="003C6F47"/>
    <w:rsid w:val="0042360C"/>
    <w:rsid w:val="00667EF0"/>
    <w:rsid w:val="006F7EC6"/>
    <w:rsid w:val="00877219"/>
    <w:rsid w:val="008C5E67"/>
    <w:rsid w:val="00D67AF2"/>
    <w:rsid w:val="00E936D9"/>
    <w:rsid w:val="00F466DD"/>
    <w:rsid w:val="023D4A90"/>
    <w:rsid w:val="06655C64"/>
    <w:rsid w:val="0E7D6DB0"/>
    <w:rsid w:val="0FDF1C96"/>
    <w:rsid w:val="193906D8"/>
    <w:rsid w:val="19695D78"/>
    <w:rsid w:val="1CFDA48B"/>
    <w:rsid w:val="23A9764E"/>
    <w:rsid w:val="24480854"/>
    <w:rsid w:val="2979EE3B"/>
    <w:rsid w:val="2A397A47"/>
    <w:rsid w:val="2D5B32BD"/>
    <w:rsid w:val="33B77665"/>
    <w:rsid w:val="33CB5479"/>
    <w:rsid w:val="33EA1139"/>
    <w:rsid w:val="34914DCA"/>
    <w:rsid w:val="35AB6B9C"/>
    <w:rsid w:val="36F7DCFC"/>
    <w:rsid w:val="3B5D2EF9"/>
    <w:rsid w:val="3BEF2532"/>
    <w:rsid w:val="3DBFE70B"/>
    <w:rsid w:val="3E65446C"/>
    <w:rsid w:val="3ED6B00B"/>
    <w:rsid w:val="3FFECD11"/>
    <w:rsid w:val="434CDA0B"/>
    <w:rsid w:val="439B6F77"/>
    <w:rsid w:val="43A70832"/>
    <w:rsid w:val="466348C9"/>
    <w:rsid w:val="471615B2"/>
    <w:rsid w:val="4C7F348C"/>
    <w:rsid w:val="4D758EB3"/>
    <w:rsid w:val="4DA25B6E"/>
    <w:rsid w:val="4F6D0349"/>
    <w:rsid w:val="568DDFDF"/>
    <w:rsid w:val="56BA6DC3"/>
    <w:rsid w:val="57B87CF3"/>
    <w:rsid w:val="57F22C1B"/>
    <w:rsid w:val="58779EAE"/>
    <w:rsid w:val="5BAE5879"/>
    <w:rsid w:val="5BFF133A"/>
    <w:rsid w:val="5EF96A3A"/>
    <w:rsid w:val="5FCE9D36"/>
    <w:rsid w:val="657FD52C"/>
    <w:rsid w:val="66B45515"/>
    <w:rsid w:val="6B9B383D"/>
    <w:rsid w:val="6D74006B"/>
    <w:rsid w:val="6D9E2D59"/>
    <w:rsid w:val="6DF763C4"/>
    <w:rsid w:val="6EF77CB8"/>
    <w:rsid w:val="6F6B655B"/>
    <w:rsid w:val="70027FC4"/>
    <w:rsid w:val="72D7705A"/>
    <w:rsid w:val="76AC12BF"/>
    <w:rsid w:val="77FB271C"/>
    <w:rsid w:val="7AFE37B6"/>
    <w:rsid w:val="7BBD110F"/>
    <w:rsid w:val="7BFF6FA8"/>
    <w:rsid w:val="7DF4C5A5"/>
    <w:rsid w:val="7F5FF77B"/>
    <w:rsid w:val="7FE64D94"/>
    <w:rsid w:val="7FEFEAC7"/>
    <w:rsid w:val="8EA7BC1A"/>
    <w:rsid w:val="9FDF2BDA"/>
    <w:rsid w:val="ADA149F3"/>
    <w:rsid w:val="B3BEB4F5"/>
    <w:rsid w:val="B7FF4609"/>
    <w:rsid w:val="BADD0906"/>
    <w:rsid w:val="BFA7E445"/>
    <w:rsid w:val="C8BF8564"/>
    <w:rsid w:val="C9F6C97F"/>
    <w:rsid w:val="CB7FA0C1"/>
    <w:rsid w:val="CD4D1ACE"/>
    <w:rsid w:val="CFAF8375"/>
    <w:rsid w:val="D55924CA"/>
    <w:rsid w:val="D5F88FE0"/>
    <w:rsid w:val="D7F90D72"/>
    <w:rsid w:val="DBFFC086"/>
    <w:rsid w:val="DEBF2461"/>
    <w:rsid w:val="DFAF9EBB"/>
    <w:rsid w:val="E3B789C9"/>
    <w:rsid w:val="E57F4F12"/>
    <w:rsid w:val="EBB56EC0"/>
    <w:rsid w:val="EED61DB4"/>
    <w:rsid w:val="EFFBE417"/>
    <w:rsid w:val="EFFF2F3C"/>
    <w:rsid w:val="F0F9814E"/>
    <w:rsid w:val="F37D0340"/>
    <w:rsid w:val="F3EF3245"/>
    <w:rsid w:val="F68E2CCF"/>
    <w:rsid w:val="F7593C63"/>
    <w:rsid w:val="F7DFBEE6"/>
    <w:rsid w:val="F9B7D643"/>
    <w:rsid w:val="FAB6FCA0"/>
    <w:rsid w:val="FBB7BE55"/>
    <w:rsid w:val="FBF76692"/>
    <w:rsid w:val="FCF79C21"/>
    <w:rsid w:val="FD1DA6E0"/>
    <w:rsid w:val="FD3EDF1E"/>
    <w:rsid w:val="FDFDD035"/>
    <w:rsid w:val="FE7FCA6D"/>
    <w:rsid w:val="FEF5B9E3"/>
    <w:rsid w:val="FF5F9900"/>
    <w:rsid w:val="FFD64341"/>
    <w:rsid w:val="FFDF66D0"/>
    <w:rsid w:val="FFDFBCEA"/>
    <w:rsid w:val="FFEFCFA8"/>
    <w:rsid w:val="FFFEC591"/>
    <w:rsid w:val="FFFEFA07"/>
    <w:rsid w:val="FFFFA52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rPr>
      <w:rFonts w:ascii="Calibri" w:hAnsi="Calibri"/>
    </w:rPr>
  </w:style>
  <w:style w:type="paragraph" w:styleId="3">
    <w:name w:val="Body Text"/>
    <w:basedOn w:val="1"/>
    <w:next w:val="4"/>
    <w:qFormat/>
    <w:uiPriority w:val="0"/>
    <w:pPr>
      <w:spacing w:after="120"/>
    </w:pPr>
    <w:rPr>
      <w:rFonts w:ascii="宋体" w:hAnsi="宋体" w:cs="黑体"/>
      <w:sz w:val="24"/>
      <w:szCs w:val="22"/>
    </w:rPr>
  </w:style>
  <w:style w:type="paragraph" w:styleId="4">
    <w:name w:val="Date"/>
    <w:basedOn w:val="1"/>
    <w:next w:val="1"/>
    <w:qFormat/>
    <w:uiPriority w:val="0"/>
    <w:pPr>
      <w:ind w:left="100" w:leftChars="2500"/>
    </w:pPr>
  </w:style>
  <w:style w:type="paragraph" w:styleId="5">
    <w:name w:val="annotation text"/>
    <w:basedOn w:val="1"/>
    <w:qFormat/>
    <w:uiPriority w:val="0"/>
    <w:pPr>
      <w:jc w:val="left"/>
    </w:pPr>
  </w:style>
  <w:style w:type="paragraph" w:styleId="6">
    <w:name w:val="Balloon Text"/>
    <w:basedOn w:val="1"/>
    <w:link w:val="14"/>
    <w:qFormat/>
    <w:uiPriority w:val="0"/>
    <w:rPr>
      <w:rFonts w:ascii="Heiti SC Light" w:eastAsia="Heiti SC Light"/>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 w:type="paragraph" w:styleId="9">
    <w:name w:val="Normal (Web)"/>
    <w:qFormat/>
    <w:uiPriority w:val="0"/>
    <w:pPr>
      <w:widowControl w:val="0"/>
      <w:spacing w:beforeAutospacing="1" w:afterAutospacing="1"/>
    </w:pPr>
    <w:rPr>
      <w:rFonts w:ascii="Calibri" w:hAnsi="Calibri" w:eastAsia="宋体" w:cs="Times New Roman"/>
      <w:sz w:val="24"/>
      <w:szCs w:val="24"/>
      <w:lang w:val="en-US" w:eastAsia="zh-CN" w:bidi="ar-SA"/>
    </w:rPr>
  </w:style>
  <w:style w:type="character" w:styleId="12">
    <w:name w:val="annotation reference"/>
    <w:basedOn w:val="11"/>
    <w:qFormat/>
    <w:uiPriority w:val="0"/>
    <w:rPr>
      <w:sz w:val="21"/>
      <w:szCs w:val="21"/>
    </w:rPr>
  </w:style>
  <w:style w:type="paragraph" w:customStyle="1" w:styleId="13">
    <w:name w:val="_Style 2"/>
    <w:qFormat/>
    <w:uiPriority w:val="99"/>
    <w:pPr>
      <w:widowControl w:val="0"/>
      <w:spacing w:line="351" w:lineRule="atLeast"/>
      <w:ind w:firstLine="623"/>
      <w:jc w:val="both"/>
      <w:textAlignment w:val="baseline"/>
    </w:pPr>
    <w:rPr>
      <w:rFonts w:ascii="等线" w:hAnsi="等线" w:eastAsia="仿宋_GB2312" w:cs="等线"/>
      <w:color w:val="000000"/>
      <w:kern w:val="2"/>
      <w:sz w:val="31"/>
      <w:lang w:val="en-US" w:eastAsia="zh-CN" w:bidi="ar-SA"/>
    </w:rPr>
  </w:style>
  <w:style w:type="character" w:customStyle="1" w:styleId="14">
    <w:name w:val="批注框文本字符"/>
    <w:basedOn w:val="11"/>
    <w:link w:val="6"/>
    <w:qFormat/>
    <w:uiPriority w:val="0"/>
    <w:rPr>
      <w:rFonts w:ascii="Heiti SC Light" w:hAnsi="Calibri" w:eastAsia="Heiti SC Light"/>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322</Words>
  <Characters>1841</Characters>
  <Lines>15</Lines>
  <Paragraphs>4</Paragraphs>
  <TotalTime>12</TotalTime>
  <ScaleCrop>false</ScaleCrop>
  <LinksUpToDate>false</LinksUpToDate>
  <CharactersWithSpaces>2159</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2024-01-25T13:36:00Z</dcterms:created>
  <dc:creator>大猫</dc:creator>
  <cp:lastModifiedBy>uos</cp:lastModifiedBy>
  <cp:lastPrinted>2025-01-23T06:42:00Z</cp:lastPrinted>
  <dcterms:modified xsi:type="dcterms:W3CDTF">2025-02-13T16:30:44Z</dcterms:modified>
  <dc:title>2024年朝阳区专利转化项目申报指南</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9C427B7675B2435FAB39EDEB20F98B40_13</vt:lpwstr>
  </property>
</Properties>
</file>