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C7481E">
      <w:pPr>
        <w:pStyle w:val="2"/>
        <w:spacing w:line="560" w:lineRule="exact"/>
        <w:ind w:left="0" w:leftChars="0"/>
        <w:jc w:val="left"/>
        <w:rPr>
          <w:rFonts w:ascii="仿宋_GB2312" w:hAnsi="仿宋_GB2312" w:eastAsia="仿宋_GB2312" w:cs="仿宋_GB2312"/>
          <w:sz w:val="32"/>
          <w:szCs w:val="32"/>
        </w:rPr>
      </w:pPr>
      <w:r>
        <w:rPr>
          <w:rFonts w:hint="eastAsia" w:ascii="黑体" w:hAnsi="黑体" w:eastAsia="黑体" w:cs="黑体"/>
          <w:color w:val="000000"/>
          <w:sz w:val="32"/>
          <w:szCs w:val="32"/>
        </w:rPr>
        <w:t>附件2</w:t>
      </w:r>
    </w:p>
    <w:p w14:paraId="60A5EED6">
      <w:pPr>
        <w:adjustRightInd w:val="0"/>
        <w:snapToGrid w:val="0"/>
        <w:spacing w:line="520" w:lineRule="exact"/>
        <w:ind w:firstLine="723" w:firstLineChars="200"/>
        <w:jc w:val="center"/>
        <w:rPr>
          <w:rFonts w:ascii="宋体" w:hAnsi="宋体" w:cs="宋体"/>
          <w:b/>
          <w:bCs/>
          <w:sz w:val="36"/>
          <w:szCs w:val="36"/>
        </w:rPr>
      </w:pPr>
    </w:p>
    <w:p w14:paraId="7DA36474">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《怀柔区花园城市建设实施方案（征求意见稿）》的起草说明</w:t>
      </w:r>
    </w:p>
    <w:p w14:paraId="7AC51099">
      <w:pPr>
        <w:pStyle w:val="5"/>
        <w:rPr>
          <w:rFonts w:ascii="宋体" w:hAnsi="宋体" w:cs="宋体"/>
          <w:b/>
          <w:bCs/>
          <w:sz w:val="36"/>
          <w:szCs w:val="36"/>
        </w:rPr>
      </w:pPr>
    </w:p>
    <w:p w14:paraId="148D54B8">
      <w:pPr>
        <w:spacing w:line="600" w:lineRule="exact"/>
        <w:ind w:firstLine="640" w:firstLineChars="200"/>
        <w:rPr>
          <w:rFonts w:ascii="仿宋_GB2312" w:hAnsi="仿宋_GB2312" w:eastAsia="黑体" w:cs="仿宋_GB2312"/>
          <w:color w:val="000000"/>
          <w:sz w:val="32"/>
          <w:szCs w:val="32"/>
        </w:rPr>
      </w:pPr>
      <w:r>
        <w:rPr>
          <w:rFonts w:hint="eastAsia" w:ascii="黑体" w:hAnsi="宋体" w:eastAsia="黑体"/>
          <w:sz w:val="32"/>
          <w:szCs w:val="32"/>
        </w:rPr>
        <w:t>一、起草背景</w:t>
      </w:r>
    </w:p>
    <w:p w14:paraId="06D7914F">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为全面贯彻北京市委、市政府关于大力推进花园城市建设的工作部署，深入落实《北京城市总体规划（2016年—2035年）》、</w:t>
      </w:r>
      <w:bookmarkStart w:id="0" w:name="OLE_LINK20"/>
      <w:bookmarkStart w:id="1" w:name="OLE_LINK21"/>
      <w:r>
        <w:rPr>
          <w:rFonts w:hint="eastAsia" w:ascii="仿宋_GB2312" w:hAnsi="仿宋_GB2312" w:eastAsia="仿宋_GB2312" w:cs="仿宋_GB2312"/>
          <w:sz w:val="32"/>
          <w:szCs w:val="32"/>
        </w:rPr>
        <w:t>《首都花园城市规划建设实施方案》</w:t>
      </w:r>
      <w:bookmarkEnd w:id="0"/>
      <w:bookmarkEnd w:id="1"/>
      <w:r>
        <w:rPr>
          <w:rFonts w:hint="eastAsia" w:ascii="仿宋_GB2312" w:hAnsi="仿宋_GB2312" w:eastAsia="仿宋_GB2312" w:cs="仿宋_GB2312"/>
          <w:sz w:val="32"/>
          <w:szCs w:val="32"/>
        </w:rPr>
        <w:t>、《北京花园城市专项规划（2023年—2035年）》关于花园城市建设的相关工作要求，我局启动了《怀柔区花园城市建设实施方案》（以下简称《方案》）编制工作，聘请北京市园林古建设计研究院有限公司负责编制，先后多轮征求了相关部门意见，目前形成《方案》征求意见稿。</w:t>
      </w:r>
    </w:p>
    <w:p w14:paraId="2A3AADF1">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按照市区有关要求，我局于2024年</w:t>
      </w:r>
      <w:r>
        <w:rPr>
          <w:rFonts w:ascii="仿宋_GB2312" w:hAnsi="仿宋_GB2312" w:eastAsia="仿宋_GB2312" w:cs="仿宋_GB2312"/>
          <w:sz w:val="32"/>
          <w:szCs w:val="32"/>
        </w:rPr>
        <w:t>5</w:t>
      </w:r>
      <w:r>
        <w:rPr>
          <w:rFonts w:hint="eastAsia" w:ascii="仿宋_GB2312" w:hAnsi="仿宋_GB2312" w:eastAsia="仿宋_GB2312" w:cs="仿宋_GB2312"/>
          <w:sz w:val="32"/>
          <w:szCs w:val="32"/>
        </w:rPr>
        <w:t>月启动了《方案》编制工作，领导高度重视，多次听取和调度工作进展情况。 按照各级领导要求，我局前期持续加强《方案》编制推进和组织协调工作，具体情况如下:</w:t>
      </w:r>
    </w:p>
    <w:p w14:paraId="14282683">
      <w:pPr>
        <w:spacing w:line="520" w:lineRule="exact"/>
        <w:ind w:firstLine="640" w:firstLineChars="200"/>
        <w:rPr>
          <w:rFonts w:ascii="黑体" w:hAnsi="宋体" w:eastAsia="黑体"/>
          <w:sz w:val="32"/>
          <w:szCs w:val="32"/>
        </w:rPr>
      </w:pPr>
      <w:r>
        <w:rPr>
          <w:rFonts w:ascii="黑体" w:hAnsi="宋体" w:eastAsia="黑体"/>
          <w:sz w:val="32"/>
          <w:szCs w:val="32"/>
        </w:rPr>
        <w:t>二、制定依据</w:t>
      </w:r>
    </w:p>
    <w:p w14:paraId="6A199AA0">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《关于深化生态文明实践推动首都花园城市建设的指导意见》</w:t>
      </w:r>
    </w:p>
    <w:p w14:paraId="34734780">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《首都花园城市规划建设实施方案》</w:t>
      </w:r>
    </w:p>
    <w:p w14:paraId="337C06F7">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《北京城市绿化彩化三年行动计划（2024 — 2026年）》</w:t>
      </w:r>
    </w:p>
    <w:p w14:paraId="4DAABEC9">
      <w:pPr>
        <w:spacing w:line="600" w:lineRule="exact"/>
        <w:ind w:firstLine="640" w:firstLineChars="200"/>
        <w:rPr>
          <w:rFonts w:hint="eastAsia" w:ascii="仿宋_GB2312" w:hAnsi="仿宋_GB2312" w:eastAsia="仿宋_GB2312" w:cs="仿宋_GB2312"/>
          <w:sz w:val="32"/>
          <w:szCs w:val="32"/>
        </w:rPr>
      </w:pPr>
    </w:p>
    <w:p w14:paraId="1097F49D">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《北京城市总体规划（2016年—2035年）》</w:t>
      </w:r>
    </w:p>
    <w:p w14:paraId="6D3559CA">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《北京花园城市专项规划（2023年—2035年）》</w:t>
      </w:r>
    </w:p>
    <w:p w14:paraId="17E1296A">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《北京市绿道系统专项规划（2023年-2035年）》</w:t>
      </w:r>
    </w:p>
    <w:p w14:paraId="1E65DCCF">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《北京市园林绿化专项规划（2018年-2035年）》</w:t>
      </w:r>
    </w:p>
    <w:p w14:paraId="367222BD">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《北京市园林绿化十四五发展规划（2021年-2025年）》</w:t>
      </w:r>
    </w:p>
    <w:p w14:paraId="071040B1">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《北京市浅山区保护规划（2017年—2035年）》</w:t>
      </w:r>
    </w:p>
    <w:p w14:paraId="6A2489DE">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《怀柔区分区规划（国土空间规划）（2017年—2035年）》</w:t>
      </w:r>
    </w:p>
    <w:p w14:paraId="2427AAE8">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《怀柔区园林绿化专项规划（2021 — 2035年）》</w:t>
      </w:r>
    </w:p>
    <w:p w14:paraId="1F63E535">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《怀柔科学城控制性详细规划（街区层面）（2020-2035）》</w:t>
      </w:r>
    </w:p>
    <w:p w14:paraId="7DFFB9FC">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《北京市怀柔区国家森林城市建设总体规划（2018年-2035年）》</w:t>
      </w:r>
      <w:r>
        <w:rPr>
          <w:rFonts w:ascii="仿宋_GB2312" w:hAnsi="仿宋_GB2312" w:eastAsia="仿宋_GB2312" w:cs="仿宋_GB2312"/>
          <w:sz w:val="32"/>
          <w:szCs w:val="32"/>
        </w:rPr>
        <w:t>等</w:t>
      </w:r>
    </w:p>
    <w:p w14:paraId="332CFD29">
      <w:pPr>
        <w:spacing w:line="520" w:lineRule="exact"/>
        <w:ind w:firstLine="640" w:firstLineChars="200"/>
        <w:rPr>
          <w:rFonts w:ascii="黑体" w:hAnsi="宋体" w:eastAsia="黑体"/>
          <w:sz w:val="32"/>
          <w:szCs w:val="32"/>
        </w:rPr>
      </w:pPr>
      <w:r>
        <w:rPr>
          <w:rFonts w:hint="eastAsia" w:ascii="黑体" w:hAnsi="宋体" w:eastAsia="黑体"/>
          <w:sz w:val="32"/>
          <w:szCs w:val="32"/>
        </w:rPr>
        <w:t>三、主要内容</w:t>
      </w:r>
    </w:p>
    <w:p w14:paraId="0216A540">
      <w:pPr>
        <w:spacing w:line="600" w:lineRule="exact"/>
        <w:ind w:firstLine="640" w:firstLineChars="200"/>
        <w:rPr>
          <w:rFonts w:ascii="仿宋" w:hAnsi="仿宋" w:eastAsia="仿宋" w:cs="仿宋_GB2312"/>
          <w:sz w:val="32"/>
          <w:szCs w:val="32"/>
        </w:rPr>
      </w:pPr>
      <w:r>
        <w:rPr>
          <w:rFonts w:hint="eastAsia" w:ascii="仿宋_GB2312" w:hAnsi="仿宋_GB2312" w:eastAsia="仿宋_GB2312" w:cs="仿宋_GB2312"/>
          <w:sz w:val="32"/>
          <w:szCs w:val="32"/>
        </w:rPr>
        <w:t>共分为三个部分：</w:t>
      </w:r>
    </w:p>
    <w:p w14:paraId="0DCA943E">
      <w:pPr>
        <w:autoSpaceDE w:val="0"/>
        <w:spacing w:line="360" w:lineRule="auto"/>
        <w:ind w:firstLine="643" w:firstLineChars="200"/>
        <w:rPr>
          <w:rFonts w:ascii="仿宋_GB2312" w:hAnsi="仿宋_GB2312" w:eastAsia="仿宋_GB2312" w:cs="仿宋_GB2312"/>
          <w:sz w:val="32"/>
          <w:szCs w:val="32"/>
        </w:rPr>
      </w:pPr>
      <w:r>
        <w:rPr>
          <w:rFonts w:hint="eastAsia" w:ascii="仿宋" w:hAnsi="仿宋" w:eastAsia="仿宋" w:cs="仿宋_GB2312"/>
          <w:b/>
          <w:bCs/>
          <w:sz w:val="32"/>
          <w:szCs w:val="32"/>
        </w:rPr>
        <w:t>第一部分：总体要求。</w:t>
      </w:r>
      <w:r>
        <w:rPr>
          <w:rFonts w:hint="eastAsia" w:ascii="仿宋_GB2312" w:hAnsi="仿宋_GB2312" w:eastAsia="仿宋_GB2312" w:cs="仿宋_GB2312"/>
          <w:sz w:val="32"/>
          <w:szCs w:val="32"/>
        </w:rPr>
        <w:t>包括指导思想、总体思路和建设目标三项内容。坚持以习近平新时代中国特色社会主义思想为指导，深入贯彻党的二十大精神，全面贯彻习近平生态文明思想和习近平总书记对北京一系列重要讲话精神。坚持以新时代首都发展为统领，坚持以人民为中心的发展思想，严格落实北京城市总体规划、怀柔区分区规划，立足怀柔区以科学城为统领的“1</w:t>
      </w:r>
      <w:r>
        <w:rPr>
          <w:rFonts w:ascii="仿宋_GB2312" w:hAnsi="仿宋_GB2312" w:eastAsia="仿宋_GB2312" w:cs="仿宋_GB2312"/>
          <w:sz w:val="32"/>
          <w:szCs w:val="32"/>
        </w:rPr>
        <w:t>+3</w:t>
      </w:r>
      <w:r>
        <w:rPr>
          <w:rFonts w:hint="eastAsia" w:ascii="仿宋_GB2312" w:hAnsi="仿宋_GB2312" w:eastAsia="仿宋_GB2312" w:cs="仿宋_GB2312"/>
          <w:sz w:val="32"/>
          <w:szCs w:val="32"/>
        </w:rPr>
        <w:t>”融合发展新格局，突出首都生态涵养功能，重点聚焦首都“四个中心”战略定位，不断提高发展质量，提升人居环境品质，促进城乡融合发展和精细化治理，全面提升城市品质，把怀柔区建设成为幸福美丽现代化新城，谱写怀柔区花园城市美好篇章。</w:t>
      </w:r>
    </w:p>
    <w:p w14:paraId="397B513F">
      <w:pPr>
        <w:autoSpaceDE w:val="0"/>
        <w:spacing w:line="560" w:lineRule="exact"/>
        <w:ind w:firstLine="643" w:firstLineChars="200"/>
        <w:outlineLvl w:val="0"/>
        <w:rPr>
          <w:rFonts w:ascii="仿宋" w:hAnsi="仿宋" w:eastAsia="仿宋" w:cs="仿宋_GB2312"/>
          <w:sz w:val="32"/>
          <w:szCs w:val="32"/>
        </w:rPr>
      </w:pPr>
      <w:r>
        <w:rPr>
          <w:rFonts w:hint="eastAsia" w:ascii="仿宋" w:hAnsi="仿宋" w:eastAsia="仿宋" w:cs="仿宋_GB2312"/>
          <w:b/>
          <w:bCs/>
          <w:sz w:val="32"/>
          <w:szCs w:val="32"/>
        </w:rPr>
        <w:t>第二部分：重点任务。</w:t>
      </w:r>
      <w:r>
        <w:rPr>
          <w:rFonts w:hint="eastAsia" w:ascii="仿宋_GB2312" w:hAnsi="仿宋_GB2312" w:eastAsia="仿宋_GB2312" w:cs="仿宋_GB2312"/>
          <w:sz w:val="32"/>
          <w:szCs w:val="32"/>
        </w:rPr>
        <w:t>围绕怀柔区工作重点，结合建设花园城市要件，梳理了五项重点工作任务、1</w:t>
      </w:r>
      <w:r>
        <w:rPr>
          <w:rFonts w:ascii="仿宋_GB2312" w:hAnsi="仿宋_GB2312" w:eastAsia="仿宋_GB2312" w:cs="仿宋_GB2312"/>
          <w:sz w:val="32"/>
          <w:szCs w:val="32"/>
        </w:rPr>
        <w:t>9条具体实施举措</w:t>
      </w:r>
      <w:r>
        <w:rPr>
          <w:rFonts w:hint="eastAsia" w:ascii="仿宋_GB2312" w:hAnsi="仿宋_GB2312" w:eastAsia="仿宋_GB2312" w:cs="仿宋_GB2312"/>
          <w:sz w:val="32"/>
          <w:szCs w:val="32"/>
        </w:rPr>
        <w:t>：</w:t>
      </w:r>
    </w:p>
    <w:p w14:paraId="773531D8">
      <w:pPr>
        <w:autoSpaceDE w:val="0"/>
        <w:spacing w:line="560" w:lineRule="exact"/>
        <w:ind w:firstLine="640" w:firstLineChars="200"/>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rPr>
        <w:t>一是践行“两山”理论，深化生态文明建设。立足生态涵养区定位，坚持生态为立区之本，保护怀柔原生生态格局和风貌底色，坚持以高品质生态环境支撑高质量发展，统筹山水林田湖草系统治理，让生态底色成为怀柔底气。二是强化首都功能，塑造花园式特色功能区。服务首都城市战略发展定位，紧密围绕“一城两都”建设，不断强化首都功能重要承载地作用，通过花园城市建设，打造怀柔科学城、雁栖湖国际会都、中国（怀柔）影视产业示范区三个花园城市精华片区，进一步彰显“一城两都”国际化品质。三是彰显怀柔山、水、林、城特色，健全廊、道、园、斑景观游憩体系。紧扣怀柔大尺度蓝绿空间特点，“点线面”联动提质，从风景廊道、绿道系统、公园体系、灰色空间四个方面彰显怀柔山、水、林、城特色，强化三生空间融合。四是提升幸福生活体验，丰富多元花园城市场景。坚</w:t>
      </w:r>
      <w:bookmarkStart w:id="2" w:name="_GoBack"/>
      <w:bookmarkEnd w:id="2"/>
      <w:r>
        <w:rPr>
          <w:rFonts w:hint="eastAsia" w:ascii="仿宋_GB2312" w:hAnsi="仿宋_GB2312" w:eastAsia="仿宋_GB2312" w:cs="仿宋_GB2312"/>
          <w:sz w:val="32"/>
          <w:szCs w:val="32"/>
        </w:rPr>
        <w:t>持以人为本，从花园生活场景、花园公服场景、花园乡村场景三个方面塑造与怀柔人民生活息息相关的花园城市场景，推动人、城、产、绿深度融合，实实在在增加人民群众的获得感和幸福感。五是推进城乡精细化治理，全民参与花园城市建设。坚持政府主导、多部门协同、设计引领，调动多元社会力量共治共建共管，共同提升花园城市精细化、规范化、人性化治理水平。</w:t>
      </w:r>
    </w:p>
    <w:p w14:paraId="6F947E40">
      <w:pPr>
        <w:adjustRightInd w:val="0"/>
        <w:snapToGrid w:val="0"/>
        <w:spacing w:line="580" w:lineRule="exact"/>
        <w:ind w:firstLine="643" w:firstLineChars="200"/>
        <w:rPr>
          <w:rFonts w:ascii="仿宋" w:hAnsi="仿宋" w:eastAsia="仿宋" w:cs="黑体"/>
          <w:sz w:val="32"/>
          <w:szCs w:val="32"/>
        </w:rPr>
      </w:pPr>
      <w:r>
        <w:rPr>
          <w:rFonts w:hint="eastAsia" w:ascii="仿宋" w:hAnsi="仿宋" w:eastAsia="仿宋" w:cs="仿宋_GB2312"/>
          <w:b/>
          <w:bCs/>
          <w:sz w:val="32"/>
          <w:szCs w:val="32"/>
        </w:rPr>
        <w:t>第三部分：保障措施。</w:t>
      </w:r>
      <w:r>
        <w:rPr>
          <w:rFonts w:hint="eastAsia" w:ascii="仿宋_GB2312" w:hAnsi="仿宋_GB2312" w:eastAsia="仿宋_GB2312" w:cs="仿宋_GB2312"/>
          <w:sz w:val="32"/>
          <w:szCs w:val="32"/>
        </w:rPr>
        <w:t>明确了组织领导、政策机制、监督管理、宣传引导等四项保障措施。</w:t>
      </w:r>
    </w:p>
    <w:p w14:paraId="06810ED3">
      <w:pPr>
        <w:adjustRightInd w:val="0"/>
        <w:snapToGrid w:val="0"/>
        <w:spacing w:line="580" w:lineRule="exact"/>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完成区政府相关审批程序后执行。</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2DE8F5C-8297-4053-8D0D-7B682346831C}"/>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00" w:usb3="00000000" w:csb0="00040000" w:csb1="00000000"/>
    <w:embedRegular r:id="rId2" w:fontKey="{9C0E34B3-2006-4F5D-BB97-D7ACC61516B8}"/>
  </w:font>
  <w:font w:name="仿宋">
    <w:panose1 w:val="02010609060101010101"/>
    <w:charset w:val="86"/>
    <w:family w:val="modern"/>
    <w:pitch w:val="default"/>
    <w:sig w:usb0="800002BF" w:usb1="38CF7CFA" w:usb2="00000016" w:usb3="00000000" w:csb0="00040001" w:csb1="00000000"/>
    <w:embedRegular r:id="rId3" w:fontKey="{BBA892EA-3D95-44E6-8DAF-E401D092C041}"/>
  </w:font>
  <w:font w:name="方正小标宋简体">
    <w:panose1 w:val="02000000000000000000"/>
    <w:charset w:val="86"/>
    <w:family w:val="script"/>
    <w:pitch w:val="default"/>
    <w:sig w:usb0="00000001" w:usb1="08000000" w:usb2="00000000" w:usb3="00000000" w:csb0="00040000" w:csb1="00000000"/>
    <w:embedRegular r:id="rId4" w:fontKey="{90BFC1A7-F77D-4996-A4B0-A3A384AC725C}"/>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161"/>
    <w:rsid w:val="000B6161"/>
    <w:rsid w:val="000C08AA"/>
    <w:rsid w:val="003925C3"/>
    <w:rsid w:val="007E5828"/>
    <w:rsid w:val="00832D15"/>
    <w:rsid w:val="00A66012"/>
    <w:rsid w:val="00A9065F"/>
    <w:rsid w:val="00E11BDE"/>
    <w:rsid w:val="405D46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link w:val="8"/>
    <w:unhideWhenUsed/>
    <w:qFormat/>
    <w:uiPriority w:val="99"/>
    <w:pPr>
      <w:spacing w:after="120" w:line="278" w:lineRule="auto"/>
      <w:ind w:left="420" w:leftChars="200"/>
    </w:pPr>
  </w:style>
  <w:style w:type="paragraph" w:styleId="3">
    <w:name w:val="footer"/>
    <w:basedOn w:val="1"/>
    <w:link w:val="10"/>
    <w:unhideWhenUsed/>
    <w:uiPriority w:val="99"/>
    <w:pPr>
      <w:tabs>
        <w:tab w:val="center" w:pos="4153"/>
        <w:tab w:val="right" w:pos="8306"/>
      </w:tabs>
      <w:snapToGrid w:val="0"/>
      <w:jc w:val="left"/>
    </w:pPr>
    <w:rPr>
      <w:sz w:val="18"/>
      <w:szCs w:val="18"/>
    </w:rPr>
  </w:style>
  <w:style w:type="paragraph" w:styleId="4">
    <w:name w:val="header"/>
    <w:basedOn w:val="1"/>
    <w:link w:val="9"/>
    <w:unhideWhenUsed/>
    <w:uiPriority w:val="99"/>
    <w:pPr>
      <w:pBdr>
        <w:bottom w:val="single" w:color="auto" w:sz="6" w:space="1"/>
      </w:pBdr>
      <w:tabs>
        <w:tab w:val="center" w:pos="4153"/>
        <w:tab w:val="right" w:pos="8306"/>
      </w:tabs>
      <w:snapToGrid w:val="0"/>
      <w:jc w:val="center"/>
    </w:pPr>
    <w:rPr>
      <w:sz w:val="18"/>
      <w:szCs w:val="18"/>
    </w:rPr>
  </w:style>
  <w:style w:type="paragraph" w:styleId="5">
    <w:name w:val="toc 1"/>
    <w:basedOn w:val="1"/>
    <w:next w:val="1"/>
    <w:qFormat/>
    <w:uiPriority w:val="39"/>
  </w:style>
  <w:style w:type="character" w:customStyle="1" w:styleId="8">
    <w:name w:val="正文文本缩进 Char"/>
    <w:basedOn w:val="7"/>
    <w:link w:val="2"/>
    <w:uiPriority w:val="99"/>
    <w:rPr>
      <w:rFonts w:ascii="Calibri" w:hAnsi="Calibri" w:eastAsia="宋体" w:cs="Times New Roman"/>
    </w:rPr>
  </w:style>
  <w:style w:type="character" w:customStyle="1" w:styleId="9">
    <w:name w:val="页眉 Char"/>
    <w:basedOn w:val="7"/>
    <w:link w:val="4"/>
    <w:uiPriority w:val="99"/>
    <w:rPr>
      <w:rFonts w:ascii="Calibri" w:hAnsi="Calibri" w:eastAsia="宋体" w:cs="Times New Roman"/>
      <w:sz w:val="18"/>
      <w:szCs w:val="18"/>
    </w:rPr>
  </w:style>
  <w:style w:type="character" w:customStyle="1" w:styleId="10">
    <w:name w:val="页脚 Char"/>
    <w:basedOn w:val="7"/>
    <w:link w:val="3"/>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1508</Words>
  <Characters>1598</Characters>
  <Lines>11</Lines>
  <Paragraphs>3</Paragraphs>
  <TotalTime>12</TotalTime>
  <ScaleCrop>false</ScaleCrop>
  <LinksUpToDate>false</LinksUpToDate>
  <CharactersWithSpaces>1603</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2024-12-18T03:00:00Z</dcterms:created>
  <dc:creator>HHJ</dc:creator>
  <cp:lastModifiedBy>文龙(/ω＼)</cp:lastModifiedBy>
  <dcterms:modified xsi:type="dcterms:W3CDTF">2025-02-13T00:51:06Z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eyJoZGlkIjoiNDg5MzgwOGJiYWMzMDhiZjZjNzg2OTFhNTA3MTM1MjUiLCJ1c2VySWQiOiIyMzAzNjkzMTcifQ==</vt:lpwstr>
  </property>
  <property fmtid="{D5CDD505-2E9C-101B-9397-08002B2CF9AE}" pid="3" name="KSOProductBuildVer">
    <vt:lpwstr>2052-12.1.0.19302</vt:lpwstr>
  </property>
  <property fmtid="{D5CDD505-2E9C-101B-9397-08002B2CF9AE}" pid="4" name="ICV">
    <vt:lpwstr>0141825FA9664941959A53B73D10BF63_12</vt:lpwstr>
  </property>
</Properties>
</file>